
<file path=[Content_Types].xml><?xml version="1.0" encoding="utf-8"?>
<Types xmlns="http://schemas.openxmlformats.org/package/2006/content-types">
  <Default Extension="rels" ContentType="application/vnd.openxmlformats-package.relationships+xml"/>
  <Default Extension="tiff" ContentType="image/tif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BDEBD6" w14:textId="77777777" w:rsidR="005A0F6E" w:rsidRPr="003C6FE5" w:rsidRDefault="005A0F6E" w:rsidP="000D67A7">
      <w:pPr>
        <w:pStyle w:val="Ttulo1"/>
        <w:ind w:left="708" w:hanging="708"/>
        <w:contextualSpacing/>
        <w:jc w:val="center"/>
        <w:rPr>
          <w:rFonts w:ascii="Arial" w:hAnsi="Arial" w:cs="Arial"/>
          <w:b/>
          <w:color w:val="auto"/>
          <w:sz w:val="52"/>
          <w:szCs w:val="24"/>
        </w:rPr>
      </w:pPr>
      <w:bookmarkStart w:id="0" w:name="_Toc13068672"/>
    </w:p>
    <w:p w14:paraId="3F0D2BB6" w14:textId="77777777" w:rsidR="005A0F6E" w:rsidRPr="003C6FE5" w:rsidRDefault="005A0F6E" w:rsidP="002E7D47">
      <w:pPr>
        <w:pStyle w:val="Ttulo1"/>
        <w:contextualSpacing/>
        <w:jc w:val="center"/>
        <w:rPr>
          <w:rFonts w:ascii="Arial" w:hAnsi="Arial" w:cs="Arial"/>
          <w:b/>
          <w:color w:val="auto"/>
          <w:sz w:val="52"/>
          <w:szCs w:val="24"/>
        </w:rPr>
      </w:pPr>
    </w:p>
    <w:p w14:paraId="7752BD14" w14:textId="77777777" w:rsidR="005A0F6E" w:rsidRPr="003C6FE5" w:rsidRDefault="005A0F6E" w:rsidP="002E7D47">
      <w:pPr>
        <w:pStyle w:val="Ttulo1"/>
        <w:contextualSpacing/>
        <w:jc w:val="center"/>
        <w:rPr>
          <w:rFonts w:ascii="Arial" w:hAnsi="Arial" w:cs="Arial"/>
          <w:b/>
          <w:color w:val="auto"/>
          <w:sz w:val="52"/>
          <w:szCs w:val="24"/>
        </w:rPr>
      </w:pPr>
    </w:p>
    <w:p w14:paraId="3C2CB1E9" w14:textId="5A0D861F" w:rsidR="005A0F6E" w:rsidRPr="00B92499" w:rsidRDefault="00387542" w:rsidP="002E7D47">
      <w:pPr>
        <w:pStyle w:val="Ttulo1"/>
        <w:contextualSpacing/>
        <w:jc w:val="center"/>
        <w:rPr>
          <w:rFonts w:ascii="Arial" w:hAnsi="Arial" w:cs="Arial"/>
          <w:b/>
          <w:color w:val="auto"/>
          <w:sz w:val="72"/>
          <w:szCs w:val="72"/>
        </w:rPr>
      </w:pPr>
      <w:bookmarkStart w:id="1" w:name="_Toc23252960"/>
      <w:r w:rsidRPr="00B92499">
        <w:rPr>
          <w:rFonts w:ascii="Arial" w:hAnsi="Arial" w:cs="Arial"/>
          <w:b/>
          <w:color w:val="auto"/>
          <w:sz w:val="72"/>
          <w:szCs w:val="72"/>
        </w:rPr>
        <w:t xml:space="preserve">INFORME RESPECTO DE LA </w:t>
      </w:r>
      <w:r w:rsidR="004D3279" w:rsidRPr="00B92499">
        <w:rPr>
          <w:rFonts w:ascii="Arial" w:hAnsi="Arial" w:cs="Arial"/>
          <w:b/>
          <w:color w:val="auto"/>
          <w:sz w:val="72"/>
          <w:szCs w:val="72"/>
        </w:rPr>
        <w:t>SEGUNDA</w:t>
      </w:r>
      <w:r w:rsidRPr="00B92499">
        <w:rPr>
          <w:rFonts w:ascii="Arial" w:hAnsi="Arial" w:cs="Arial"/>
          <w:b/>
          <w:color w:val="auto"/>
          <w:sz w:val="72"/>
          <w:szCs w:val="72"/>
        </w:rPr>
        <w:t xml:space="preserve"> EVALUACIÓN VINCULANTE 2019</w:t>
      </w:r>
      <w:bookmarkEnd w:id="0"/>
      <w:bookmarkEnd w:id="1"/>
    </w:p>
    <w:p w14:paraId="19B2050C" w14:textId="77777777" w:rsidR="005A0F6E" w:rsidRPr="00B92499" w:rsidRDefault="005A0F6E" w:rsidP="002E7D47">
      <w:pPr>
        <w:contextualSpacing/>
        <w:rPr>
          <w:rFonts w:ascii="Arial" w:hAnsi="Arial" w:cs="Arial"/>
          <w:b/>
        </w:rPr>
      </w:pPr>
    </w:p>
    <w:p w14:paraId="5D78692F" w14:textId="77777777" w:rsidR="005A0F6E" w:rsidRPr="00B92499" w:rsidRDefault="005A0F6E" w:rsidP="002E7D47">
      <w:pPr>
        <w:contextualSpacing/>
        <w:rPr>
          <w:rFonts w:ascii="Arial" w:hAnsi="Arial" w:cs="Arial"/>
          <w:b/>
        </w:rPr>
      </w:pPr>
    </w:p>
    <w:p w14:paraId="6F682961" w14:textId="77777777" w:rsidR="005A0F6E" w:rsidRPr="00B92499" w:rsidRDefault="005A0F6E" w:rsidP="002E7D47">
      <w:pPr>
        <w:contextualSpacing/>
        <w:rPr>
          <w:rFonts w:ascii="Arial" w:hAnsi="Arial" w:cs="Arial"/>
          <w:b/>
        </w:rPr>
      </w:pPr>
    </w:p>
    <w:p w14:paraId="0A08715E" w14:textId="77777777" w:rsidR="005A0F6E" w:rsidRPr="00B92499" w:rsidRDefault="005A0F6E" w:rsidP="002E7D47">
      <w:pPr>
        <w:contextualSpacing/>
        <w:rPr>
          <w:rFonts w:ascii="Arial" w:hAnsi="Arial" w:cs="Arial"/>
          <w:b/>
          <w:sz w:val="40"/>
          <w:szCs w:val="32"/>
        </w:rPr>
      </w:pPr>
    </w:p>
    <w:p w14:paraId="00F1D1D5" w14:textId="77777777" w:rsidR="005A0F6E" w:rsidRPr="00B92499" w:rsidRDefault="005A0F6E" w:rsidP="002E7D47">
      <w:pPr>
        <w:contextualSpacing/>
        <w:jc w:val="center"/>
        <w:rPr>
          <w:rFonts w:ascii="Arial" w:hAnsi="Arial" w:cs="Arial"/>
          <w:b/>
          <w:sz w:val="40"/>
          <w:szCs w:val="32"/>
        </w:rPr>
      </w:pPr>
      <w:r w:rsidRPr="00B92499">
        <w:rPr>
          <w:rFonts w:ascii="Arial" w:hAnsi="Arial" w:cs="Arial"/>
          <w:b/>
          <w:sz w:val="40"/>
          <w:szCs w:val="32"/>
        </w:rPr>
        <w:t>Dirección de Estado Abierto, Estudios y Evaluación</w:t>
      </w:r>
    </w:p>
    <w:p w14:paraId="580B9213" w14:textId="77777777" w:rsidR="002E7D47" w:rsidRPr="00B92499" w:rsidRDefault="002E7D47" w:rsidP="002E7D47">
      <w:pPr>
        <w:contextualSpacing/>
        <w:jc w:val="right"/>
        <w:rPr>
          <w:rFonts w:ascii="Arial" w:hAnsi="Arial" w:cs="Arial"/>
          <w:b/>
          <w:sz w:val="32"/>
          <w:szCs w:val="32"/>
        </w:rPr>
      </w:pPr>
    </w:p>
    <w:p w14:paraId="4EEFB77F" w14:textId="77777777" w:rsidR="002E7D47" w:rsidRPr="00B92499" w:rsidRDefault="002E7D47" w:rsidP="002E7D47">
      <w:pPr>
        <w:contextualSpacing/>
        <w:jc w:val="right"/>
        <w:rPr>
          <w:rFonts w:ascii="Arial" w:hAnsi="Arial" w:cs="Arial"/>
          <w:b/>
          <w:sz w:val="32"/>
          <w:szCs w:val="32"/>
        </w:rPr>
      </w:pPr>
    </w:p>
    <w:p w14:paraId="5D5F6B36" w14:textId="77777777" w:rsidR="002E7D47" w:rsidRPr="00B92499" w:rsidRDefault="002E7D47" w:rsidP="002E7D47">
      <w:pPr>
        <w:contextualSpacing/>
        <w:jc w:val="right"/>
        <w:rPr>
          <w:rFonts w:ascii="Arial" w:hAnsi="Arial" w:cs="Arial"/>
          <w:b/>
          <w:sz w:val="32"/>
          <w:szCs w:val="32"/>
        </w:rPr>
      </w:pPr>
    </w:p>
    <w:p w14:paraId="30A0DBEC" w14:textId="77777777" w:rsidR="002E7D47" w:rsidRPr="00B92499" w:rsidRDefault="002E7D47" w:rsidP="002E7D47">
      <w:pPr>
        <w:contextualSpacing/>
        <w:jc w:val="right"/>
        <w:rPr>
          <w:rFonts w:ascii="Arial" w:hAnsi="Arial" w:cs="Arial"/>
          <w:b/>
          <w:sz w:val="40"/>
          <w:szCs w:val="32"/>
        </w:rPr>
      </w:pPr>
    </w:p>
    <w:p w14:paraId="2621B664" w14:textId="3576746C" w:rsidR="005A0F6E" w:rsidRPr="00B92499" w:rsidRDefault="00571554" w:rsidP="002E7D47">
      <w:pPr>
        <w:contextualSpacing/>
        <w:jc w:val="right"/>
        <w:rPr>
          <w:rFonts w:ascii="Arial" w:hAnsi="Arial" w:cs="Arial"/>
          <w:b/>
          <w:sz w:val="40"/>
          <w:szCs w:val="32"/>
        </w:rPr>
      </w:pPr>
      <w:r w:rsidRPr="00B92499">
        <w:rPr>
          <w:rFonts w:ascii="Arial" w:hAnsi="Arial" w:cs="Arial"/>
          <w:b/>
          <w:sz w:val="40"/>
          <w:szCs w:val="32"/>
        </w:rPr>
        <w:t>30</w:t>
      </w:r>
      <w:r w:rsidR="005A0F6E" w:rsidRPr="00B92499">
        <w:rPr>
          <w:rFonts w:ascii="Arial" w:hAnsi="Arial" w:cs="Arial"/>
          <w:b/>
          <w:sz w:val="40"/>
          <w:szCs w:val="32"/>
        </w:rPr>
        <w:t xml:space="preserve"> de </w:t>
      </w:r>
      <w:r w:rsidR="004D3279" w:rsidRPr="00B92499">
        <w:rPr>
          <w:rFonts w:ascii="Arial" w:hAnsi="Arial" w:cs="Arial"/>
          <w:b/>
          <w:sz w:val="40"/>
          <w:szCs w:val="32"/>
        </w:rPr>
        <w:t>octubre</w:t>
      </w:r>
      <w:r w:rsidR="005A0F6E" w:rsidRPr="00B92499">
        <w:rPr>
          <w:rFonts w:ascii="Arial" w:hAnsi="Arial" w:cs="Arial"/>
          <w:b/>
          <w:sz w:val="40"/>
          <w:szCs w:val="32"/>
        </w:rPr>
        <w:t xml:space="preserve"> de 2019</w:t>
      </w:r>
    </w:p>
    <w:p w14:paraId="765EE301" w14:textId="77777777" w:rsidR="00387542" w:rsidRPr="00B92499" w:rsidRDefault="00387542" w:rsidP="002E7D47">
      <w:pPr>
        <w:tabs>
          <w:tab w:val="left" w:pos="5121"/>
        </w:tabs>
        <w:autoSpaceDE w:val="0"/>
        <w:autoSpaceDN w:val="0"/>
        <w:adjustRightInd w:val="0"/>
        <w:spacing w:line="360" w:lineRule="auto"/>
        <w:contextualSpacing/>
        <w:jc w:val="both"/>
        <w:rPr>
          <w:rFonts w:ascii="Arial" w:hAnsi="Arial" w:cs="Arial"/>
          <w:b/>
        </w:rPr>
      </w:pPr>
      <w:r w:rsidRPr="00B92499">
        <w:rPr>
          <w:rFonts w:ascii="Arial" w:hAnsi="Arial" w:cs="Arial"/>
          <w:b/>
        </w:rPr>
        <w:tab/>
      </w:r>
    </w:p>
    <w:p w14:paraId="3137A4E9" w14:textId="77777777" w:rsidR="005A0F6E" w:rsidRPr="00B92499" w:rsidRDefault="005A0F6E" w:rsidP="002E7D47">
      <w:pPr>
        <w:contextualSpacing/>
        <w:rPr>
          <w:rFonts w:ascii="Arial" w:hAnsi="Arial" w:cs="Arial"/>
          <w:b/>
        </w:rPr>
      </w:pPr>
      <w:r w:rsidRPr="00B92499">
        <w:rPr>
          <w:rFonts w:ascii="Arial" w:hAnsi="Arial" w:cs="Arial"/>
          <w:b/>
        </w:rPr>
        <w:br w:type="page"/>
      </w:r>
    </w:p>
    <w:p w14:paraId="3EBE48C0" w14:textId="77777777" w:rsidR="00AF69FA" w:rsidRPr="00B92499" w:rsidRDefault="00AF69FA" w:rsidP="002E7D47">
      <w:pPr>
        <w:autoSpaceDE w:val="0"/>
        <w:autoSpaceDN w:val="0"/>
        <w:adjustRightInd w:val="0"/>
        <w:spacing w:line="360" w:lineRule="auto"/>
        <w:contextualSpacing/>
        <w:jc w:val="center"/>
        <w:rPr>
          <w:rFonts w:ascii="Arial" w:hAnsi="Arial" w:cs="Arial"/>
          <w:b/>
        </w:rPr>
      </w:pPr>
      <w:r w:rsidRPr="00B92499">
        <w:rPr>
          <w:rFonts w:ascii="Arial" w:hAnsi="Arial" w:cs="Arial"/>
          <w:b/>
        </w:rPr>
        <w:lastRenderedPageBreak/>
        <w:t>ÍNDICE</w:t>
      </w:r>
    </w:p>
    <w:sdt>
      <w:sdtPr>
        <w:rPr>
          <w:rFonts w:ascii="Arial" w:eastAsiaTheme="minorHAnsi" w:hAnsi="Arial" w:cs="Arial"/>
          <w:color w:val="auto"/>
          <w:sz w:val="22"/>
          <w:szCs w:val="22"/>
          <w:lang w:val="es-ES_tradnl" w:eastAsia="en-US"/>
        </w:rPr>
        <w:id w:val="97077162"/>
        <w:docPartObj>
          <w:docPartGallery w:val="Table of Contents"/>
          <w:docPartUnique/>
        </w:docPartObj>
      </w:sdtPr>
      <w:sdtEndPr>
        <w:rPr>
          <w:rFonts w:eastAsia="Times New Roman"/>
          <w:b/>
          <w:bCs/>
          <w:sz w:val="24"/>
          <w:szCs w:val="24"/>
          <w:lang w:val="es-MX" w:eastAsia="es-ES_tradnl"/>
        </w:rPr>
      </w:sdtEndPr>
      <w:sdtContent>
        <w:p w14:paraId="24F9B9E1" w14:textId="77777777" w:rsidR="00552574" w:rsidRPr="00B92499" w:rsidRDefault="00552574" w:rsidP="00C9398D">
          <w:pPr>
            <w:pStyle w:val="TtuloTDC"/>
            <w:jc w:val="both"/>
            <w:rPr>
              <w:rFonts w:ascii="Arial" w:hAnsi="Arial" w:cs="Arial"/>
              <w:sz w:val="22"/>
              <w:szCs w:val="22"/>
              <w:lang w:val="es-ES_tradnl"/>
            </w:rPr>
          </w:pPr>
        </w:p>
        <w:p w14:paraId="2C0268BE" w14:textId="0DB2DF8A" w:rsidR="00661F74" w:rsidRPr="00B92499" w:rsidRDefault="00552574">
          <w:pPr>
            <w:pStyle w:val="TDC1"/>
            <w:tabs>
              <w:tab w:val="right" w:leader="dot" w:pos="8828"/>
            </w:tabs>
            <w:rPr>
              <w:rFonts w:cstheme="minorBidi"/>
              <w:noProof/>
              <w:sz w:val="24"/>
              <w:szCs w:val="24"/>
            </w:rPr>
          </w:pPr>
          <w:r w:rsidRPr="00B92499">
            <w:rPr>
              <w:rFonts w:ascii="Arial" w:hAnsi="Arial" w:cs="Arial"/>
            </w:rPr>
            <w:fldChar w:fldCharType="begin"/>
          </w:r>
          <w:r w:rsidRPr="00B92499">
            <w:rPr>
              <w:rFonts w:ascii="Arial" w:hAnsi="Arial" w:cs="Arial"/>
            </w:rPr>
            <w:instrText xml:space="preserve"> TOC \o "1-3" \h \z \u </w:instrText>
          </w:r>
          <w:r w:rsidRPr="00B92499">
            <w:rPr>
              <w:rFonts w:ascii="Arial" w:hAnsi="Arial" w:cs="Arial"/>
            </w:rPr>
            <w:fldChar w:fldCharType="separate"/>
          </w:r>
          <w:hyperlink w:anchor="_Toc23252960" w:history="1">
            <w:r w:rsidR="00661F74" w:rsidRPr="00B92499">
              <w:rPr>
                <w:rStyle w:val="Hipervnculo"/>
                <w:rFonts w:ascii="Arial" w:hAnsi="Arial" w:cs="Arial"/>
                <w:b/>
                <w:noProof/>
              </w:rPr>
              <w:t>INFORME RESPECTO DE LA SEGUNDA EVALUACIÓN VINCULANTE 2019</w:t>
            </w:r>
            <w:r w:rsidR="00661F74" w:rsidRPr="00B92499">
              <w:rPr>
                <w:noProof/>
                <w:webHidden/>
              </w:rPr>
              <w:tab/>
            </w:r>
            <w:r w:rsidR="00661F74" w:rsidRPr="00B92499">
              <w:rPr>
                <w:noProof/>
                <w:webHidden/>
              </w:rPr>
              <w:fldChar w:fldCharType="begin"/>
            </w:r>
            <w:r w:rsidR="00661F74" w:rsidRPr="00B92499">
              <w:rPr>
                <w:noProof/>
                <w:webHidden/>
              </w:rPr>
              <w:instrText xml:space="preserve"> PAGEREF _Toc23252960 \h </w:instrText>
            </w:r>
            <w:r w:rsidR="00661F74" w:rsidRPr="00B92499">
              <w:rPr>
                <w:noProof/>
                <w:webHidden/>
              </w:rPr>
            </w:r>
            <w:r w:rsidR="00661F74" w:rsidRPr="00B92499">
              <w:rPr>
                <w:noProof/>
                <w:webHidden/>
              </w:rPr>
              <w:fldChar w:fldCharType="separate"/>
            </w:r>
            <w:r w:rsidR="00661F74" w:rsidRPr="00B92499">
              <w:rPr>
                <w:noProof/>
                <w:webHidden/>
              </w:rPr>
              <w:t>1</w:t>
            </w:r>
            <w:r w:rsidR="00661F74" w:rsidRPr="00B92499">
              <w:rPr>
                <w:noProof/>
                <w:webHidden/>
              </w:rPr>
              <w:fldChar w:fldCharType="end"/>
            </w:r>
          </w:hyperlink>
        </w:p>
        <w:p w14:paraId="73791C49" w14:textId="1D1496F5" w:rsidR="00661F74" w:rsidRPr="00B92499" w:rsidRDefault="003B5C22">
          <w:pPr>
            <w:pStyle w:val="TDC1"/>
            <w:tabs>
              <w:tab w:val="right" w:leader="dot" w:pos="8828"/>
            </w:tabs>
            <w:rPr>
              <w:rFonts w:cstheme="minorBidi"/>
              <w:noProof/>
              <w:sz w:val="24"/>
              <w:szCs w:val="24"/>
            </w:rPr>
          </w:pPr>
          <w:hyperlink w:anchor="_Toc23252961" w:history="1">
            <w:r w:rsidR="00661F74" w:rsidRPr="00B92499">
              <w:rPr>
                <w:rStyle w:val="Hipervnculo"/>
                <w:rFonts w:ascii="Arial" w:hAnsi="Arial" w:cs="Arial"/>
                <w:b/>
                <w:noProof/>
              </w:rPr>
              <w:t>SÍNTESIS DE LOS ARTÍCULOS DE LAS OBLIGACIONES DE TRANSPARENCIA ANALIZADOS</w:t>
            </w:r>
            <w:r w:rsidR="00661F74" w:rsidRPr="00B92499">
              <w:rPr>
                <w:noProof/>
                <w:webHidden/>
              </w:rPr>
              <w:tab/>
            </w:r>
            <w:r w:rsidR="00661F74" w:rsidRPr="00B92499">
              <w:rPr>
                <w:noProof/>
                <w:webHidden/>
              </w:rPr>
              <w:fldChar w:fldCharType="begin"/>
            </w:r>
            <w:r w:rsidR="00661F74" w:rsidRPr="00B92499">
              <w:rPr>
                <w:noProof/>
                <w:webHidden/>
              </w:rPr>
              <w:instrText xml:space="preserve"> PAGEREF _Toc23252961 \h </w:instrText>
            </w:r>
            <w:r w:rsidR="00661F74" w:rsidRPr="00B92499">
              <w:rPr>
                <w:noProof/>
                <w:webHidden/>
              </w:rPr>
            </w:r>
            <w:r w:rsidR="00661F74" w:rsidRPr="00B92499">
              <w:rPr>
                <w:noProof/>
                <w:webHidden/>
              </w:rPr>
              <w:fldChar w:fldCharType="separate"/>
            </w:r>
            <w:r w:rsidR="00661F74" w:rsidRPr="00B92499">
              <w:rPr>
                <w:noProof/>
                <w:webHidden/>
              </w:rPr>
              <w:t>7</w:t>
            </w:r>
            <w:r w:rsidR="00661F74" w:rsidRPr="00B92499">
              <w:rPr>
                <w:noProof/>
                <w:webHidden/>
              </w:rPr>
              <w:fldChar w:fldCharType="end"/>
            </w:r>
          </w:hyperlink>
        </w:p>
        <w:p w14:paraId="083EFF81" w14:textId="44E45AC7" w:rsidR="00661F74" w:rsidRPr="00B92499" w:rsidRDefault="003B5C22">
          <w:pPr>
            <w:pStyle w:val="TDC2"/>
            <w:tabs>
              <w:tab w:val="right" w:leader="dot" w:pos="8828"/>
            </w:tabs>
            <w:rPr>
              <w:rFonts w:cstheme="minorBidi"/>
              <w:noProof/>
              <w:sz w:val="24"/>
              <w:szCs w:val="24"/>
            </w:rPr>
          </w:pPr>
          <w:hyperlink w:anchor="_Toc23252962" w:history="1">
            <w:r w:rsidR="00661F74" w:rsidRPr="00B92499">
              <w:rPr>
                <w:rStyle w:val="Hipervnculo"/>
                <w:rFonts w:ascii="Arial" w:hAnsi="Arial" w:cs="Arial"/>
                <w:b/>
                <w:noProof/>
              </w:rPr>
              <w:t>Obligaciones Comunes de la Ley local de Transparencia</w:t>
            </w:r>
            <w:r w:rsidR="00661F74" w:rsidRPr="00B92499">
              <w:rPr>
                <w:noProof/>
                <w:webHidden/>
              </w:rPr>
              <w:tab/>
            </w:r>
            <w:r w:rsidR="00661F74" w:rsidRPr="00B92499">
              <w:rPr>
                <w:noProof/>
                <w:webHidden/>
              </w:rPr>
              <w:fldChar w:fldCharType="begin"/>
            </w:r>
            <w:r w:rsidR="00661F74" w:rsidRPr="00B92499">
              <w:rPr>
                <w:noProof/>
                <w:webHidden/>
              </w:rPr>
              <w:instrText xml:space="preserve"> PAGEREF _Toc23252962 \h </w:instrText>
            </w:r>
            <w:r w:rsidR="00661F74" w:rsidRPr="00B92499">
              <w:rPr>
                <w:noProof/>
                <w:webHidden/>
              </w:rPr>
            </w:r>
            <w:r w:rsidR="00661F74" w:rsidRPr="00B92499">
              <w:rPr>
                <w:noProof/>
                <w:webHidden/>
              </w:rPr>
              <w:fldChar w:fldCharType="separate"/>
            </w:r>
            <w:r w:rsidR="00661F74" w:rsidRPr="00B92499">
              <w:rPr>
                <w:noProof/>
                <w:webHidden/>
              </w:rPr>
              <w:t>7</w:t>
            </w:r>
            <w:r w:rsidR="00661F74" w:rsidRPr="00B92499">
              <w:rPr>
                <w:noProof/>
                <w:webHidden/>
              </w:rPr>
              <w:fldChar w:fldCharType="end"/>
            </w:r>
          </w:hyperlink>
        </w:p>
        <w:p w14:paraId="73DCA963" w14:textId="212AC34C" w:rsidR="00661F74" w:rsidRPr="00B92499" w:rsidRDefault="003B5C22">
          <w:pPr>
            <w:pStyle w:val="TDC2"/>
            <w:tabs>
              <w:tab w:val="right" w:leader="dot" w:pos="8828"/>
            </w:tabs>
            <w:rPr>
              <w:rFonts w:cstheme="minorBidi"/>
              <w:noProof/>
              <w:sz w:val="24"/>
              <w:szCs w:val="24"/>
            </w:rPr>
          </w:pPr>
          <w:hyperlink w:anchor="_Toc23252963" w:history="1">
            <w:r w:rsidR="00661F74" w:rsidRPr="00B92499">
              <w:rPr>
                <w:rStyle w:val="Hipervnculo"/>
                <w:rFonts w:ascii="Arial" w:hAnsi="Arial" w:cs="Arial"/>
                <w:b/>
                <w:noProof/>
              </w:rPr>
              <w:t>Obligaciones Específicas de la Ley local de Transparencia</w:t>
            </w:r>
            <w:r w:rsidR="00661F74" w:rsidRPr="00B92499">
              <w:rPr>
                <w:noProof/>
                <w:webHidden/>
              </w:rPr>
              <w:tab/>
            </w:r>
            <w:r w:rsidR="00661F74" w:rsidRPr="00B92499">
              <w:rPr>
                <w:noProof/>
                <w:webHidden/>
              </w:rPr>
              <w:fldChar w:fldCharType="begin"/>
            </w:r>
            <w:r w:rsidR="00661F74" w:rsidRPr="00B92499">
              <w:rPr>
                <w:noProof/>
                <w:webHidden/>
              </w:rPr>
              <w:instrText xml:space="preserve"> PAGEREF _Toc23252963 \h </w:instrText>
            </w:r>
            <w:r w:rsidR="00661F74" w:rsidRPr="00B92499">
              <w:rPr>
                <w:noProof/>
                <w:webHidden/>
              </w:rPr>
            </w:r>
            <w:r w:rsidR="00661F74" w:rsidRPr="00B92499">
              <w:rPr>
                <w:noProof/>
                <w:webHidden/>
              </w:rPr>
              <w:fldChar w:fldCharType="separate"/>
            </w:r>
            <w:r w:rsidR="00661F74" w:rsidRPr="00B92499">
              <w:rPr>
                <w:noProof/>
                <w:webHidden/>
              </w:rPr>
              <w:t>7</w:t>
            </w:r>
            <w:r w:rsidR="00661F74" w:rsidRPr="00B92499">
              <w:rPr>
                <w:noProof/>
                <w:webHidden/>
              </w:rPr>
              <w:fldChar w:fldCharType="end"/>
            </w:r>
          </w:hyperlink>
        </w:p>
        <w:p w14:paraId="735B3DA3" w14:textId="1FBBF40E" w:rsidR="00661F74" w:rsidRPr="00B92499" w:rsidRDefault="003B5C22">
          <w:pPr>
            <w:pStyle w:val="TDC2"/>
            <w:tabs>
              <w:tab w:val="right" w:leader="dot" w:pos="8828"/>
            </w:tabs>
            <w:rPr>
              <w:rFonts w:cstheme="minorBidi"/>
              <w:noProof/>
              <w:sz w:val="24"/>
              <w:szCs w:val="24"/>
            </w:rPr>
          </w:pPr>
          <w:hyperlink w:anchor="_Toc23252964" w:history="1">
            <w:r w:rsidR="00661F74" w:rsidRPr="00B92499">
              <w:rPr>
                <w:rStyle w:val="Hipervnculo"/>
                <w:rFonts w:ascii="Arial" w:hAnsi="Arial" w:cs="Arial"/>
                <w:b/>
                <w:noProof/>
              </w:rPr>
              <w:t>Disposiciones Particulares de la Ley local de Transparencia</w:t>
            </w:r>
            <w:r w:rsidR="00661F74" w:rsidRPr="00B92499">
              <w:rPr>
                <w:noProof/>
                <w:webHidden/>
              </w:rPr>
              <w:tab/>
            </w:r>
            <w:r w:rsidR="00661F74" w:rsidRPr="00B92499">
              <w:rPr>
                <w:noProof/>
                <w:webHidden/>
              </w:rPr>
              <w:fldChar w:fldCharType="begin"/>
            </w:r>
            <w:r w:rsidR="00661F74" w:rsidRPr="00B92499">
              <w:rPr>
                <w:noProof/>
                <w:webHidden/>
              </w:rPr>
              <w:instrText xml:space="preserve"> PAGEREF _Toc23252964 \h </w:instrText>
            </w:r>
            <w:r w:rsidR="00661F74" w:rsidRPr="00B92499">
              <w:rPr>
                <w:noProof/>
                <w:webHidden/>
              </w:rPr>
            </w:r>
            <w:r w:rsidR="00661F74" w:rsidRPr="00B92499">
              <w:rPr>
                <w:noProof/>
                <w:webHidden/>
              </w:rPr>
              <w:fldChar w:fldCharType="separate"/>
            </w:r>
            <w:r w:rsidR="00661F74" w:rsidRPr="00B92499">
              <w:rPr>
                <w:noProof/>
                <w:webHidden/>
              </w:rPr>
              <w:t>12</w:t>
            </w:r>
            <w:r w:rsidR="00661F74" w:rsidRPr="00B92499">
              <w:rPr>
                <w:noProof/>
                <w:webHidden/>
              </w:rPr>
              <w:fldChar w:fldCharType="end"/>
            </w:r>
          </w:hyperlink>
        </w:p>
        <w:p w14:paraId="0E588E07" w14:textId="5D4A2CEC" w:rsidR="00661F74" w:rsidRPr="00B92499" w:rsidRDefault="003B5C22">
          <w:pPr>
            <w:pStyle w:val="TDC1"/>
            <w:tabs>
              <w:tab w:val="right" w:leader="dot" w:pos="8828"/>
            </w:tabs>
            <w:rPr>
              <w:rFonts w:cstheme="minorBidi"/>
              <w:noProof/>
              <w:sz w:val="24"/>
              <w:szCs w:val="24"/>
            </w:rPr>
          </w:pPr>
          <w:hyperlink w:anchor="_Toc23252965" w:history="1">
            <w:r w:rsidR="00661F74" w:rsidRPr="00B92499">
              <w:rPr>
                <w:rStyle w:val="Hipervnculo"/>
                <w:rFonts w:ascii="Arial" w:hAnsi="Arial" w:cs="Arial"/>
                <w:b/>
                <w:noProof/>
              </w:rPr>
              <w:t>RESULTADOS GLOBALES DE LA EVALUACIÓN DEL CUMPLIMIENTO DE OBLIGACIONES DE TRANSPARENCIA SOBRE LA INFORMACIÓN DEL PRIMER SEMESTRE DEL AÑO 2019 POR PARTE DE 35 SUJETOS OBLIGADOS DE RECIENTE INCORPORACIÓN AL PADRÓN</w:t>
            </w:r>
            <w:r w:rsidR="00661F74" w:rsidRPr="00B92499">
              <w:rPr>
                <w:noProof/>
                <w:webHidden/>
              </w:rPr>
              <w:tab/>
            </w:r>
            <w:r w:rsidR="00661F74" w:rsidRPr="00B92499">
              <w:rPr>
                <w:noProof/>
                <w:webHidden/>
              </w:rPr>
              <w:fldChar w:fldCharType="begin"/>
            </w:r>
            <w:r w:rsidR="00661F74" w:rsidRPr="00B92499">
              <w:rPr>
                <w:noProof/>
                <w:webHidden/>
              </w:rPr>
              <w:instrText xml:space="preserve"> PAGEREF _Toc23252965 \h </w:instrText>
            </w:r>
            <w:r w:rsidR="00661F74" w:rsidRPr="00B92499">
              <w:rPr>
                <w:noProof/>
                <w:webHidden/>
              </w:rPr>
            </w:r>
            <w:r w:rsidR="00661F74" w:rsidRPr="00B92499">
              <w:rPr>
                <w:noProof/>
                <w:webHidden/>
              </w:rPr>
              <w:fldChar w:fldCharType="separate"/>
            </w:r>
            <w:r w:rsidR="00661F74" w:rsidRPr="00B92499">
              <w:rPr>
                <w:noProof/>
                <w:webHidden/>
              </w:rPr>
              <w:t>14</w:t>
            </w:r>
            <w:r w:rsidR="00661F74" w:rsidRPr="00B92499">
              <w:rPr>
                <w:noProof/>
                <w:webHidden/>
              </w:rPr>
              <w:fldChar w:fldCharType="end"/>
            </w:r>
          </w:hyperlink>
        </w:p>
        <w:p w14:paraId="764D6719" w14:textId="7B343CD4" w:rsidR="00661F74" w:rsidRPr="00B92499" w:rsidRDefault="003B5C22">
          <w:pPr>
            <w:pStyle w:val="TDC1"/>
            <w:tabs>
              <w:tab w:val="right" w:leader="dot" w:pos="8828"/>
            </w:tabs>
            <w:rPr>
              <w:rFonts w:cstheme="minorBidi"/>
              <w:noProof/>
              <w:sz w:val="24"/>
              <w:szCs w:val="24"/>
            </w:rPr>
          </w:pPr>
          <w:hyperlink w:anchor="_Toc23252966" w:history="1">
            <w:r w:rsidR="00661F74" w:rsidRPr="00B92499">
              <w:rPr>
                <w:rStyle w:val="Hipervnculo"/>
                <w:rFonts w:ascii="Arial" w:hAnsi="Arial" w:cs="Arial"/>
                <w:b/>
                <w:noProof/>
              </w:rPr>
              <w:t>TABLA DE RESULTADOS DE LA SEGUNDA EVALUACIÓN VINCULANTE 2019, RESPECTO DEL PRIMER SEMESTRE DEL EJERCICIO 2019, SOBRE LOS 35 SUJETOS OBLIGADOS INCORPORADOS AL PADRÓN</w:t>
            </w:r>
            <w:r w:rsidR="00661F74" w:rsidRPr="00B92499">
              <w:rPr>
                <w:noProof/>
                <w:webHidden/>
              </w:rPr>
              <w:tab/>
            </w:r>
            <w:r w:rsidR="00661F74" w:rsidRPr="00B92499">
              <w:rPr>
                <w:noProof/>
                <w:webHidden/>
              </w:rPr>
              <w:fldChar w:fldCharType="begin"/>
            </w:r>
            <w:r w:rsidR="00661F74" w:rsidRPr="00B92499">
              <w:rPr>
                <w:noProof/>
                <w:webHidden/>
              </w:rPr>
              <w:instrText xml:space="preserve"> PAGEREF _Toc23252966 \h </w:instrText>
            </w:r>
            <w:r w:rsidR="00661F74" w:rsidRPr="00B92499">
              <w:rPr>
                <w:noProof/>
                <w:webHidden/>
              </w:rPr>
            </w:r>
            <w:r w:rsidR="00661F74" w:rsidRPr="00B92499">
              <w:rPr>
                <w:noProof/>
                <w:webHidden/>
              </w:rPr>
              <w:fldChar w:fldCharType="separate"/>
            </w:r>
            <w:r w:rsidR="00661F74" w:rsidRPr="00B92499">
              <w:rPr>
                <w:noProof/>
                <w:webHidden/>
              </w:rPr>
              <w:t>18</w:t>
            </w:r>
            <w:r w:rsidR="00661F74" w:rsidRPr="00B92499">
              <w:rPr>
                <w:noProof/>
                <w:webHidden/>
              </w:rPr>
              <w:fldChar w:fldCharType="end"/>
            </w:r>
          </w:hyperlink>
        </w:p>
        <w:p w14:paraId="12793201" w14:textId="2F957240" w:rsidR="00661F74" w:rsidRPr="00B92499" w:rsidRDefault="003B5C22">
          <w:pPr>
            <w:pStyle w:val="TDC1"/>
            <w:tabs>
              <w:tab w:val="left" w:pos="440"/>
              <w:tab w:val="right" w:leader="dot" w:pos="8828"/>
            </w:tabs>
            <w:rPr>
              <w:rFonts w:cstheme="minorBidi"/>
              <w:noProof/>
              <w:sz w:val="24"/>
              <w:szCs w:val="24"/>
            </w:rPr>
          </w:pPr>
          <w:hyperlink w:anchor="_Toc23252967" w:history="1">
            <w:r w:rsidR="00661F74" w:rsidRPr="00B92499">
              <w:rPr>
                <w:rStyle w:val="Hipervnculo"/>
                <w:rFonts w:ascii="Arial" w:hAnsi="Arial" w:cs="Arial"/>
                <w:b/>
                <w:noProof/>
              </w:rPr>
              <w:t>1.</w:t>
            </w:r>
            <w:r w:rsidR="00661F74" w:rsidRPr="00B92499">
              <w:rPr>
                <w:rFonts w:cstheme="minorBidi"/>
                <w:noProof/>
                <w:sz w:val="24"/>
                <w:szCs w:val="24"/>
              </w:rPr>
              <w:tab/>
            </w:r>
            <w:r w:rsidR="00661F74" w:rsidRPr="00B92499">
              <w:rPr>
                <w:rStyle w:val="Hipervnculo"/>
                <w:rFonts w:ascii="Arial" w:hAnsi="Arial" w:cs="Arial"/>
                <w:b/>
                <w:noProof/>
              </w:rPr>
              <w:t>PODER EJECUTIVO</w:t>
            </w:r>
            <w:r w:rsidR="00661F74" w:rsidRPr="00B92499">
              <w:rPr>
                <w:noProof/>
                <w:webHidden/>
              </w:rPr>
              <w:tab/>
            </w:r>
            <w:r w:rsidR="00661F74" w:rsidRPr="00B92499">
              <w:rPr>
                <w:noProof/>
                <w:webHidden/>
              </w:rPr>
              <w:fldChar w:fldCharType="begin"/>
            </w:r>
            <w:r w:rsidR="00661F74" w:rsidRPr="00B92499">
              <w:rPr>
                <w:noProof/>
                <w:webHidden/>
              </w:rPr>
              <w:instrText xml:space="preserve"> PAGEREF _Toc23252967 \h </w:instrText>
            </w:r>
            <w:r w:rsidR="00661F74" w:rsidRPr="00B92499">
              <w:rPr>
                <w:noProof/>
                <w:webHidden/>
              </w:rPr>
            </w:r>
            <w:r w:rsidR="00661F74" w:rsidRPr="00B92499">
              <w:rPr>
                <w:noProof/>
                <w:webHidden/>
              </w:rPr>
              <w:fldChar w:fldCharType="separate"/>
            </w:r>
            <w:r w:rsidR="00661F74" w:rsidRPr="00B92499">
              <w:rPr>
                <w:noProof/>
                <w:webHidden/>
              </w:rPr>
              <w:t>20</w:t>
            </w:r>
            <w:r w:rsidR="00661F74" w:rsidRPr="00B92499">
              <w:rPr>
                <w:noProof/>
                <w:webHidden/>
              </w:rPr>
              <w:fldChar w:fldCharType="end"/>
            </w:r>
          </w:hyperlink>
        </w:p>
        <w:p w14:paraId="4E801705" w14:textId="075B2913" w:rsidR="00661F74" w:rsidRPr="00B92499" w:rsidRDefault="003B5C22">
          <w:pPr>
            <w:pStyle w:val="TDC2"/>
            <w:tabs>
              <w:tab w:val="left" w:pos="880"/>
              <w:tab w:val="right" w:leader="dot" w:pos="8828"/>
            </w:tabs>
            <w:rPr>
              <w:rFonts w:cstheme="minorBidi"/>
              <w:noProof/>
              <w:sz w:val="24"/>
              <w:szCs w:val="24"/>
            </w:rPr>
          </w:pPr>
          <w:hyperlink w:anchor="_Toc23252968" w:history="1">
            <w:r w:rsidR="00661F74" w:rsidRPr="00B92499">
              <w:rPr>
                <w:rStyle w:val="Hipervnculo"/>
                <w:rFonts w:ascii="Arial" w:hAnsi="Arial" w:cs="Arial"/>
                <w:b/>
                <w:noProof/>
              </w:rPr>
              <w:t>1.1.</w:t>
            </w:r>
            <w:r w:rsidR="00661F74" w:rsidRPr="00B92499">
              <w:rPr>
                <w:rFonts w:cstheme="minorBidi"/>
                <w:noProof/>
                <w:sz w:val="24"/>
                <w:szCs w:val="24"/>
              </w:rPr>
              <w:tab/>
            </w:r>
            <w:r w:rsidR="00661F74" w:rsidRPr="00B92499">
              <w:rPr>
                <w:rStyle w:val="Hipervnculo"/>
                <w:rFonts w:ascii="Arial" w:hAnsi="Arial" w:cs="Arial"/>
                <w:b/>
                <w:noProof/>
              </w:rPr>
              <w:t>ADMINISTRACIÓN CENTRAL</w:t>
            </w:r>
            <w:r w:rsidR="00661F74" w:rsidRPr="00B92499">
              <w:rPr>
                <w:noProof/>
                <w:webHidden/>
              </w:rPr>
              <w:tab/>
            </w:r>
            <w:r w:rsidR="00661F74" w:rsidRPr="00B92499">
              <w:rPr>
                <w:noProof/>
                <w:webHidden/>
              </w:rPr>
              <w:fldChar w:fldCharType="begin"/>
            </w:r>
            <w:r w:rsidR="00661F74" w:rsidRPr="00B92499">
              <w:rPr>
                <w:noProof/>
                <w:webHidden/>
              </w:rPr>
              <w:instrText xml:space="preserve"> PAGEREF _Toc23252968 \h </w:instrText>
            </w:r>
            <w:r w:rsidR="00661F74" w:rsidRPr="00B92499">
              <w:rPr>
                <w:noProof/>
                <w:webHidden/>
              </w:rPr>
            </w:r>
            <w:r w:rsidR="00661F74" w:rsidRPr="00B92499">
              <w:rPr>
                <w:noProof/>
                <w:webHidden/>
              </w:rPr>
              <w:fldChar w:fldCharType="separate"/>
            </w:r>
            <w:r w:rsidR="00661F74" w:rsidRPr="00B92499">
              <w:rPr>
                <w:noProof/>
                <w:webHidden/>
              </w:rPr>
              <w:t>20</w:t>
            </w:r>
            <w:r w:rsidR="00661F74" w:rsidRPr="00B92499">
              <w:rPr>
                <w:noProof/>
                <w:webHidden/>
              </w:rPr>
              <w:fldChar w:fldCharType="end"/>
            </w:r>
          </w:hyperlink>
        </w:p>
        <w:p w14:paraId="22FFFFAC" w14:textId="67C09AA9" w:rsidR="00661F74" w:rsidRPr="00B92499" w:rsidRDefault="003B5C22">
          <w:pPr>
            <w:pStyle w:val="TDC3"/>
            <w:tabs>
              <w:tab w:val="left" w:pos="1320"/>
              <w:tab w:val="right" w:leader="dot" w:pos="8828"/>
            </w:tabs>
            <w:rPr>
              <w:rFonts w:cstheme="minorBidi"/>
              <w:noProof/>
              <w:sz w:val="24"/>
              <w:szCs w:val="24"/>
            </w:rPr>
          </w:pPr>
          <w:hyperlink w:anchor="_Toc23252969" w:history="1">
            <w:r w:rsidR="00661F74" w:rsidRPr="00B92499">
              <w:rPr>
                <w:rStyle w:val="Hipervnculo"/>
                <w:rFonts w:ascii="Arial" w:hAnsi="Arial" w:cs="Arial"/>
                <w:b/>
                <w:noProof/>
              </w:rPr>
              <w:t>1.1.1.</w:t>
            </w:r>
            <w:r w:rsidR="00661F74" w:rsidRPr="00B92499">
              <w:rPr>
                <w:rFonts w:cstheme="minorBidi"/>
                <w:noProof/>
                <w:sz w:val="24"/>
                <w:szCs w:val="24"/>
              </w:rPr>
              <w:tab/>
            </w:r>
            <w:r w:rsidR="00661F74" w:rsidRPr="00B92499">
              <w:rPr>
                <w:rStyle w:val="Hipervnculo"/>
                <w:rFonts w:ascii="Arial" w:hAnsi="Arial" w:cs="Arial"/>
                <w:b/>
                <w:noProof/>
              </w:rPr>
              <w:t>Análisis global de cumplimiento de la Administración Central</w:t>
            </w:r>
            <w:r w:rsidR="00661F74" w:rsidRPr="00B92499">
              <w:rPr>
                <w:noProof/>
                <w:webHidden/>
              </w:rPr>
              <w:tab/>
            </w:r>
            <w:r w:rsidR="00661F74" w:rsidRPr="00B92499">
              <w:rPr>
                <w:noProof/>
                <w:webHidden/>
              </w:rPr>
              <w:fldChar w:fldCharType="begin"/>
            </w:r>
            <w:r w:rsidR="00661F74" w:rsidRPr="00B92499">
              <w:rPr>
                <w:noProof/>
                <w:webHidden/>
              </w:rPr>
              <w:instrText xml:space="preserve"> PAGEREF _Toc23252969 \h </w:instrText>
            </w:r>
            <w:r w:rsidR="00661F74" w:rsidRPr="00B92499">
              <w:rPr>
                <w:noProof/>
                <w:webHidden/>
              </w:rPr>
            </w:r>
            <w:r w:rsidR="00661F74" w:rsidRPr="00B92499">
              <w:rPr>
                <w:noProof/>
                <w:webHidden/>
              </w:rPr>
              <w:fldChar w:fldCharType="separate"/>
            </w:r>
            <w:r w:rsidR="00661F74" w:rsidRPr="00B92499">
              <w:rPr>
                <w:noProof/>
                <w:webHidden/>
              </w:rPr>
              <w:t>22</w:t>
            </w:r>
            <w:r w:rsidR="00661F74" w:rsidRPr="00B92499">
              <w:rPr>
                <w:noProof/>
                <w:webHidden/>
              </w:rPr>
              <w:fldChar w:fldCharType="end"/>
            </w:r>
          </w:hyperlink>
        </w:p>
        <w:p w14:paraId="52002FB1" w14:textId="33CBCD18" w:rsidR="00661F74" w:rsidRPr="00B92499" w:rsidRDefault="003B5C22">
          <w:pPr>
            <w:pStyle w:val="TDC3"/>
            <w:tabs>
              <w:tab w:val="left" w:pos="1320"/>
              <w:tab w:val="right" w:leader="dot" w:pos="8828"/>
            </w:tabs>
            <w:rPr>
              <w:rFonts w:cstheme="minorBidi"/>
              <w:noProof/>
              <w:sz w:val="24"/>
              <w:szCs w:val="24"/>
            </w:rPr>
          </w:pPr>
          <w:hyperlink w:anchor="_Toc23252970" w:history="1">
            <w:r w:rsidR="00661F74" w:rsidRPr="00B92499">
              <w:rPr>
                <w:rStyle w:val="Hipervnculo"/>
                <w:rFonts w:ascii="Arial" w:hAnsi="Arial" w:cs="Arial"/>
                <w:b/>
                <w:noProof/>
              </w:rPr>
              <w:t>1.1.2.</w:t>
            </w:r>
            <w:r w:rsidR="00661F74" w:rsidRPr="00B92499">
              <w:rPr>
                <w:rFonts w:cstheme="minorBidi"/>
                <w:noProof/>
                <w:sz w:val="24"/>
                <w:szCs w:val="24"/>
              </w:rPr>
              <w:tab/>
            </w:r>
            <w:r w:rsidR="00661F74" w:rsidRPr="00B92499">
              <w:rPr>
                <w:rStyle w:val="Hipervnculo"/>
                <w:rFonts w:ascii="Arial" w:hAnsi="Arial" w:cs="Arial"/>
                <w:b/>
                <w:noProof/>
              </w:rPr>
              <w:t>Análisis del artículo 121 y sus respectivas fracciones</w:t>
            </w:r>
            <w:r w:rsidR="00661F74" w:rsidRPr="00B92499">
              <w:rPr>
                <w:noProof/>
                <w:webHidden/>
              </w:rPr>
              <w:tab/>
            </w:r>
            <w:r w:rsidR="00661F74" w:rsidRPr="00B92499">
              <w:rPr>
                <w:noProof/>
                <w:webHidden/>
              </w:rPr>
              <w:fldChar w:fldCharType="begin"/>
            </w:r>
            <w:r w:rsidR="00661F74" w:rsidRPr="00B92499">
              <w:rPr>
                <w:noProof/>
                <w:webHidden/>
              </w:rPr>
              <w:instrText xml:space="preserve"> PAGEREF _Toc23252970 \h </w:instrText>
            </w:r>
            <w:r w:rsidR="00661F74" w:rsidRPr="00B92499">
              <w:rPr>
                <w:noProof/>
                <w:webHidden/>
              </w:rPr>
            </w:r>
            <w:r w:rsidR="00661F74" w:rsidRPr="00B92499">
              <w:rPr>
                <w:noProof/>
                <w:webHidden/>
              </w:rPr>
              <w:fldChar w:fldCharType="separate"/>
            </w:r>
            <w:r w:rsidR="00661F74" w:rsidRPr="00B92499">
              <w:rPr>
                <w:noProof/>
                <w:webHidden/>
              </w:rPr>
              <w:t>23</w:t>
            </w:r>
            <w:r w:rsidR="00661F74" w:rsidRPr="00B92499">
              <w:rPr>
                <w:noProof/>
                <w:webHidden/>
              </w:rPr>
              <w:fldChar w:fldCharType="end"/>
            </w:r>
          </w:hyperlink>
        </w:p>
        <w:p w14:paraId="6C327AB5" w14:textId="7511425E" w:rsidR="00661F74" w:rsidRPr="00B92499" w:rsidRDefault="003B5C22">
          <w:pPr>
            <w:pStyle w:val="TDC3"/>
            <w:tabs>
              <w:tab w:val="left" w:pos="1320"/>
              <w:tab w:val="right" w:leader="dot" w:pos="8828"/>
            </w:tabs>
            <w:rPr>
              <w:rFonts w:cstheme="minorBidi"/>
              <w:noProof/>
              <w:sz w:val="24"/>
              <w:szCs w:val="24"/>
            </w:rPr>
          </w:pPr>
          <w:hyperlink w:anchor="_Toc23252971" w:history="1">
            <w:r w:rsidR="00661F74" w:rsidRPr="00B92499">
              <w:rPr>
                <w:rStyle w:val="Hipervnculo"/>
                <w:rFonts w:ascii="Arial" w:hAnsi="Arial" w:cs="Arial"/>
                <w:b/>
                <w:noProof/>
              </w:rPr>
              <w:t>1.1.3.</w:t>
            </w:r>
            <w:r w:rsidR="00661F74" w:rsidRPr="00B92499">
              <w:rPr>
                <w:rFonts w:cstheme="minorBidi"/>
                <w:noProof/>
                <w:sz w:val="24"/>
                <w:szCs w:val="24"/>
              </w:rPr>
              <w:tab/>
            </w:r>
            <w:r w:rsidR="00661F74" w:rsidRPr="00B92499">
              <w:rPr>
                <w:rStyle w:val="Hipervnculo"/>
                <w:rFonts w:ascii="Arial" w:hAnsi="Arial" w:cs="Arial"/>
                <w:b/>
                <w:noProof/>
              </w:rPr>
              <w:t>Análisis del artículo 122 y sus respectivas fracciones</w:t>
            </w:r>
            <w:r w:rsidR="00661F74" w:rsidRPr="00B92499">
              <w:rPr>
                <w:noProof/>
                <w:webHidden/>
              </w:rPr>
              <w:tab/>
            </w:r>
            <w:r w:rsidR="00661F74" w:rsidRPr="00B92499">
              <w:rPr>
                <w:noProof/>
                <w:webHidden/>
              </w:rPr>
              <w:fldChar w:fldCharType="begin"/>
            </w:r>
            <w:r w:rsidR="00661F74" w:rsidRPr="00B92499">
              <w:rPr>
                <w:noProof/>
                <w:webHidden/>
              </w:rPr>
              <w:instrText xml:space="preserve"> PAGEREF _Toc23252971 \h </w:instrText>
            </w:r>
            <w:r w:rsidR="00661F74" w:rsidRPr="00B92499">
              <w:rPr>
                <w:noProof/>
                <w:webHidden/>
              </w:rPr>
            </w:r>
            <w:r w:rsidR="00661F74" w:rsidRPr="00B92499">
              <w:rPr>
                <w:noProof/>
                <w:webHidden/>
              </w:rPr>
              <w:fldChar w:fldCharType="separate"/>
            </w:r>
            <w:r w:rsidR="00661F74" w:rsidRPr="00B92499">
              <w:rPr>
                <w:noProof/>
                <w:webHidden/>
              </w:rPr>
              <w:t>27</w:t>
            </w:r>
            <w:r w:rsidR="00661F74" w:rsidRPr="00B92499">
              <w:rPr>
                <w:noProof/>
                <w:webHidden/>
              </w:rPr>
              <w:fldChar w:fldCharType="end"/>
            </w:r>
          </w:hyperlink>
        </w:p>
        <w:p w14:paraId="679A50B0" w14:textId="60147783" w:rsidR="00661F74" w:rsidRPr="00B92499" w:rsidRDefault="003B5C22">
          <w:pPr>
            <w:pStyle w:val="TDC3"/>
            <w:tabs>
              <w:tab w:val="left" w:pos="1320"/>
              <w:tab w:val="right" w:leader="dot" w:pos="8828"/>
            </w:tabs>
            <w:rPr>
              <w:rFonts w:cstheme="minorBidi"/>
              <w:noProof/>
              <w:sz w:val="24"/>
              <w:szCs w:val="24"/>
            </w:rPr>
          </w:pPr>
          <w:hyperlink w:anchor="_Toc23252972" w:history="1">
            <w:r w:rsidR="00661F74" w:rsidRPr="00B92499">
              <w:rPr>
                <w:rStyle w:val="Hipervnculo"/>
                <w:rFonts w:ascii="Arial" w:hAnsi="Arial" w:cs="Arial"/>
                <w:b/>
                <w:noProof/>
              </w:rPr>
              <w:t>1.1.4.</w:t>
            </w:r>
            <w:r w:rsidR="00661F74" w:rsidRPr="00B92499">
              <w:rPr>
                <w:rFonts w:cstheme="minorBidi"/>
                <w:noProof/>
                <w:sz w:val="24"/>
                <w:szCs w:val="24"/>
              </w:rPr>
              <w:tab/>
            </w:r>
            <w:r w:rsidR="00661F74" w:rsidRPr="00B92499">
              <w:rPr>
                <w:rStyle w:val="Hipervnculo"/>
                <w:rFonts w:ascii="Arial" w:hAnsi="Arial" w:cs="Arial"/>
                <w:b/>
                <w:noProof/>
              </w:rPr>
              <w:t>Análisis del artículo 123 y sus respectivas fracciones</w:t>
            </w:r>
            <w:r w:rsidR="00661F74" w:rsidRPr="00B92499">
              <w:rPr>
                <w:noProof/>
                <w:webHidden/>
              </w:rPr>
              <w:tab/>
            </w:r>
            <w:r w:rsidR="00661F74" w:rsidRPr="00B92499">
              <w:rPr>
                <w:noProof/>
                <w:webHidden/>
              </w:rPr>
              <w:fldChar w:fldCharType="begin"/>
            </w:r>
            <w:r w:rsidR="00661F74" w:rsidRPr="00B92499">
              <w:rPr>
                <w:noProof/>
                <w:webHidden/>
              </w:rPr>
              <w:instrText xml:space="preserve"> PAGEREF _Toc23252972 \h </w:instrText>
            </w:r>
            <w:r w:rsidR="00661F74" w:rsidRPr="00B92499">
              <w:rPr>
                <w:noProof/>
                <w:webHidden/>
              </w:rPr>
            </w:r>
            <w:r w:rsidR="00661F74" w:rsidRPr="00B92499">
              <w:rPr>
                <w:noProof/>
                <w:webHidden/>
              </w:rPr>
              <w:fldChar w:fldCharType="separate"/>
            </w:r>
            <w:r w:rsidR="00661F74" w:rsidRPr="00B92499">
              <w:rPr>
                <w:noProof/>
                <w:webHidden/>
              </w:rPr>
              <w:t>27</w:t>
            </w:r>
            <w:r w:rsidR="00661F74" w:rsidRPr="00B92499">
              <w:rPr>
                <w:noProof/>
                <w:webHidden/>
              </w:rPr>
              <w:fldChar w:fldCharType="end"/>
            </w:r>
          </w:hyperlink>
        </w:p>
        <w:p w14:paraId="26164F2C" w14:textId="1ECA781B" w:rsidR="00661F74" w:rsidRPr="00B92499" w:rsidRDefault="003B5C22">
          <w:pPr>
            <w:pStyle w:val="TDC3"/>
            <w:tabs>
              <w:tab w:val="left" w:pos="1320"/>
              <w:tab w:val="right" w:leader="dot" w:pos="8828"/>
            </w:tabs>
            <w:rPr>
              <w:rFonts w:cstheme="minorBidi"/>
              <w:noProof/>
              <w:sz w:val="24"/>
              <w:szCs w:val="24"/>
            </w:rPr>
          </w:pPr>
          <w:hyperlink w:anchor="_Toc23252973" w:history="1">
            <w:r w:rsidR="00661F74" w:rsidRPr="00B92499">
              <w:rPr>
                <w:rStyle w:val="Hipervnculo"/>
                <w:rFonts w:ascii="Arial" w:hAnsi="Arial" w:cs="Arial"/>
                <w:b/>
                <w:noProof/>
              </w:rPr>
              <w:t>1.1.5.</w:t>
            </w:r>
            <w:r w:rsidR="00661F74" w:rsidRPr="00B92499">
              <w:rPr>
                <w:rFonts w:cstheme="minorBidi"/>
                <w:noProof/>
                <w:sz w:val="24"/>
                <w:szCs w:val="24"/>
              </w:rPr>
              <w:tab/>
            </w:r>
            <w:r w:rsidR="00661F74" w:rsidRPr="00B92499">
              <w:rPr>
                <w:rStyle w:val="Hipervnculo"/>
                <w:rFonts w:ascii="Arial" w:hAnsi="Arial" w:cs="Arial"/>
                <w:b/>
                <w:noProof/>
              </w:rPr>
              <w:t>Análisis del artículo 143</w:t>
            </w:r>
            <w:r w:rsidR="00661F74" w:rsidRPr="00B92499">
              <w:rPr>
                <w:noProof/>
                <w:webHidden/>
              </w:rPr>
              <w:tab/>
            </w:r>
            <w:r w:rsidR="00661F74" w:rsidRPr="00B92499">
              <w:rPr>
                <w:noProof/>
                <w:webHidden/>
              </w:rPr>
              <w:fldChar w:fldCharType="begin"/>
            </w:r>
            <w:r w:rsidR="00661F74" w:rsidRPr="00B92499">
              <w:rPr>
                <w:noProof/>
                <w:webHidden/>
              </w:rPr>
              <w:instrText xml:space="preserve"> PAGEREF _Toc23252973 \h </w:instrText>
            </w:r>
            <w:r w:rsidR="00661F74" w:rsidRPr="00B92499">
              <w:rPr>
                <w:noProof/>
                <w:webHidden/>
              </w:rPr>
            </w:r>
            <w:r w:rsidR="00661F74" w:rsidRPr="00B92499">
              <w:rPr>
                <w:noProof/>
                <w:webHidden/>
              </w:rPr>
              <w:fldChar w:fldCharType="separate"/>
            </w:r>
            <w:r w:rsidR="00661F74" w:rsidRPr="00B92499">
              <w:rPr>
                <w:noProof/>
                <w:webHidden/>
              </w:rPr>
              <w:t>30</w:t>
            </w:r>
            <w:r w:rsidR="00661F74" w:rsidRPr="00B92499">
              <w:rPr>
                <w:noProof/>
                <w:webHidden/>
              </w:rPr>
              <w:fldChar w:fldCharType="end"/>
            </w:r>
          </w:hyperlink>
        </w:p>
        <w:p w14:paraId="40E81FA7" w14:textId="20810A5E" w:rsidR="00661F74" w:rsidRPr="00B92499" w:rsidRDefault="003B5C22">
          <w:pPr>
            <w:pStyle w:val="TDC3"/>
            <w:tabs>
              <w:tab w:val="left" w:pos="1320"/>
              <w:tab w:val="right" w:leader="dot" w:pos="8828"/>
            </w:tabs>
            <w:rPr>
              <w:rFonts w:cstheme="minorBidi"/>
              <w:noProof/>
              <w:sz w:val="24"/>
              <w:szCs w:val="24"/>
            </w:rPr>
          </w:pPr>
          <w:hyperlink w:anchor="_Toc23252974" w:history="1">
            <w:r w:rsidR="00661F74" w:rsidRPr="00B92499">
              <w:rPr>
                <w:rStyle w:val="Hipervnculo"/>
                <w:rFonts w:ascii="Arial" w:hAnsi="Arial" w:cs="Arial"/>
                <w:b/>
                <w:noProof/>
              </w:rPr>
              <w:t>1.1.6.</w:t>
            </w:r>
            <w:r w:rsidR="00661F74" w:rsidRPr="00B92499">
              <w:rPr>
                <w:rFonts w:cstheme="minorBidi"/>
                <w:noProof/>
                <w:sz w:val="24"/>
                <w:szCs w:val="24"/>
              </w:rPr>
              <w:tab/>
            </w:r>
            <w:r w:rsidR="00661F74" w:rsidRPr="00B92499">
              <w:rPr>
                <w:rStyle w:val="Hipervnculo"/>
                <w:rFonts w:ascii="Arial" w:hAnsi="Arial" w:cs="Arial"/>
                <w:b/>
                <w:noProof/>
              </w:rPr>
              <w:t>Análisis del artículo 145</w:t>
            </w:r>
            <w:r w:rsidR="00661F74" w:rsidRPr="00B92499">
              <w:rPr>
                <w:noProof/>
                <w:webHidden/>
              </w:rPr>
              <w:tab/>
            </w:r>
            <w:r w:rsidR="00661F74" w:rsidRPr="00B92499">
              <w:rPr>
                <w:noProof/>
                <w:webHidden/>
              </w:rPr>
              <w:fldChar w:fldCharType="begin"/>
            </w:r>
            <w:r w:rsidR="00661F74" w:rsidRPr="00B92499">
              <w:rPr>
                <w:noProof/>
                <w:webHidden/>
              </w:rPr>
              <w:instrText xml:space="preserve"> PAGEREF _Toc23252974 \h </w:instrText>
            </w:r>
            <w:r w:rsidR="00661F74" w:rsidRPr="00B92499">
              <w:rPr>
                <w:noProof/>
                <w:webHidden/>
              </w:rPr>
            </w:r>
            <w:r w:rsidR="00661F74" w:rsidRPr="00B92499">
              <w:rPr>
                <w:noProof/>
                <w:webHidden/>
              </w:rPr>
              <w:fldChar w:fldCharType="separate"/>
            </w:r>
            <w:r w:rsidR="00661F74" w:rsidRPr="00B92499">
              <w:rPr>
                <w:noProof/>
                <w:webHidden/>
              </w:rPr>
              <w:t>31</w:t>
            </w:r>
            <w:r w:rsidR="00661F74" w:rsidRPr="00B92499">
              <w:rPr>
                <w:noProof/>
                <w:webHidden/>
              </w:rPr>
              <w:fldChar w:fldCharType="end"/>
            </w:r>
          </w:hyperlink>
        </w:p>
        <w:p w14:paraId="24132D40" w14:textId="31D817B7" w:rsidR="00661F74" w:rsidRPr="00B92499" w:rsidRDefault="003B5C22">
          <w:pPr>
            <w:pStyle w:val="TDC3"/>
            <w:tabs>
              <w:tab w:val="left" w:pos="1320"/>
              <w:tab w:val="right" w:leader="dot" w:pos="8828"/>
            </w:tabs>
            <w:rPr>
              <w:rFonts w:cstheme="minorBidi"/>
              <w:noProof/>
              <w:sz w:val="24"/>
              <w:szCs w:val="24"/>
            </w:rPr>
          </w:pPr>
          <w:hyperlink w:anchor="_Toc23252975" w:history="1">
            <w:r w:rsidR="00661F74" w:rsidRPr="00B92499">
              <w:rPr>
                <w:rStyle w:val="Hipervnculo"/>
                <w:rFonts w:ascii="Arial" w:hAnsi="Arial" w:cs="Arial"/>
                <w:b/>
                <w:noProof/>
              </w:rPr>
              <w:t>1.1.7.</w:t>
            </w:r>
            <w:r w:rsidR="00661F74" w:rsidRPr="00B92499">
              <w:rPr>
                <w:rFonts w:cstheme="minorBidi"/>
                <w:noProof/>
                <w:sz w:val="24"/>
                <w:szCs w:val="24"/>
              </w:rPr>
              <w:tab/>
            </w:r>
            <w:r w:rsidR="00661F74" w:rsidRPr="00B92499">
              <w:rPr>
                <w:rStyle w:val="Hipervnculo"/>
                <w:rFonts w:ascii="Arial" w:hAnsi="Arial" w:cs="Arial"/>
                <w:b/>
                <w:noProof/>
              </w:rPr>
              <w:t>Análisis del artículo 146</w:t>
            </w:r>
            <w:r w:rsidR="00661F74" w:rsidRPr="00B92499">
              <w:rPr>
                <w:noProof/>
                <w:webHidden/>
              </w:rPr>
              <w:tab/>
            </w:r>
            <w:r w:rsidR="00661F74" w:rsidRPr="00B92499">
              <w:rPr>
                <w:noProof/>
                <w:webHidden/>
              </w:rPr>
              <w:fldChar w:fldCharType="begin"/>
            </w:r>
            <w:r w:rsidR="00661F74" w:rsidRPr="00B92499">
              <w:rPr>
                <w:noProof/>
                <w:webHidden/>
              </w:rPr>
              <w:instrText xml:space="preserve"> PAGEREF _Toc23252975 \h </w:instrText>
            </w:r>
            <w:r w:rsidR="00661F74" w:rsidRPr="00B92499">
              <w:rPr>
                <w:noProof/>
                <w:webHidden/>
              </w:rPr>
            </w:r>
            <w:r w:rsidR="00661F74" w:rsidRPr="00B92499">
              <w:rPr>
                <w:noProof/>
                <w:webHidden/>
              </w:rPr>
              <w:fldChar w:fldCharType="separate"/>
            </w:r>
            <w:r w:rsidR="00661F74" w:rsidRPr="00B92499">
              <w:rPr>
                <w:noProof/>
                <w:webHidden/>
              </w:rPr>
              <w:t>31</w:t>
            </w:r>
            <w:r w:rsidR="00661F74" w:rsidRPr="00B92499">
              <w:rPr>
                <w:noProof/>
                <w:webHidden/>
              </w:rPr>
              <w:fldChar w:fldCharType="end"/>
            </w:r>
          </w:hyperlink>
        </w:p>
        <w:p w14:paraId="0EBBB317" w14:textId="453715D1" w:rsidR="00661F74" w:rsidRPr="00B92499" w:rsidRDefault="003B5C22">
          <w:pPr>
            <w:pStyle w:val="TDC3"/>
            <w:tabs>
              <w:tab w:val="left" w:pos="1320"/>
              <w:tab w:val="right" w:leader="dot" w:pos="8828"/>
            </w:tabs>
            <w:rPr>
              <w:rFonts w:cstheme="minorBidi"/>
              <w:noProof/>
              <w:sz w:val="24"/>
              <w:szCs w:val="24"/>
            </w:rPr>
          </w:pPr>
          <w:hyperlink w:anchor="_Toc23252976" w:history="1">
            <w:r w:rsidR="00661F74" w:rsidRPr="00B92499">
              <w:rPr>
                <w:rStyle w:val="Hipervnculo"/>
                <w:rFonts w:ascii="Arial" w:hAnsi="Arial" w:cs="Arial"/>
                <w:b/>
                <w:noProof/>
              </w:rPr>
              <w:t>1.1.8.</w:t>
            </w:r>
            <w:r w:rsidR="00661F74" w:rsidRPr="00B92499">
              <w:rPr>
                <w:rFonts w:cstheme="minorBidi"/>
                <w:noProof/>
                <w:sz w:val="24"/>
                <w:szCs w:val="24"/>
              </w:rPr>
              <w:tab/>
            </w:r>
            <w:r w:rsidR="00661F74" w:rsidRPr="00B92499">
              <w:rPr>
                <w:rStyle w:val="Hipervnculo"/>
                <w:rFonts w:ascii="Arial" w:hAnsi="Arial" w:cs="Arial"/>
                <w:b/>
                <w:noProof/>
              </w:rPr>
              <w:t>Análisis del artículo 147</w:t>
            </w:r>
            <w:r w:rsidR="00661F74" w:rsidRPr="00B92499">
              <w:rPr>
                <w:noProof/>
                <w:webHidden/>
              </w:rPr>
              <w:tab/>
            </w:r>
            <w:r w:rsidR="00661F74" w:rsidRPr="00B92499">
              <w:rPr>
                <w:noProof/>
                <w:webHidden/>
              </w:rPr>
              <w:fldChar w:fldCharType="begin"/>
            </w:r>
            <w:r w:rsidR="00661F74" w:rsidRPr="00B92499">
              <w:rPr>
                <w:noProof/>
                <w:webHidden/>
              </w:rPr>
              <w:instrText xml:space="preserve"> PAGEREF _Toc23252976 \h </w:instrText>
            </w:r>
            <w:r w:rsidR="00661F74" w:rsidRPr="00B92499">
              <w:rPr>
                <w:noProof/>
                <w:webHidden/>
              </w:rPr>
            </w:r>
            <w:r w:rsidR="00661F74" w:rsidRPr="00B92499">
              <w:rPr>
                <w:noProof/>
                <w:webHidden/>
              </w:rPr>
              <w:fldChar w:fldCharType="separate"/>
            </w:r>
            <w:r w:rsidR="00661F74" w:rsidRPr="00B92499">
              <w:rPr>
                <w:noProof/>
                <w:webHidden/>
              </w:rPr>
              <w:t>31</w:t>
            </w:r>
            <w:r w:rsidR="00661F74" w:rsidRPr="00B92499">
              <w:rPr>
                <w:noProof/>
                <w:webHidden/>
              </w:rPr>
              <w:fldChar w:fldCharType="end"/>
            </w:r>
          </w:hyperlink>
        </w:p>
        <w:p w14:paraId="51D22DBB" w14:textId="387D542D" w:rsidR="00661F74" w:rsidRPr="00B92499" w:rsidRDefault="003B5C22">
          <w:pPr>
            <w:pStyle w:val="TDC2"/>
            <w:tabs>
              <w:tab w:val="left" w:pos="880"/>
              <w:tab w:val="right" w:leader="dot" w:pos="8828"/>
            </w:tabs>
            <w:rPr>
              <w:rFonts w:cstheme="minorBidi"/>
              <w:noProof/>
              <w:sz w:val="24"/>
              <w:szCs w:val="24"/>
            </w:rPr>
          </w:pPr>
          <w:hyperlink w:anchor="_Toc23252977" w:history="1">
            <w:r w:rsidR="00661F74" w:rsidRPr="00B92499">
              <w:rPr>
                <w:rStyle w:val="Hipervnculo"/>
                <w:rFonts w:ascii="Arial" w:hAnsi="Arial" w:cs="Arial"/>
                <w:b/>
                <w:noProof/>
              </w:rPr>
              <w:t>1.2.</w:t>
            </w:r>
            <w:r w:rsidR="00661F74" w:rsidRPr="00B92499">
              <w:rPr>
                <w:rFonts w:cstheme="minorBidi"/>
                <w:noProof/>
                <w:sz w:val="24"/>
                <w:szCs w:val="24"/>
              </w:rPr>
              <w:tab/>
            </w:r>
            <w:r w:rsidR="00661F74" w:rsidRPr="00B92499">
              <w:rPr>
                <w:rStyle w:val="Hipervnculo"/>
                <w:rFonts w:ascii="Arial" w:hAnsi="Arial" w:cs="Arial"/>
                <w:b/>
                <w:noProof/>
              </w:rPr>
              <w:t>ÓRGANOS DESCONCENTRADOS, FIDEICOMISOS Y FONDOS PÚBLICOS</w:t>
            </w:r>
            <w:r w:rsidR="00661F74" w:rsidRPr="00B92499">
              <w:rPr>
                <w:noProof/>
                <w:webHidden/>
              </w:rPr>
              <w:tab/>
            </w:r>
            <w:r w:rsidR="00661F74" w:rsidRPr="00B92499">
              <w:rPr>
                <w:noProof/>
                <w:webHidden/>
              </w:rPr>
              <w:fldChar w:fldCharType="begin"/>
            </w:r>
            <w:r w:rsidR="00661F74" w:rsidRPr="00B92499">
              <w:rPr>
                <w:noProof/>
                <w:webHidden/>
              </w:rPr>
              <w:instrText xml:space="preserve"> PAGEREF _Toc23252977 \h </w:instrText>
            </w:r>
            <w:r w:rsidR="00661F74" w:rsidRPr="00B92499">
              <w:rPr>
                <w:noProof/>
                <w:webHidden/>
              </w:rPr>
            </w:r>
            <w:r w:rsidR="00661F74" w:rsidRPr="00B92499">
              <w:rPr>
                <w:noProof/>
                <w:webHidden/>
              </w:rPr>
              <w:fldChar w:fldCharType="separate"/>
            </w:r>
            <w:r w:rsidR="00661F74" w:rsidRPr="00B92499">
              <w:rPr>
                <w:noProof/>
                <w:webHidden/>
              </w:rPr>
              <w:t>32</w:t>
            </w:r>
            <w:r w:rsidR="00661F74" w:rsidRPr="00B92499">
              <w:rPr>
                <w:noProof/>
                <w:webHidden/>
              </w:rPr>
              <w:fldChar w:fldCharType="end"/>
            </w:r>
          </w:hyperlink>
        </w:p>
        <w:p w14:paraId="07313781" w14:textId="64251207" w:rsidR="00661F74" w:rsidRPr="00B92499" w:rsidRDefault="003B5C22">
          <w:pPr>
            <w:pStyle w:val="TDC3"/>
            <w:tabs>
              <w:tab w:val="left" w:pos="1320"/>
              <w:tab w:val="right" w:leader="dot" w:pos="8828"/>
            </w:tabs>
            <w:rPr>
              <w:rFonts w:cstheme="minorBidi"/>
              <w:noProof/>
              <w:sz w:val="24"/>
              <w:szCs w:val="24"/>
            </w:rPr>
          </w:pPr>
          <w:hyperlink w:anchor="_Toc23252978" w:history="1">
            <w:r w:rsidR="00661F74" w:rsidRPr="00B92499">
              <w:rPr>
                <w:rStyle w:val="Hipervnculo"/>
                <w:rFonts w:ascii="Arial" w:hAnsi="Arial" w:cs="Arial"/>
                <w:b/>
                <w:noProof/>
              </w:rPr>
              <w:t>1.2.1.</w:t>
            </w:r>
            <w:r w:rsidR="00661F74" w:rsidRPr="00B92499">
              <w:rPr>
                <w:rFonts w:cstheme="minorBidi"/>
                <w:noProof/>
                <w:sz w:val="24"/>
                <w:szCs w:val="24"/>
              </w:rPr>
              <w:tab/>
            </w:r>
            <w:r w:rsidR="00661F74" w:rsidRPr="00B92499">
              <w:rPr>
                <w:rStyle w:val="Hipervnculo"/>
                <w:rFonts w:ascii="Arial" w:hAnsi="Arial" w:cs="Arial"/>
                <w:b/>
                <w:noProof/>
              </w:rPr>
              <w:t>Análisis global de cumplimiento de los Órganos Desconcentrados</w:t>
            </w:r>
            <w:r w:rsidR="00661F74" w:rsidRPr="00B92499">
              <w:rPr>
                <w:noProof/>
                <w:webHidden/>
              </w:rPr>
              <w:tab/>
            </w:r>
            <w:r w:rsidR="00661F74" w:rsidRPr="00B92499">
              <w:rPr>
                <w:noProof/>
                <w:webHidden/>
              </w:rPr>
              <w:fldChar w:fldCharType="begin"/>
            </w:r>
            <w:r w:rsidR="00661F74" w:rsidRPr="00B92499">
              <w:rPr>
                <w:noProof/>
                <w:webHidden/>
              </w:rPr>
              <w:instrText xml:space="preserve"> PAGEREF _Toc23252978 \h </w:instrText>
            </w:r>
            <w:r w:rsidR="00661F74" w:rsidRPr="00B92499">
              <w:rPr>
                <w:noProof/>
                <w:webHidden/>
              </w:rPr>
            </w:r>
            <w:r w:rsidR="00661F74" w:rsidRPr="00B92499">
              <w:rPr>
                <w:noProof/>
                <w:webHidden/>
              </w:rPr>
              <w:fldChar w:fldCharType="separate"/>
            </w:r>
            <w:r w:rsidR="00661F74" w:rsidRPr="00B92499">
              <w:rPr>
                <w:noProof/>
                <w:webHidden/>
              </w:rPr>
              <w:t>34</w:t>
            </w:r>
            <w:r w:rsidR="00661F74" w:rsidRPr="00B92499">
              <w:rPr>
                <w:noProof/>
                <w:webHidden/>
              </w:rPr>
              <w:fldChar w:fldCharType="end"/>
            </w:r>
          </w:hyperlink>
        </w:p>
        <w:p w14:paraId="062AF7CE" w14:textId="6CA5B1CA" w:rsidR="00661F74" w:rsidRPr="00B92499" w:rsidRDefault="003B5C22">
          <w:pPr>
            <w:pStyle w:val="TDC3"/>
            <w:tabs>
              <w:tab w:val="left" w:pos="1320"/>
              <w:tab w:val="right" w:leader="dot" w:pos="8828"/>
            </w:tabs>
            <w:rPr>
              <w:rFonts w:cstheme="minorBidi"/>
              <w:noProof/>
              <w:sz w:val="24"/>
              <w:szCs w:val="24"/>
            </w:rPr>
          </w:pPr>
          <w:hyperlink w:anchor="_Toc23252979" w:history="1">
            <w:r w:rsidR="00661F74" w:rsidRPr="00B92499">
              <w:rPr>
                <w:rStyle w:val="Hipervnculo"/>
                <w:rFonts w:ascii="Arial" w:hAnsi="Arial" w:cs="Arial"/>
                <w:b/>
                <w:noProof/>
              </w:rPr>
              <w:t>1.2.2.</w:t>
            </w:r>
            <w:r w:rsidR="00661F74" w:rsidRPr="00B92499">
              <w:rPr>
                <w:rFonts w:cstheme="minorBidi"/>
                <w:noProof/>
                <w:sz w:val="24"/>
                <w:szCs w:val="24"/>
              </w:rPr>
              <w:tab/>
            </w:r>
            <w:r w:rsidR="00661F74" w:rsidRPr="00B92499">
              <w:rPr>
                <w:rStyle w:val="Hipervnculo"/>
                <w:rFonts w:ascii="Arial" w:hAnsi="Arial" w:cs="Arial"/>
                <w:b/>
                <w:noProof/>
              </w:rPr>
              <w:t>Análisis del artículo 121 y sus respectivas fracciones</w:t>
            </w:r>
            <w:r w:rsidR="00661F74" w:rsidRPr="00B92499">
              <w:rPr>
                <w:noProof/>
                <w:webHidden/>
              </w:rPr>
              <w:tab/>
            </w:r>
            <w:r w:rsidR="00661F74" w:rsidRPr="00B92499">
              <w:rPr>
                <w:noProof/>
                <w:webHidden/>
              </w:rPr>
              <w:fldChar w:fldCharType="begin"/>
            </w:r>
            <w:r w:rsidR="00661F74" w:rsidRPr="00B92499">
              <w:rPr>
                <w:noProof/>
                <w:webHidden/>
              </w:rPr>
              <w:instrText xml:space="preserve"> PAGEREF _Toc23252979 \h </w:instrText>
            </w:r>
            <w:r w:rsidR="00661F74" w:rsidRPr="00B92499">
              <w:rPr>
                <w:noProof/>
                <w:webHidden/>
              </w:rPr>
            </w:r>
            <w:r w:rsidR="00661F74" w:rsidRPr="00B92499">
              <w:rPr>
                <w:noProof/>
                <w:webHidden/>
              </w:rPr>
              <w:fldChar w:fldCharType="separate"/>
            </w:r>
            <w:r w:rsidR="00661F74" w:rsidRPr="00B92499">
              <w:rPr>
                <w:noProof/>
                <w:webHidden/>
              </w:rPr>
              <w:t>35</w:t>
            </w:r>
            <w:r w:rsidR="00661F74" w:rsidRPr="00B92499">
              <w:rPr>
                <w:noProof/>
                <w:webHidden/>
              </w:rPr>
              <w:fldChar w:fldCharType="end"/>
            </w:r>
          </w:hyperlink>
        </w:p>
        <w:p w14:paraId="39714632" w14:textId="138B7C86" w:rsidR="00661F74" w:rsidRPr="00B92499" w:rsidRDefault="003B5C22">
          <w:pPr>
            <w:pStyle w:val="TDC3"/>
            <w:tabs>
              <w:tab w:val="left" w:pos="1320"/>
              <w:tab w:val="right" w:leader="dot" w:pos="8828"/>
            </w:tabs>
            <w:rPr>
              <w:rFonts w:cstheme="minorBidi"/>
              <w:noProof/>
              <w:sz w:val="24"/>
              <w:szCs w:val="24"/>
            </w:rPr>
          </w:pPr>
          <w:hyperlink w:anchor="_Toc23252980" w:history="1">
            <w:r w:rsidR="00661F74" w:rsidRPr="00B92499">
              <w:rPr>
                <w:rStyle w:val="Hipervnculo"/>
                <w:rFonts w:ascii="Arial" w:hAnsi="Arial" w:cs="Arial"/>
                <w:b/>
                <w:noProof/>
              </w:rPr>
              <w:t>1.2.3.</w:t>
            </w:r>
            <w:r w:rsidR="00661F74" w:rsidRPr="00B92499">
              <w:rPr>
                <w:rFonts w:cstheme="minorBidi"/>
                <w:noProof/>
                <w:sz w:val="24"/>
                <w:szCs w:val="24"/>
              </w:rPr>
              <w:tab/>
            </w:r>
            <w:r w:rsidR="00661F74" w:rsidRPr="00B92499">
              <w:rPr>
                <w:rStyle w:val="Hipervnculo"/>
                <w:rFonts w:ascii="Arial" w:hAnsi="Arial" w:cs="Arial"/>
                <w:b/>
                <w:noProof/>
              </w:rPr>
              <w:t>Análisis del artículo 123 y sus respectivas fracciones</w:t>
            </w:r>
            <w:r w:rsidR="00661F74" w:rsidRPr="00B92499">
              <w:rPr>
                <w:noProof/>
                <w:webHidden/>
              </w:rPr>
              <w:tab/>
            </w:r>
            <w:r w:rsidR="00661F74" w:rsidRPr="00B92499">
              <w:rPr>
                <w:noProof/>
                <w:webHidden/>
              </w:rPr>
              <w:fldChar w:fldCharType="begin"/>
            </w:r>
            <w:r w:rsidR="00661F74" w:rsidRPr="00B92499">
              <w:rPr>
                <w:noProof/>
                <w:webHidden/>
              </w:rPr>
              <w:instrText xml:space="preserve"> PAGEREF _Toc23252980 \h </w:instrText>
            </w:r>
            <w:r w:rsidR="00661F74" w:rsidRPr="00B92499">
              <w:rPr>
                <w:noProof/>
                <w:webHidden/>
              </w:rPr>
            </w:r>
            <w:r w:rsidR="00661F74" w:rsidRPr="00B92499">
              <w:rPr>
                <w:noProof/>
                <w:webHidden/>
              </w:rPr>
              <w:fldChar w:fldCharType="separate"/>
            </w:r>
            <w:r w:rsidR="00661F74" w:rsidRPr="00B92499">
              <w:rPr>
                <w:noProof/>
                <w:webHidden/>
              </w:rPr>
              <w:t>39</w:t>
            </w:r>
            <w:r w:rsidR="00661F74" w:rsidRPr="00B92499">
              <w:rPr>
                <w:noProof/>
                <w:webHidden/>
              </w:rPr>
              <w:fldChar w:fldCharType="end"/>
            </w:r>
          </w:hyperlink>
        </w:p>
        <w:p w14:paraId="499EB405" w14:textId="2A8AF667" w:rsidR="00661F74" w:rsidRPr="00B92499" w:rsidRDefault="003B5C22">
          <w:pPr>
            <w:pStyle w:val="TDC3"/>
            <w:tabs>
              <w:tab w:val="left" w:pos="1320"/>
              <w:tab w:val="right" w:leader="dot" w:pos="8828"/>
            </w:tabs>
            <w:rPr>
              <w:rFonts w:cstheme="minorBidi"/>
              <w:noProof/>
              <w:sz w:val="24"/>
              <w:szCs w:val="24"/>
            </w:rPr>
          </w:pPr>
          <w:hyperlink w:anchor="_Toc23252981" w:history="1">
            <w:r w:rsidR="00661F74" w:rsidRPr="00B92499">
              <w:rPr>
                <w:rStyle w:val="Hipervnculo"/>
                <w:rFonts w:ascii="Arial" w:hAnsi="Arial" w:cs="Arial"/>
                <w:b/>
                <w:noProof/>
              </w:rPr>
              <w:t>1.2.4.</w:t>
            </w:r>
            <w:r w:rsidR="00661F74" w:rsidRPr="00B92499">
              <w:rPr>
                <w:rFonts w:cstheme="minorBidi"/>
                <w:noProof/>
                <w:sz w:val="24"/>
                <w:szCs w:val="24"/>
              </w:rPr>
              <w:tab/>
            </w:r>
            <w:r w:rsidR="00661F74" w:rsidRPr="00B92499">
              <w:rPr>
                <w:rStyle w:val="Hipervnculo"/>
                <w:rFonts w:ascii="Arial" w:hAnsi="Arial" w:cs="Arial"/>
                <w:b/>
                <w:noProof/>
              </w:rPr>
              <w:t>Análisis de los artículos 135 y 136</w:t>
            </w:r>
            <w:r w:rsidR="00661F74" w:rsidRPr="00B92499">
              <w:rPr>
                <w:noProof/>
                <w:webHidden/>
              </w:rPr>
              <w:tab/>
            </w:r>
            <w:r w:rsidR="00661F74" w:rsidRPr="00B92499">
              <w:rPr>
                <w:noProof/>
                <w:webHidden/>
              </w:rPr>
              <w:fldChar w:fldCharType="begin"/>
            </w:r>
            <w:r w:rsidR="00661F74" w:rsidRPr="00B92499">
              <w:rPr>
                <w:noProof/>
                <w:webHidden/>
              </w:rPr>
              <w:instrText xml:space="preserve"> PAGEREF _Toc23252981 \h </w:instrText>
            </w:r>
            <w:r w:rsidR="00661F74" w:rsidRPr="00B92499">
              <w:rPr>
                <w:noProof/>
                <w:webHidden/>
              </w:rPr>
            </w:r>
            <w:r w:rsidR="00661F74" w:rsidRPr="00B92499">
              <w:rPr>
                <w:noProof/>
                <w:webHidden/>
              </w:rPr>
              <w:fldChar w:fldCharType="separate"/>
            </w:r>
            <w:r w:rsidR="00661F74" w:rsidRPr="00B92499">
              <w:rPr>
                <w:noProof/>
                <w:webHidden/>
              </w:rPr>
              <w:t>42</w:t>
            </w:r>
            <w:r w:rsidR="00661F74" w:rsidRPr="00B92499">
              <w:rPr>
                <w:noProof/>
                <w:webHidden/>
              </w:rPr>
              <w:fldChar w:fldCharType="end"/>
            </w:r>
          </w:hyperlink>
        </w:p>
        <w:p w14:paraId="686D0512" w14:textId="2EDB4CF0" w:rsidR="00661F74" w:rsidRPr="00B92499" w:rsidRDefault="003B5C22">
          <w:pPr>
            <w:pStyle w:val="TDC3"/>
            <w:tabs>
              <w:tab w:val="left" w:pos="1320"/>
              <w:tab w:val="right" w:leader="dot" w:pos="8828"/>
            </w:tabs>
            <w:rPr>
              <w:rFonts w:cstheme="minorBidi"/>
              <w:noProof/>
              <w:sz w:val="24"/>
              <w:szCs w:val="24"/>
            </w:rPr>
          </w:pPr>
          <w:hyperlink w:anchor="_Toc23252982" w:history="1">
            <w:r w:rsidR="00661F74" w:rsidRPr="00B92499">
              <w:rPr>
                <w:rStyle w:val="Hipervnculo"/>
                <w:rFonts w:ascii="Arial" w:hAnsi="Arial" w:cs="Arial"/>
                <w:b/>
                <w:noProof/>
              </w:rPr>
              <w:t>1.2.5.</w:t>
            </w:r>
            <w:r w:rsidR="00661F74" w:rsidRPr="00B92499">
              <w:rPr>
                <w:rFonts w:cstheme="minorBidi"/>
                <w:noProof/>
                <w:sz w:val="24"/>
                <w:szCs w:val="24"/>
              </w:rPr>
              <w:tab/>
            </w:r>
            <w:r w:rsidR="00661F74" w:rsidRPr="00B92499">
              <w:rPr>
                <w:rStyle w:val="Hipervnculo"/>
                <w:rFonts w:ascii="Arial" w:hAnsi="Arial" w:cs="Arial"/>
                <w:b/>
                <w:noProof/>
              </w:rPr>
              <w:t>Análisis del artículo 143</w:t>
            </w:r>
            <w:r w:rsidR="00661F74" w:rsidRPr="00B92499">
              <w:rPr>
                <w:noProof/>
                <w:webHidden/>
              </w:rPr>
              <w:tab/>
            </w:r>
            <w:r w:rsidR="00661F74" w:rsidRPr="00B92499">
              <w:rPr>
                <w:noProof/>
                <w:webHidden/>
              </w:rPr>
              <w:fldChar w:fldCharType="begin"/>
            </w:r>
            <w:r w:rsidR="00661F74" w:rsidRPr="00B92499">
              <w:rPr>
                <w:noProof/>
                <w:webHidden/>
              </w:rPr>
              <w:instrText xml:space="preserve"> PAGEREF _Toc23252982 \h </w:instrText>
            </w:r>
            <w:r w:rsidR="00661F74" w:rsidRPr="00B92499">
              <w:rPr>
                <w:noProof/>
                <w:webHidden/>
              </w:rPr>
            </w:r>
            <w:r w:rsidR="00661F74" w:rsidRPr="00B92499">
              <w:rPr>
                <w:noProof/>
                <w:webHidden/>
              </w:rPr>
              <w:fldChar w:fldCharType="separate"/>
            </w:r>
            <w:r w:rsidR="00661F74" w:rsidRPr="00B92499">
              <w:rPr>
                <w:noProof/>
                <w:webHidden/>
              </w:rPr>
              <w:t>42</w:t>
            </w:r>
            <w:r w:rsidR="00661F74" w:rsidRPr="00B92499">
              <w:rPr>
                <w:noProof/>
                <w:webHidden/>
              </w:rPr>
              <w:fldChar w:fldCharType="end"/>
            </w:r>
          </w:hyperlink>
        </w:p>
        <w:p w14:paraId="39687AE7" w14:textId="1B774CA1" w:rsidR="00661F74" w:rsidRPr="00B92499" w:rsidRDefault="003B5C22">
          <w:pPr>
            <w:pStyle w:val="TDC3"/>
            <w:tabs>
              <w:tab w:val="left" w:pos="1320"/>
              <w:tab w:val="right" w:leader="dot" w:pos="8828"/>
            </w:tabs>
            <w:rPr>
              <w:rFonts w:cstheme="minorBidi"/>
              <w:noProof/>
              <w:sz w:val="24"/>
              <w:szCs w:val="24"/>
            </w:rPr>
          </w:pPr>
          <w:hyperlink w:anchor="_Toc23252983" w:history="1">
            <w:r w:rsidR="00661F74" w:rsidRPr="00B92499">
              <w:rPr>
                <w:rStyle w:val="Hipervnculo"/>
                <w:rFonts w:ascii="Arial" w:hAnsi="Arial" w:cs="Arial"/>
                <w:b/>
                <w:noProof/>
              </w:rPr>
              <w:t>1.2.6.</w:t>
            </w:r>
            <w:r w:rsidR="00661F74" w:rsidRPr="00B92499">
              <w:rPr>
                <w:rFonts w:cstheme="minorBidi"/>
                <w:noProof/>
                <w:sz w:val="24"/>
                <w:szCs w:val="24"/>
              </w:rPr>
              <w:tab/>
            </w:r>
            <w:r w:rsidR="00661F74" w:rsidRPr="00B92499">
              <w:rPr>
                <w:rStyle w:val="Hipervnculo"/>
                <w:rFonts w:ascii="Arial" w:hAnsi="Arial" w:cs="Arial"/>
                <w:b/>
                <w:noProof/>
              </w:rPr>
              <w:t>Análisis del artículo 145</w:t>
            </w:r>
            <w:r w:rsidR="00661F74" w:rsidRPr="00B92499">
              <w:rPr>
                <w:noProof/>
                <w:webHidden/>
              </w:rPr>
              <w:tab/>
            </w:r>
            <w:r w:rsidR="00661F74" w:rsidRPr="00B92499">
              <w:rPr>
                <w:noProof/>
                <w:webHidden/>
              </w:rPr>
              <w:fldChar w:fldCharType="begin"/>
            </w:r>
            <w:r w:rsidR="00661F74" w:rsidRPr="00B92499">
              <w:rPr>
                <w:noProof/>
                <w:webHidden/>
              </w:rPr>
              <w:instrText xml:space="preserve"> PAGEREF _Toc23252983 \h </w:instrText>
            </w:r>
            <w:r w:rsidR="00661F74" w:rsidRPr="00B92499">
              <w:rPr>
                <w:noProof/>
                <w:webHidden/>
              </w:rPr>
            </w:r>
            <w:r w:rsidR="00661F74" w:rsidRPr="00B92499">
              <w:rPr>
                <w:noProof/>
                <w:webHidden/>
              </w:rPr>
              <w:fldChar w:fldCharType="separate"/>
            </w:r>
            <w:r w:rsidR="00661F74" w:rsidRPr="00B92499">
              <w:rPr>
                <w:noProof/>
                <w:webHidden/>
              </w:rPr>
              <w:t>43</w:t>
            </w:r>
            <w:r w:rsidR="00661F74" w:rsidRPr="00B92499">
              <w:rPr>
                <w:noProof/>
                <w:webHidden/>
              </w:rPr>
              <w:fldChar w:fldCharType="end"/>
            </w:r>
          </w:hyperlink>
        </w:p>
        <w:p w14:paraId="783FB0F4" w14:textId="48B370FE" w:rsidR="00661F74" w:rsidRPr="00B92499" w:rsidRDefault="003B5C22">
          <w:pPr>
            <w:pStyle w:val="TDC3"/>
            <w:tabs>
              <w:tab w:val="left" w:pos="1320"/>
              <w:tab w:val="right" w:leader="dot" w:pos="8828"/>
            </w:tabs>
            <w:rPr>
              <w:rFonts w:cstheme="minorBidi"/>
              <w:noProof/>
              <w:sz w:val="24"/>
              <w:szCs w:val="24"/>
            </w:rPr>
          </w:pPr>
          <w:hyperlink w:anchor="_Toc23252984" w:history="1">
            <w:r w:rsidR="00661F74" w:rsidRPr="00B92499">
              <w:rPr>
                <w:rStyle w:val="Hipervnculo"/>
                <w:rFonts w:ascii="Arial" w:hAnsi="Arial" w:cs="Arial"/>
                <w:b/>
                <w:noProof/>
              </w:rPr>
              <w:t>1.2.7.</w:t>
            </w:r>
            <w:r w:rsidR="00661F74" w:rsidRPr="00B92499">
              <w:rPr>
                <w:rFonts w:cstheme="minorBidi"/>
                <w:noProof/>
                <w:sz w:val="24"/>
                <w:szCs w:val="24"/>
              </w:rPr>
              <w:tab/>
            </w:r>
            <w:r w:rsidR="00661F74" w:rsidRPr="00B92499">
              <w:rPr>
                <w:rStyle w:val="Hipervnculo"/>
                <w:rFonts w:ascii="Arial" w:hAnsi="Arial" w:cs="Arial"/>
                <w:b/>
                <w:noProof/>
              </w:rPr>
              <w:t>Análisis del artículo 146</w:t>
            </w:r>
            <w:r w:rsidR="00661F74" w:rsidRPr="00B92499">
              <w:rPr>
                <w:noProof/>
                <w:webHidden/>
              </w:rPr>
              <w:tab/>
            </w:r>
            <w:r w:rsidR="00661F74" w:rsidRPr="00B92499">
              <w:rPr>
                <w:noProof/>
                <w:webHidden/>
              </w:rPr>
              <w:fldChar w:fldCharType="begin"/>
            </w:r>
            <w:r w:rsidR="00661F74" w:rsidRPr="00B92499">
              <w:rPr>
                <w:noProof/>
                <w:webHidden/>
              </w:rPr>
              <w:instrText xml:space="preserve"> PAGEREF _Toc23252984 \h </w:instrText>
            </w:r>
            <w:r w:rsidR="00661F74" w:rsidRPr="00B92499">
              <w:rPr>
                <w:noProof/>
                <w:webHidden/>
              </w:rPr>
            </w:r>
            <w:r w:rsidR="00661F74" w:rsidRPr="00B92499">
              <w:rPr>
                <w:noProof/>
                <w:webHidden/>
              </w:rPr>
              <w:fldChar w:fldCharType="separate"/>
            </w:r>
            <w:r w:rsidR="00661F74" w:rsidRPr="00B92499">
              <w:rPr>
                <w:noProof/>
                <w:webHidden/>
              </w:rPr>
              <w:t>43</w:t>
            </w:r>
            <w:r w:rsidR="00661F74" w:rsidRPr="00B92499">
              <w:rPr>
                <w:noProof/>
                <w:webHidden/>
              </w:rPr>
              <w:fldChar w:fldCharType="end"/>
            </w:r>
          </w:hyperlink>
        </w:p>
        <w:p w14:paraId="3E7473F5" w14:textId="2D011820" w:rsidR="00661F74" w:rsidRPr="00B92499" w:rsidRDefault="003B5C22">
          <w:pPr>
            <w:pStyle w:val="TDC3"/>
            <w:tabs>
              <w:tab w:val="left" w:pos="1320"/>
              <w:tab w:val="right" w:leader="dot" w:pos="8828"/>
            </w:tabs>
            <w:rPr>
              <w:rFonts w:cstheme="minorBidi"/>
              <w:noProof/>
              <w:sz w:val="24"/>
              <w:szCs w:val="24"/>
            </w:rPr>
          </w:pPr>
          <w:hyperlink w:anchor="_Toc23252985" w:history="1">
            <w:r w:rsidR="00661F74" w:rsidRPr="00B92499">
              <w:rPr>
                <w:rStyle w:val="Hipervnculo"/>
                <w:rFonts w:ascii="Arial" w:hAnsi="Arial" w:cs="Arial"/>
                <w:b/>
                <w:noProof/>
              </w:rPr>
              <w:t>1.2.8.</w:t>
            </w:r>
            <w:r w:rsidR="00661F74" w:rsidRPr="00B92499">
              <w:rPr>
                <w:rFonts w:cstheme="minorBidi"/>
                <w:noProof/>
                <w:sz w:val="24"/>
                <w:szCs w:val="24"/>
              </w:rPr>
              <w:tab/>
            </w:r>
            <w:r w:rsidR="00661F74" w:rsidRPr="00B92499">
              <w:rPr>
                <w:rStyle w:val="Hipervnculo"/>
                <w:rFonts w:ascii="Arial" w:hAnsi="Arial" w:cs="Arial"/>
                <w:b/>
                <w:noProof/>
              </w:rPr>
              <w:t>Análisis del artículo 147</w:t>
            </w:r>
            <w:r w:rsidR="00661F74" w:rsidRPr="00B92499">
              <w:rPr>
                <w:noProof/>
                <w:webHidden/>
              </w:rPr>
              <w:tab/>
            </w:r>
            <w:r w:rsidR="00661F74" w:rsidRPr="00B92499">
              <w:rPr>
                <w:noProof/>
                <w:webHidden/>
              </w:rPr>
              <w:fldChar w:fldCharType="begin"/>
            </w:r>
            <w:r w:rsidR="00661F74" w:rsidRPr="00B92499">
              <w:rPr>
                <w:noProof/>
                <w:webHidden/>
              </w:rPr>
              <w:instrText xml:space="preserve"> PAGEREF _Toc23252985 \h </w:instrText>
            </w:r>
            <w:r w:rsidR="00661F74" w:rsidRPr="00B92499">
              <w:rPr>
                <w:noProof/>
                <w:webHidden/>
              </w:rPr>
            </w:r>
            <w:r w:rsidR="00661F74" w:rsidRPr="00B92499">
              <w:rPr>
                <w:noProof/>
                <w:webHidden/>
              </w:rPr>
              <w:fldChar w:fldCharType="separate"/>
            </w:r>
            <w:r w:rsidR="00661F74" w:rsidRPr="00B92499">
              <w:rPr>
                <w:noProof/>
                <w:webHidden/>
              </w:rPr>
              <w:t>44</w:t>
            </w:r>
            <w:r w:rsidR="00661F74" w:rsidRPr="00B92499">
              <w:rPr>
                <w:noProof/>
                <w:webHidden/>
              </w:rPr>
              <w:fldChar w:fldCharType="end"/>
            </w:r>
          </w:hyperlink>
        </w:p>
        <w:p w14:paraId="14914676" w14:textId="1BB34EBE" w:rsidR="00661F74" w:rsidRPr="00B92499" w:rsidRDefault="003B5C22">
          <w:pPr>
            <w:pStyle w:val="TDC2"/>
            <w:tabs>
              <w:tab w:val="left" w:pos="880"/>
              <w:tab w:val="right" w:leader="dot" w:pos="8828"/>
            </w:tabs>
            <w:rPr>
              <w:rFonts w:cstheme="minorBidi"/>
              <w:noProof/>
              <w:sz w:val="24"/>
              <w:szCs w:val="24"/>
            </w:rPr>
          </w:pPr>
          <w:hyperlink w:anchor="_Toc23252986" w:history="1">
            <w:r w:rsidR="00661F74" w:rsidRPr="00B92499">
              <w:rPr>
                <w:rStyle w:val="Hipervnculo"/>
                <w:rFonts w:ascii="Arial" w:hAnsi="Arial" w:cs="Arial"/>
                <w:b/>
                <w:noProof/>
              </w:rPr>
              <w:t>1.4</w:t>
            </w:r>
            <w:r w:rsidR="00661F74" w:rsidRPr="00B92499">
              <w:rPr>
                <w:rFonts w:cstheme="minorBidi"/>
                <w:noProof/>
                <w:sz w:val="24"/>
                <w:szCs w:val="24"/>
              </w:rPr>
              <w:tab/>
            </w:r>
            <w:r w:rsidR="00661F74" w:rsidRPr="00B92499">
              <w:rPr>
                <w:rStyle w:val="Hipervnculo"/>
                <w:rFonts w:ascii="Arial" w:hAnsi="Arial" w:cs="Arial"/>
                <w:b/>
                <w:noProof/>
              </w:rPr>
              <w:t>DEMARCACIONES POLÍTICAS DE LA CIUDAD DE MÉXICO</w:t>
            </w:r>
            <w:r w:rsidR="00661F74" w:rsidRPr="00B92499">
              <w:rPr>
                <w:noProof/>
                <w:webHidden/>
              </w:rPr>
              <w:tab/>
            </w:r>
            <w:r w:rsidR="00661F74" w:rsidRPr="00B92499">
              <w:rPr>
                <w:noProof/>
                <w:webHidden/>
              </w:rPr>
              <w:fldChar w:fldCharType="begin"/>
            </w:r>
            <w:r w:rsidR="00661F74" w:rsidRPr="00B92499">
              <w:rPr>
                <w:noProof/>
                <w:webHidden/>
              </w:rPr>
              <w:instrText xml:space="preserve"> PAGEREF _Toc23252986 \h </w:instrText>
            </w:r>
            <w:r w:rsidR="00661F74" w:rsidRPr="00B92499">
              <w:rPr>
                <w:noProof/>
                <w:webHidden/>
              </w:rPr>
            </w:r>
            <w:r w:rsidR="00661F74" w:rsidRPr="00B92499">
              <w:rPr>
                <w:noProof/>
                <w:webHidden/>
              </w:rPr>
              <w:fldChar w:fldCharType="separate"/>
            </w:r>
            <w:r w:rsidR="00661F74" w:rsidRPr="00B92499">
              <w:rPr>
                <w:noProof/>
                <w:webHidden/>
              </w:rPr>
              <w:t>45</w:t>
            </w:r>
            <w:r w:rsidR="00661F74" w:rsidRPr="00B92499">
              <w:rPr>
                <w:noProof/>
                <w:webHidden/>
              </w:rPr>
              <w:fldChar w:fldCharType="end"/>
            </w:r>
          </w:hyperlink>
        </w:p>
        <w:p w14:paraId="2448E925" w14:textId="681AD8BF" w:rsidR="00661F74" w:rsidRPr="00B92499" w:rsidRDefault="003B5C22">
          <w:pPr>
            <w:pStyle w:val="TDC3"/>
            <w:tabs>
              <w:tab w:val="left" w:pos="1320"/>
              <w:tab w:val="right" w:leader="dot" w:pos="8828"/>
            </w:tabs>
            <w:rPr>
              <w:rFonts w:cstheme="minorBidi"/>
              <w:noProof/>
              <w:sz w:val="24"/>
              <w:szCs w:val="24"/>
            </w:rPr>
          </w:pPr>
          <w:hyperlink w:anchor="_Toc23252987" w:history="1">
            <w:r w:rsidR="00661F74" w:rsidRPr="00B92499">
              <w:rPr>
                <w:rStyle w:val="Hipervnculo"/>
                <w:rFonts w:ascii="Arial" w:hAnsi="Arial" w:cs="Arial"/>
                <w:b/>
                <w:noProof/>
              </w:rPr>
              <w:t>1.4.1</w:t>
            </w:r>
            <w:r w:rsidR="00661F74" w:rsidRPr="00B92499">
              <w:rPr>
                <w:rFonts w:cstheme="minorBidi"/>
                <w:noProof/>
                <w:sz w:val="24"/>
                <w:szCs w:val="24"/>
              </w:rPr>
              <w:tab/>
            </w:r>
            <w:r w:rsidR="00661F74" w:rsidRPr="00B92499">
              <w:rPr>
                <w:rStyle w:val="Hipervnculo"/>
                <w:rFonts w:ascii="Arial" w:hAnsi="Arial" w:cs="Arial"/>
                <w:b/>
                <w:noProof/>
              </w:rPr>
              <w:t>Análisis global de cumplimiento de las Demarcaciones Políticas</w:t>
            </w:r>
            <w:r w:rsidR="00661F74" w:rsidRPr="00B92499">
              <w:rPr>
                <w:noProof/>
                <w:webHidden/>
              </w:rPr>
              <w:tab/>
            </w:r>
            <w:r w:rsidR="00661F74" w:rsidRPr="00B92499">
              <w:rPr>
                <w:noProof/>
                <w:webHidden/>
              </w:rPr>
              <w:fldChar w:fldCharType="begin"/>
            </w:r>
            <w:r w:rsidR="00661F74" w:rsidRPr="00B92499">
              <w:rPr>
                <w:noProof/>
                <w:webHidden/>
              </w:rPr>
              <w:instrText xml:space="preserve"> PAGEREF _Toc23252987 \h </w:instrText>
            </w:r>
            <w:r w:rsidR="00661F74" w:rsidRPr="00B92499">
              <w:rPr>
                <w:noProof/>
                <w:webHidden/>
              </w:rPr>
            </w:r>
            <w:r w:rsidR="00661F74" w:rsidRPr="00B92499">
              <w:rPr>
                <w:noProof/>
                <w:webHidden/>
              </w:rPr>
              <w:fldChar w:fldCharType="separate"/>
            </w:r>
            <w:r w:rsidR="00661F74" w:rsidRPr="00B92499">
              <w:rPr>
                <w:noProof/>
                <w:webHidden/>
              </w:rPr>
              <w:t>47</w:t>
            </w:r>
            <w:r w:rsidR="00661F74" w:rsidRPr="00B92499">
              <w:rPr>
                <w:noProof/>
                <w:webHidden/>
              </w:rPr>
              <w:fldChar w:fldCharType="end"/>
            </w:r>
          </w:hyperlink>
        </w:p>
        <w:p w14:paraId="1C2506D6" w14:textId="5C4B3A54" w:rsidR="00661F74" w:rsidRPr="00B92499" w:rsidRDefault="003B5C22">
          <w:pPr>
            <w:pStyle w:val="TDC3"/>
            <w:tabs>
              <w:tab w:val="left" w:pos="1320"/>
              <w:tab w:val="right" w:leader="dot" w:pos="8828"/>
            </w:tabs>
            <w:rPr>
              <w:rFonts w:cstheme="minorBidi"/>
              <w:noProof/>
              <w:sz w:val="24"/>
              <w:szCs w:val="24"/>
            </w:rPr>
          </w:pPr>
          <w:hyperlink w:anchor="_Toc23252988" w:history="1">
            <w:r w:rsidR="00661F74" w:rsidRPr="00B92499">
              <w:rPr>
                <w:rStyle w:val="Hipervnculo"/>
                <w:rFonts w:ascii="Arial" w:hAnsi="Arial" w:cs="Arial"/>
                <w:b/>
                <w:noProof/>
              </w:rPr>
              <w:t>1.4.2</w:t>
            </w:r>
            <w:r w:rsidR="00661F74" w:rsidRPr="00B92499">
              <w:rPr>
                <w:rFonts w:cstheme="minorBidi"/>
                <w:noProof/>
                <w:sz w:val="24"/>
                <w:szCs w:val="24"/>
              </w:rPr>
              <w:tab/>
            </w:r>
            <w:r w:rsidR="00661F74" w:rsidRPr="00B92499">
              <w:rPr>
                <w:rStyle w:val="Hipervnculo"/>
                <w:rFonts w:ascii="Arial" w:hAnsi="Arial" w:cs="Arial"/>
                <w:b/>
                <w:noProof/>
              </w:rPr>
              <w:t>Análisis del artículo 121 y sus respectivas fracciones</w:t>
            </w:r>
            <w:r w:rsidR="00661F74" w:rsidRPr="00B92499">
              <w:rPr>
                <w:noProof/>
                <w:webHidden/>
              </w:rPr>
              <w:tab/>
            </w:r>
            <w:r w:rsidR="00661F74" w:rsidRPr="00B92499">
              <w:rPr>
                <w:noProof/>
                <w:webHidden/>
              </w:rPr>
              <w:fldChar w:fldCharType="begin"/>
            </w:r>
            <w:r w:rsidR="00661F74" w:rsidRPr="00B92499">
              <w:rPr>
                <w:noProof/>
                <w:webHidden/>
              </w:rPr>
              <w:instrText xml:space="preserve"> PAGEREF _Toc23252988 \h </w:instrText>
            </w:r>
            <w:r w:rsidR="00661F74" w:rsidRPr="00B92499">
              <w:rPr>
                <w:noProof/>
                <w:webHidden/>
              </w:rPr>
            </w:r>
            <w:r w:rsidR="00661F74" w:rsidRPr="00B92499">
              <w:rPr>
                <w:noProof/>
                <w:webHidden/>
              </w:rPr>
              <w:fldChar w:fldCharType="separate"/>
            </w:r>
            <w:r w:rsidR="00661F74" w:rsidRPr="00B92499">
              <w:rPr>
                <w:noProof/>
                <w:webHidden/>
              </w:rPr>
              <w:t>48</w:t>
            </w:r>
            <w:r w:rsidR="00661F74" w:rsidRPr="00B92499">
              <w:rPr>
                <w:noProof/>
                <w:webHidden/>
              </w:rPr>
              <w:fldChar w:fldCharType="end"/>
            </w:r>
          </w:hyperlink>
        </w:p>
        <w:p w14:paraId="538403C7" w14:textId="046FA57B" w:rsidR="00661F74" w:rsidRPr="00B92499" w:rsidRDefault="003B5C22">
          <w:pPr>
            <w:pStyle w:val="TDC3"/>
            <w:tabs>
              <w:tab w:val="left" w:pos="1320"/>
              <w:tab w:val="right" w:leader="dot" w:pos="8828"/>
            </w:tabs>
            <w:rPr>
              <w:rFonts w:cstheme="minorBidi"/>
              <w:noProof/>
              <w:sz w:val="24"/>
              <w:szCs w:val="24"/>
            </w:rPr>
          </w:pPr>
          <w:hyperlink w:anchor="_Toc23252989" w:history="1">
            <w:r w:rsidR="00661F74" w:rsidRPr="00B92499">
              <w:rPr>
                <w:rStyle w:val="Hipervnculo"/>
                <w:rFonts w:ascii="Arial" w:hAnsi="Arial" w:cs="Arial"/>
                <w:b/>
                <w:noProof/>
              </w:rPr>
              <w:t>1.4.3</w:t>
            </w:r>
            <w:r w:rsidR="00661F74" w:rsidRPr="00B92499">
              <w:rPr>
                <w:rFonts w:cstheme="minorBidi"/>
                <w:noProof/>
                <w:sz w:val="24"/>
                <w:szCs w:val="24"/>
              </w:rPr>
              <w:tab/>
            </w:r>
            <w:r w:rsidR="00661F74" w:rsidRPr="00B92499">
              <w:rPr>
                <w:rStyle w:val="Hipervnculo"/>
                <w:rFonts w:ascii="Arial" w:hAnsi="Arial" w:cs="Arial"/>
                <w:b/>
                <w:noProof/>
              </w:rPr>
              <w:t>Análisis del artículo 122 y sus respectivas fracciones</w:t>
            </w:r>
            <w:r w:rsidR="00661F74" w:rsidRPr="00B92499">
              <w:rPr>
                <w:noProof/>
                <w:webHidden/>
              </w:rPr>
              <w:tab/>
            </w:r>
            <w:r w:rsidR="00661F74" w:rsidRPr="00B92499">
              <w:rPr>
                <w:noProof/>
                <w:webHidden/>
              </w:rPr>
              <w:fldChar w:fldCharType="begin"/>
            </w:r>
            <w:r w:rsidR="00661F74" w:rsidRPr="00B92499">
              <w:rPr>
                <w:noProof/>
                <w:webHidden/>
              </w:rPr>
              <w:instrText xml:space="preserve"> PAGEREF _Toc23252989 \h </w:instrText>
            </w:r>
            <w:r w:rsidR="00661F74" w:rsidRPr="00B92499">
              <w:rPr>
                <w:noProof/>
                <w:webHidden/>
              </w:rPr>
            </w:r>
            <w:r w:rsidR="00661F74" w:rsidRPr="00B92499">
              <w:rPr>
                <w:noProof/>
                <w:webHidden/>
              </w:rPr>
              <w:fldChar w:fldCharType="separate"/>
            </w:r>
            <w:r w:rsidR="00661F74" w:rsidRPr="00B92499">
              <w:rPr>
                <w:noProof/>
                <w:webHidden/>
              </w:rPr>
              <w:t>51</w:t>
            </w:r>
            <w:r w:rsidR="00661F74" w:rsidRPr="00B92499">
              <w:rPr>
                <w:noProof/>
                <w:webHidden/>
              </w:rPr>
              <w:fldChar w:fldCharType="end"/>
            </w:r>
          </w:hyperlink>
        </w:p>
        <w:p w14:paraId="0A91C070" w14:textId="164CD010" w:rsidR="00661F74" w:rsidRPr="00B92499" w:rsidRDefault="003B5C22">
          <w:pPr>
            <w:pStyle w:val="TDC3"/>
            <w:tabs>
              <w:tab w:val="left" w:pos="1320"/>
              <w:tab w:val="right" w:leader="dot" w:pos="8828"/>
            </w:tabs>
            <w:rPr>
              <w:rFonts w:cstheme="minorBidi"/>
              <w:noProof/>
              <w:sz w:val="24"/>
              <w:szCs w:val="24"/>
            </w:rPr>
          </w:pPr>
          <w:hyperlink w:anchor="_Toc23252990" w:history="1">
            <w:r w:rsidR="00661F74" w:rsidRPr="00B92499">
              <w:rPr>
                <w:rStyle w:val="Hipervnculo"/>
                <w:rFonts w:ascii="Arial" w:hAnsi="Arial" w:cs="Arial"/>
                <w:b/>
                <w:noProof/>
              </w:rPr>
              <w:t>1.4.4</w:t>
            </w:r>
            <w:r w:rsidR="00661F74" w:rsidRPr="00B92499">
              <w:rPr>
                <w:rFonts w:cstheme="minorBidi"/>
                <w:noProof/>
                <w:sz w:val="24"/>
                <w:szCs w:val="24"/>
              </w:rPr>
              <w:tab/>
            </w:r>
            <w:r w:rsidR="00661F74" w:rsidRPr="00B92499">
              <w:rPr>
                <w:rStyle w:val="Hipervnculo"/>
                <w:rFonts w:ascii="Arial" w:hAnsi="Arial" w:cs="Arial"/>
                <w:b/>
                <w:noProof/>
              </w:rPr>
              <w:t>Análisis del artículo 124 y sus respectivas fracciones</w:t>
            </w:r>
            <w:r w:rsidR="00661F74" w:rsidRPr="00B92499">
              <w:rPr>
                <w:noProof/>
                <w:webHidden/>
              </w:rPr>
              <w:tab/>
            </w:r>
            <w:r w:rsidR="00661F74" w:rsidRPr="00B92499">
              <w:rPr>
                <w:noProof/>
                <w:webHidden/>
              </w:rPr>
              <w:fldChar w:fldCharType="begin"/>
            </w:r>
            <w:r w:rsidR="00661F74" w:rsidRPr="00B92499">
              <w:rPr>
                <w:noProof/>
                <w:webHidden/>
              </w:rPr>
              <w:instrText xml:space="preserve"> PAGEREF _Toc23252990 \h </w:instrText>
            </w:r>
            <w:r w:rsidR="00661F74" w:rsidRPr="00B92499">
              <w:rPr>
                <w:noProof/>
                <w:webHidden/>
              </w:rPr>
            </w:r>
            <w:r w:rsidR="00661F74" w:rsidRPr="00B92499">
              <w:rPr>
                <w:noProof/>
                <w:webHidden/>
              </w:rPr>
              <w:fldChar w:fldCharType="separate"/>
            </w:r>
            <w:r w:rsidR="00661F74" w:rsidRPr="00B92499">
              <w:rPr>
                <w:noProof/>
                <w:webHidden/>
              </w:rPr>
              <w:t>52</w:t>
            </w:r>
            <w:r w:rsidR="00661F74" w:rsidRPr="00B92499">
              <w:rPr>
                <w:noProof/>
                <w:webHidden/>
              </w:rPr>
              <w:fldChar w:fldCharType="end"/>
            </w:r>
          </w:hyperlink>
        </w:p>
        <w:p w14:paraId="149045AF" w14:textId="172BD668" w:rsidR="00661F74" w:rsidRPr="00B92499" w:rsidRDefault="003B5C22">
          <w:pPr>
            <w:pStyle w:val="TDC3"/>
            <w:tabs>
              <w:tab w:val="left" w:pos="1320"/>
              <w:tab w:val="right" w:leader="dot" w:pos="8828"/>
            </w:tabs>
            <w:rPr>
              <w:rFonts w:cstheme="minorBidi"/>
              <w:noProof/>
              <w:sz w:val="24"/>
              <w:szCs w:val="24"/>
            </w:rPr>
          </w:pPr>
          <w:hyperlink w:anchor="_Toc23252991" w:history="1">
            <w:r w:rsidR="00661F74" w:rsidRPr="00B92499">
              <w:rPr>
                <w:rStyle w:val="Hipervnculo"/>
                <w:rFonts w:ascii="Arial" w:hAnsi="Arial" w:cs="Arial"/>
                <w:b/>
                <w:noProof/>
              </w:rPr>
              <w:t>1.4.5</w:t>
            </w:r>
            <w:r w:rsidR="00661F74" w:rsidRPr="00B92499">
              <w:rPr>
                <w:rFonts w:cstheme="minorBidi"/>
                <w:noProof/>
                <w:sz w:val="24"/>
                <w:szCs w:val="24"/>
              </w:rPr>
              <w:tab/>
            </w:r>
            <w:r w:rsidR="00661F74" w:rsidRPr="00B92499">
              <w:rPr>
                <w:rStyle w:val="Hipervnculo"/>
                <w:rFonts w:ascii="Arial" w:hAnsi="Arial" w:cs="Arial"/>
                <w:b/>
                <w:noProof/>
              </w:rPr>
              <w:t>Análisis del artículo 143</w:t>
            </w:r>
            <w:r w:rsidR="00661F74" w:rsidRPr="00B92499">
              <w:rPr>
                <w:noProof/>
                <w:webHidden/>
              </w:rPr>
              <w:tab/>
            </w:r>
            <w:r w:rsidR="00661F74" w:rsidRPr="00B92499">
              <w:rPr>
                <w:noProof/>
                <w:webHidden/>
              </w:rPr>
              <w:fldChar w:fldCharType="begin"/>
            </w:r>
            <w:r w:rsidR="00661F74" w:rsidRPr="00B92499">
              <w:rPr>
                <w:noProof/>
                <w:webHidden/>
              </w:rPr>
              <w:instrText xml:space="preserve"> PAGEREF _Toc23252991 \h </w:instrText>
            </w:r>
            <w:r w:rsidR="00661F74" w:rsidRPr="00B92499">
              <w:rPr>
                <w:noProof/>
                <w:webHidden/>
              </w:rPr>
            </w:r>
            <w:r w:rsidR="00661F74" w:rsidRPr="00B92499">
              <w:rPr>
                <w:noProof/>
                <w:webHidden/>
              </w:rPr>
              <w:fldChar w:fldCharType="separate"/>
            </w:r>
            <w:r w:rsidR="00661F74" w:rsidRPr="00B92499">
              <w:rPr>
                <w:noProof/>
                <w:webHidden/>
              </w:rPr>
              <w:t>55</w:t>
            </w:r>
            <w:r w:rsidR="00661F74" w:rsidRPr="00B92499">
              <w:rPr>
                <w:noProof/>
                <w:webHidden/>
              </w:rPr>
              <w:fldChar w:fldCharType="end"/>
            </w:r>
          </w:hyperlink>
        </w:p>
        <w:p w14:paraId="7DCDF880" w14:textId="63FA6E57" w:rsidR="00661F74" w:rsidRPr="00B92499" w:rsidRDefault="003B5C22">
          <w:pPr>
            <w:pStyle w:val="TDC3"/>
            <w:tabs>
              <w:tab w:val="left" w:pos="1320"/>
              <w:tab w:val="right" w:leader="dot" w:pos="8828"/>
            </w:tabs>
            <w:rPr>
              <w:rFonts w:cstheme="minorBidi"/>
              <w:noProof/>
              <w:sz w:val="24"/>
              <w:szCs w:val="24"/>
            </w:rPr>
          </w:pPr>
          <w:hyperlink w:anchor="_Toc23252992" w:history="1">
            <w:r w:rsidR="00661F74" w:rsidRPr="00B92499">
              <w:rPr>
                <w:rStyle w:val="Hipervnculo"/>
                <w:rFonts w:ascii="Arial" w:hAnsi="Arial" w:cs="Arial"/>
                <w:b/>
                <w:noProof/>
              </w:rPr>
              <w:t>1.4.6</w:t>
            </w:r>
            <w:r w:rsidR="00661F74" w:rsidRPr="00B92499">
              <w:rPr>
                <w:rFonts w:cstheme="minorBidi"/>
                <w:noProof/>
                <w:sz w:val="24"/>
                <w:szCs w:val="24"/>
              </w:rPr>
              <w:tab/>
            </w:r>
            <w:r w:rsidR="00661F74" w:rsidRPr="00B92499">
              <w:rPr>
                <w:rStyle w:val="Hipervnculo"/>
                <w:rFonts w:ascii="Arial" w:hAnsi="Arial" w:cs="Arial"/>
                <w:b/>
                <w:noProof/>
              </w:rPr>
              <w:t>Análisis del artículo 145</w:t>
            </w:r>
            <w:r w:rsidR="00661F74" w:rsidRPr="00B92499">
              <w:rPr>
                <w:noProof/>
                <w:webHidden/>
              </w:rPr>
              <w:tab/>
            </w:r>
            <w:r w:rsidR="00661F74" w:rsidRPr="00B92499">
              <w:rPr>
                <w:noProof/>
                <w:webHidden/>
              </w:rPr>
              <w:fldChar w:fldCharType="begin"/>
            </w:r>
            <w:r w:rsidR="00661F74" w:rsidRPr="00B92499">
              <w:rPr>
                <w:noProof/>
                <w:webHidden/>
              </w:rPr>
              <w:instrText xml:space="preserve"> PAGEREF _Toc23252992 \h </w:instrText>
            </w:r>
            <w:r w:rsidR="00661F74" w:rsidRPr="00B92499">
              <w:rPr>
                <w:noProof/>
                <w:webHidden/>
              </w:rPr>
            </w:r>
            <w:r w:rsidR="00661F74" w:rsidRPr="00B92499">
              <w:rPr>
                <w:noProof/>
                <w:webHidden/>
              </w:rPr>
              <w:fldChar w:fldCharType="separate"/>
            </w:r>
            <w:r w:rsidR="00661F74" w:rsidRPr="00B92499">
              <w:rPr>
                <w:noProof/>
                <w:webHidden/>
              </w:rPr>
              <w:t>55</w:t>
            </w:r>
            <w:r w:rsidR="00661F74" w:rsidRPr="00B92499">
              <w:rPr>
                <w:noProof/>
                <w:webHidden/>
              </w:rPr>
              <w:fldChar w:fldCharType="end"/>
            </w:r>
          </w:hyperlink>
        </w:p>
        <w:p w14:paraId="61C353F6" w14:textId="4135CEC4" w:rsidR="00661F74" w:rsidRPr="00B92499" w:rsidRDefault="003B5C22">
          <w:pPr>
            <w:pStyle w:val="TDC3"/>
            <w:tabs>
              <w:tab w:val="left" w:pos="1320"/>
              <w:tab w:val="right" w:leader="dot" w:pos="8828"/>
            </w:tabs>
            <w:rPr>
              <w:rFonts w:cstheme="minorBidi"/>
              <w:noProof/>
              <w:sz w:val="24"/>
              <w:szCs w:val="24"/>
            </w:rPr>
          </w:pPr>
          <w:hyperlink w:anchor="_Toc23252993" w:history="1">
            <w:r w:rsidR="00661F74" w:rsidRPr="00B92499">
              <w:rPr>
                <w:rStyle w:val="Hipervnculo"/>
                <w:rFonts w:ascii="Arial" w:hAnsi="Arial" w:cs="Arial"/>
                <w:b/>
                <w:noProof/>
              </w:rPr>
              <w:t>1.4.7</w:t>
            </w:r>
            <w:r w:rsidR="00661F74" w:rsidRPr="00B92499">
              <w:rPr>
                <w:rFonts w:cstheme="minorBidi"/>
                <w:noProof/>
                <w:sz w:val="24"/>
                <w:szCs w:val="24"/>
              </w:rPr>
              <w:tab/>
            </w:r>
            <w:r w:rsidR="00661F74" w:rsidRPr="00B92499">
              <w:rPr>
                <w:rStyle w:val="Hipervnculo"/>
                <w:rFonts w:ascii="Arial" w:hAnsi="Arial" w:cs="Arial"/>
                <w:b/>
                <w:noProof/>
              </w:rPr>
              <w:t>Análisis del artículo 146</w:t>
            </w:r>
            <w:r w:rsidR="00661F74" w:rsidRPr="00B92499">
              <w:rPr>
                <w:noProof/>
                <w:webHidden/>
              </w:rPr>
              <w:tab/>
            </w:r>
            <w:r w:rsidR="00661F74" w:rsidRPr="00B92499">
              <w:rPr>
                <w:noProof/>
                <w:webHidden/>
              </w:rPr>
              <w:fldChar w:fldCharType="begin"/>
            </w:r>
            <w:r w:rsidR="00661F74" w:rsidRPr="00B92499">
              <w:rPr>
                <w:noProof/>
                <w:webHidden/>
              </w:rPr>
              <w:instrText xml:space="preserve"> PAGEREF _Toc23252993 \h </w:instrText>
            </w:r>
            <w:r w:rsidR="00661F74" w:rsidRPr="00B92499">
              <w:rPr>
                <w:noProof/>
                <w:webHidden/>
              </w:rPr>
            </w:r>
            <w:r w:rsidR="00661F74" w:rsidRPr="00B92499">
              <w:rPr>
                <w:noProof/>
                <w:webHidden/>
              </w:rPr>
              <w:fldChar w:fldCharType="separate"/>
            </w:r>
            <w:r w:rsidR="00661F74" w:rsidRPr="00B92499">
              <w:rPr>
                <w:noProof/>
                <w:webHidden/>
              </w:rPr>
              <w:t>55</w:t>
            </w:r>
            <w:r w:rsidR="00661F74" w:rsidRPr="00B92499">
              <w:rPr>
                <w:noProof/>
                <w:webHidden/>
              </w:rPr>
              <w:fldChar w:fldCharType="end"/>
            </w:r>
          </w:hyperlink>
        </w:p>
        <w:p w14:paraId="1D79022D" w14:textId="5BBFCFB6" w:rsidR="00661F74" w:rsidRPr="00B92499" w:rsidRDefault="003B5C22">
          <w:pPr>
            <w:pStyle w:val="TDC3"/>
            <w:tabs>
              <w:tab w:val="left" w:pos="1320"/>
              <w:tab w:val="right" w:leader="dot" w:pos="8828"/>
            </w:tabs>
            <w:rPr>
              <w:rFonts w:cstheme="minorBidi"/>
              <w:noProof/>
              <w:sz w:val="24"/>
              <w:szCs w:val="24"/>
            </w:rPr>
          </w:pPr>
          <w:hyperlink w:anchor="_Toc23252994" w:history="1">
            <w:r w:rsidR="00661F74" w:rsidRPr="00B92499">
              <w:rPr>
                <w:rStyle w:val="Hipervnculo"/>
                <w:rFonts w:ascii="Arial" w:hAnsi="Arial" w:cs="Arial"/>
                <w:b/>
                <w:noProof/>
              </w:rPr>
              <w:t>1.4.8</w:t>
            </w:r>
            <w:r w:rsidR="00661F74" w:rsidRPr="00B92499">
              <w:rPr>
                <w:rFonts w:cstheme="minorBidi"/>
                <w:noProof/>
                <w:sz w:val="24"/>
                <w:szCs w:val="24"/>
              </w:rPr>
              <w:tab/>
            </w:r>
            <w:r w:rsidR="00661F74" w:rsidRPr="00B92499">
              <w:rPr>
                <w:rStyle w:val="Hipervnculo"/>
                <w:rFonts w:ascii="Arial" w:hAnsi="Arial" w:cs="Arial"/>
                <w:b/>
                <w:noProof/>
              </w:rPr>
              <w:t>Análisis del artículo 147</w:t>
            </w:r>
            <w:r w:rsidR="00661F74" w:rsidRPr="00B92499">
              <w:rPr>
                <w:noProof/>
                <w:webHidden/>
              </w:rPr>
              <w:tab/>
            </w:r>
            <w:r w:rsidR="00661F74" w:rsidRPr="00B92499">
              <w:rPr>
                <w:noProof/>
                <w:webHidden/>
              </w:rPr>
              <w:fldChar w:fldCharType="begin"/>
            </w:r>
            <w:r w:rsidR="00661F74" w:rsidRPr="00B92499">
              <w:rPr>
                <w:noProof/>
                <w:webHidden/>
              </w:rPr>
              <w:instrText xml:space="preserve"> PAGEREF _Toc23252994 \h </w:instrText>
            </w:r>
            <w:r w:rsidR="00661F74" w:rsidRPr="00B92499">
              <w:rPr>
                <w:noProof/>
                <w:webHidden/>
              </w:rPr>
            </w:r>
            <w:r w:rsidR="00661F74" w:rsidRPr="00B92499">
              <w:rPr>
                <w:noProof/>
                <w:webHidden/>
              </w:rPr>
              <w:fldChar w:fldCharType="separate"/>
            </w:r>
            <w:r w:rsidR="00661F74" w:rsidRPr="00B92499">
              <w:rPr>
                <w:noProof/>
                <w:webHidden/>
              </w:rPr>
              <w:t>55</w:t>
            </w:r>
            <w:r w:rsidR="00661F74" w:rsidRPr="00B92499">
              <w:rPr>
                <w:noProof/>
                <w:webHidden/>
              </w:rPr>
              <w:fldChar w:fldCharType="end"/>
            </w:r>
          </w:hyperlink>
        </w:p>
        <w:p w14:paraId="46552AD9" w14:textId="04D0E6E9" w:rsidR="00661F74" w:rsidRPr="00B92499" w:rsidRDefault="003B5C22">
          <w:pPr>
            <w:pStyle w:val="TDC1"/>
            <w:tabs>
              <w:tab w:val="left" w:pos="440"/>
              <w:tab w:val="right" w:leader="dot" w:pos="8828"/>
            </w:tabs>
            <w:rPr>
              <w:rFonts w:cstheme="minorBidi"/>
              <w:noProof/>
              <w:sz w:val="24"/>
              <w:szCs w:val="24"/>
            </w:rPr>
          </w:pPr>
          <w:hyperlink w:anchor="_Toc23252995" w:history="1">
            <w:r w:rsidR="00661F74" w:rsidRPr="00B92499">
              <w:rPr>
                <w:rStyle w:val="Hipervnculo"/>
                <w:rFonts w:ascii="Arial" w:hAnsi="Arial" w:cs="Arial"/>
                <w:b/>
                <w:noProof/>
              </w:rPr>
              <w:t>2.</w:t>
            </w:r>
            <w:r w:rsidR="00661F74" w:rsidRPr="00B92499">
              <w:rPr>
                <w:rFonts w:cstheme="minorBidi"/>
                <w:noProof/>
                <w:sz w:val="24"/>
                <w:szCs w:val="24"/>
              </w:rPr>
              <w:tab/>
            </w:r>
            <w:r w:rsidR="00661F74" w:rsidRPr="00B92499">
              <w:rPr>
                <w:rStyle w:val="Hipervnculo"/>
                <w:rFonts w:ascii="Arial" w:hAnsi="Arial" w:cs="Arial"/>
                <w:b/>
                <w:noProof/>
              </w:rPr>
              <w:t>PODER LEGISLATIVO</w:t>
            </w:r>
            <w:r w:rsidR="00661F74" w:rsidRPr="00B92499">
              <w:rPr>
                <w:noProof/>
                <w:webHidden/>
              </w:rPr>
              <w:tab/>
            </w:r>
            <w:r w:rsidR="00661F74" w:rsidRPr="00B92499">
              <w:rPr>
                <w:noProof/>
                <w:webHidden/>
              </w:rPr>
              <w:fldChar w:fldCharType="begin"/>
            </w:r>
            <w:r w:rsidR="00661F74" w:rsidRPr="00B92499">
              <w:rPr>
                <w:noProof/>
                <w:webHidden/>
              </w:rPr>
              <w:instrText xml:space="preserve"> PAGEREF _Toc23252995 \h </w:instrText>
            </w:r>
            <w:r w:rsidR="00661F74" w:rsidRPr="00B92499">
              <w:rPr>
                <w:noProof/>
                <w:webHidden/>
              </w:rPr>
            </w:r>
            <w:r w:rsidR="00661F74" w:rsidRPr="00B92499">
              <w:rPr>
                <w:noProof/>
                <w:webHidden/>
              </w:rPr>
              <w:fldChar w:fldCharType="separate"/>
            </w:r>
            <w:r w:rsidR="00661F74" w:rsidRPr="00B92499">
              <w:rPr>
                <w:noProof/>
                <w:webHidden/>
              </w:rPr>
              <w:t>57</w:t>
            </w:r>
            <w:r w:rsidR="00661F74" w:rsidRPr="00B92499">
              <w:rPr>
                <w:noProof/>
                <w:webHidden/>
              </w:rPr>
              <w:fldChar w:fldCharType="end"/>
            </w:r>
          </w:hyperlink>
        </w:p>
        <w:p w14:paraId="4C59B101" w14:textId="29DDC4D7" w:rsidR="00661F74" w:rsidRPr="00B92499" w:rsidRDefault="003B5C22">
          <w:pPr>
            <w:pStyle w:val="TDC2"/>
            <w:tabs>
              <w:tab w:val="left" w:pos="880"/>
              <w:tab w:val="right" w:leader="dot" w:pos="8828"/>
            </w:tabs>
            <w:rPr>
              <w:rFonts w:cstheme="minorBidi"/>
              <w:noProof/>
              <w:sz w:val="24"/>
              <w:szCs w:val="24"/>
            </w:rPr>
          </w:pPr>
          <w:hyperlink w:anchor="_Toc23252996" w:history="1">
            <w:r w:rsidR="00661F74" w:rsidRPr="00B92499">
              <w:rPr>
                <w:rStyle w:val="Hipervnculo"/>
                <w:rFonts w:ascii="Arial" w:hAnsi="Arial" w:cs="Arial"/>
                <w:b/>
                <w:noProof/>
              </w:rPr>
              <w:t>2.1</w:t>
            </w:r>
            <w:r w:rsidR="00661F74" w:rsidRPr="00B92499">
              <w:rPr>
                <w:rFonts w:cstheme="minorBidi"/>
                <w:noProof/>
                <w:sz w:val="24"/>
                <w:szCs w:val="24"/>
              </w:rPr>
              <w:tab/>
            </w:r>
            <w:r w:rsidR="00661F74" w:rsidRPr="00B92499">
              <w:rPr>
                <w:rStyle w:val="Hipervnculo"/>
                <w:rFonts w:ascii="Arial" w:hAnsi="Arial" w:cs="Arial"/>
                <w:b/>
                <w:noProof/>
              </w:rPr>
              <w:t>Análisis global de cumplimiento de los Sindicatos</w:t>
            </w:r>
            <w:r w:rsidR="00661F74" w:rsidRPr="00B92499">
              <w:rPr>
                <w:noProof/>
                <w:webHidden/>
              </w:rPr>
              <w:tab/>
            </w:r>
            <w:r w:rsidR="00661F74" w:rsidRPr="00B92499">
              <w:rPr>
                <w:noProof/>
                <w:webHidden/>
              </w:rPr>
              <w:fldChar w:fldCharType="begin"/>
            </w:r>
            <w:r w:rsidR="00661F74" w:rsidRPr="00B92499">
              <w:rPr>
                <w:noProof/>
                <w:webHidden/>
              </w:rPr>
              <w:instrText xml:space="preserve"> PAGEREF _Toc23252996 \h </w:instrText>
            </w:r>
            <w:r w:rsidR="00661F74" w:rsidRPr="00B92499">
              <w:rPr>
                <w:noProof/>
                <w:webHidden/>
              </w:rPr>
            </w:r>
            <w:r w:rsidR="00661F74" w:rsidRPr="00B92499">
              <w:rPr>
                <w:noProof/>
                <w:webHidden/>
              </w:rPr>
              <w:fldChar w:fldCharType="separate"/>
            </w:r>
            <w:r w:rsidR="00661F74" w:rsidRPr="00B92499">
              <w:rPr>
                <w:noProof/>
                <w:webHidden/>
              </w:rPr>
              <w:t>58</w:t>
            </w:r>
            <w:r w:rsidR="00661F74" w:rsidRPr="00B92499">
              <w:rPr>
                <w:noProof/>
                <w:webHidden/>
              </w:rPr>
              <w:fldChar w:fldCharType="end"/>
            </w:r>
          </w:hyperlink>
        </w:p>
        <w:p w14:paraId="27E85BF7" w14:textId="7BC4764E" w:rsidR="00661F74" w:rsidRPr="00B92499" w:rsidRDefault="003B5C22">
          <w:pPr>
            <w:pStyle w:val="TDC2"/>
            <w:tabs>
              <w:tab w:val="left" w:pos="880"/>
              <w:tab w:val="right" w:leader="dot" w:pos="8828"/>
            </w:tabs>
            <w:rPr>
              <w:rFonts w:cstheme="minorBidi"/>
              <w:noProof/>
              <w:sz w:val="24"/>
              <w:szCs w:val="24"/>
            </w:rPr>
          </w:pPr>
          <w:hyperlink w:anchor="_Toc23252997" w:history="1">
            <w:r w:rsidR="00661F74" w:rsidRPr="00B92499">
              <w:rPr>
                <w:rStyle w:val="Hipervnculo"/>
                <w:rFonts w:ascii="Arial" w:hAnsi="Arial" w:cs="Arial"/>
                <w:b/>
                <w:noProof/>
              </w:rPr>
              <w:t>2.2</w:t>
            </w:r>
            <w:r w:rsidR="00661F74" w:rsidRPr="00B92499">
              <w:rPr>
                <w:rFonts w:cstheme="minorBidi"/>
                <w:noProof/>
                <w:sz w:val="24"/>
                <w:szCs w:val="24"/>
              </w:rPr>
              <w:tab/>
            </w:r>
            <w:r w:rsidR="00661F74" w:rsidRPr="00B92499">
              <w:rPr>
                <w:rStyle w:val="Hipervnculo"/>
                <w:rFonts w:ascii="Arial" w:hAnsi="Arial" w:cs="Arial"/>
                <w:b/>
                <w:noProof/>
              </w:rPr>
              <w:t>Análisis del artículo 121 y sus respectivas fracciones</w:t>
            </w:r>
            <w:r w:rsidR="00661F74" w:rsidRPr="00B92499">
              <w:rPr>
                <w:noProof/>
                <w:webHidden/>
              </w:rPr>
              <w:tab/>
            </w:r>
            <w:r w:rsidR="00661F74" w:rsidRPr="00B92499">
              <w:rPr>
                <w:noProof/>
                <w:webHidden/>
              </w:rPr>
              <w:fldChar w:fldCharType="begin"/>
            </w:r>
            <w:r w:rsidR="00661F74" w:rsidRPr="00B92499">
              <w:rPr>
                <w:noProof/>
                <w:webHidden/>
              </w:rPr>
              <w:instrText xml:space="preserve"> PAGEREF _Toc23252997 \h </w:instrText>
            </w:r>
            <w:r w:rsidR="00661F74" w:rsidRPr="00B92499">
              <w:rPr>
                <w:noProof/>
                <w:webHidden/>
              </w:rPr>
            </w:r>
            <w:r w:rsidR="00661F74" w:rsidRPr="00B92499">
              <w:rPr>
                <w:noProof/>
                <w:webHidden/>
              </w:rPr>
              <w:fldChar w:fldCharType="separate"/>
            </w:r>
            <w:r w:rsidR="00661F74" w:rsidRPr="00B92499">
              <w:rPr>
                <w:noProof/>
                <w:webHidden/>
              </w:rPr>
              <w:t>59</w:t>
            </w:r>
            <w:r w:rsidR="00661F74" w:rsidRPr="00B92499">
              <w:rPr>
                <w:noProof/>
                <w:webHidden/>
              </w:rPr>
              <w:fldChar w:fldCharType="end"/>
            </w:r>
          </w:hyperlink>
        </w:p>
        <w:p w14:paraId="181CDC17" w14:textId="5D730E81" w:rsidR="00661F74" w:rsidRPr="00B92499" w:rsidRDefault="003B5C22">
          <w:pPr>
            <w:pStyle w:val="TDC2"/>
            <w:tabs>
              <w:tab w:val="left" w:pos="880"/>
              <w:tab w:val="right" w:leader="dot" w:pos="8828"/>
            </w:tabs>
            <w:rPr>
              <w:rFonts w:cstheme="minorBidi"/>
              <w:noProof/>
              <w:sz w:val="24"/>
              <w:szCs w:val="24"/>
            </w:rPr>
          </w:pPr>
          <w:hyperlink w:anchor="_Toc23252998" w:history="1">
            <w:r w:rsidR="00661F74" w:rsidRPr="00B92499">
              <w:rPr>
                <w:rStyle w:val="Hipervnculo"/>
                <w:rFonts w:ascii="Arial" w:hAnsi="Arial" w:cs="Arial"/>
                <w:b/>
                <w:noProof/>
              </w:rPr>
              <w:t>2.3</w:t>
            </w:r>
            <w:r w:rsidR="00661F74" w:rsidRPr="00B92499">
              <w:rPr>
                <w:rFonts w:cstheme="minorBidi"/>
                <w:noProof/>
                <w:sz w:val="24"/>
                <w:szCs w:val="24"/>
              </w:rPr>
              <w:tab/>
            </w:r>
            <w:r w:rsidR="00661F74" w:rsidRPr="00B92499">
              <w:rPr>
                <w:rStyle w:val="Hipervnculo"/>
                <w:rFonts w:ascii="Arial" w:hAnsi="Arial" w:cs="Arial"/>
                <w:b/>
                <w:noProof/>
              </w:rPr>
              <w:t>Análisis del artículo 125 y sus respectivas fracciones</w:t>
            </w:r>
            <w:r w:rsidR="00661F74" w:rsidRPr="00B92499">
              <w:rPr>
                <w:noProof/>
                <w:webHidden/>
              </w:rPr>
              <w:tab/>
            </w:r>
            <w:r w:rsidR="00661F74" w:rsidRPr="00B92499">
              <w:rPr>
                <w:noProof/>
                <w:webHidden/>
              </w:rPr>
              <w:fldChar w:fldCharType="begin"/>
            </w:r>
            <w:r w:rsidR="00661F74" w:rsidRPr="00B92499">
              <w:rPr>
                <w:noProof/>
                <w:webHidden/>
              </w:rPr>
              <w:instrText xml:space="preserve"> PAGEREF _Toc23252998 \h </w:instrText>
            </w:r>
            <w:r w:rsidR="00661F74" w:rsidRPr="00B92499">
              <w:rPr>
                <w:noProof/>
                <w:webHidden/>
              </w:rPr>
            </w:r>
            <w:r w:rsidR="00661F74" w:rsidRPr="00B92499">
              <w:rPr>
                <w:noProof/>
                <w:webHidden/>
              </w:rPr>
              <w:fldChar w:fldCharType="separate"/>
            </w:r>
            <w:r w:rsidR="00661F74" w:rsidRPr="00B92499">
              <w:rPr>
                <w:noProof/>
                <w:webHidden/>
              </w:rPr>
              <w:t>62</w:t>
            </w:r>
            <w:r w:rsidR="00661F74" w:rsidRPr="00B92499">
              <w:rPr>
                <w:noProof/>
                <w:webHidden/>
              </w:rPr>
              <w:fldChar w:fldCharType="end"/>
            </w:r>
          </w:hyperlink>
        </w:p>
        <w:p w14:paraId="26340B2A" w14:textId="0240FD92" w:rsidR="00661F74" w:rsidRPr="00B92499" w:rsidRDefault="003B5C22">
          <w:pPr>
            <w:pStyle w:val="TDC2"/>
            <w:tabs>
              <w:tab w:val="left" w:pos="880"/>
              <w:tab w:val="right" w:leader="dot" w:pos="8828"/>
            </w:tabs>
            <w:rPr>
              <w:rFonts w:cstheme="minorBidi"/>
              <w:noProof/>
              <w:sz w:val="24"/>
              <w:szCs w:val="24"/>
            </w:rPr>
          </w:pPr>
          <w:hyperlink w:anchor="_Toc23252999" w:history="1">
            <w:r w:rsidR="00661F74" w:rsidRPr="00B92499">
              <w:rPr>
                <w:rStyle w:val="Hipervnculo"/>
                <w:rFonts w:ascii="Arial" w:hAnsi="Arial" w:cs="Arial"/>
                <w:b/>
                <w:noProof/>
              </w:rPr>
              <w:t>2.4</w:t>
            </w:r>
            <w:r w:rsidR="00661F74" w:rsidRPr="00B92499">
              <w:rPr>
                <w:rFonts w:cstheme="minorBidi"/>
                <w:noProof/>
                <w:sz w:val="24"/>
                <w:szCs w:val="24"/>
              </w:rPr>
              <w:tab/>
            </w:r>
            <w:r w:rsidR="00661F74" w:rsidRPr="00B92499">
              <w:rPr>
                <w:rStyle w:val="Hipervnculo"/>
                <w:rFonts w:ascii="Arial" w:hAnsi="Arial" w:cs="Arial"/>
                <w:b/>
                <w:noProof/>
              </w:rPr>
              <w:t>Análisis de los artículos 145 y 146</w:t>
            </w:r>
            <w:r w:rsidR="00661F74" w:rsidRPr="00B92499">
              <w:rPr>
                <w:noProof/>
                <w:webHidden/>
              </w:rPr>
              <w:tab/>
            </w:r>
            <w:r w:rsidR="00661F74" w:rsidRPr="00B92499">
              <w:rPr>
                <w:noProof/>
                <w:webHidden/>
              </w:rPr>
              <w:fldChar w:fldCharType="begin"/>
            </w:r>
            <w:r w:rsidR="00661F74" w:rsidRPr="00B92499">
              <w:rPr>
                <w:noProof/>
                <w:webHidden/>
              </w:rPr>
              <w:instrText xml:space="preserve"> PAGEREF _Toc23252999 \h </w:instrText>
            </w:r>
            <w:r w:rsidR="00661F74" w:rsidRPr="00B92499">
              <w:rPr>
                <w:noProof/>
                <w:webHidden/>
              </w:rPr>
            </w:r>
            <w:r w:rsidR="00661F74" w:rsidRPr="00B92499">
              <w:rPr>
                <w:noProof/>
                <w:webHidden/>
              </w:rPr>
              <w:fldChar w:fldCharType="separate"/>
            </w:r>
            <w:r w:rsidR="00661F74" w:rsidRPr="00B92499">
              <w:rPr>
                <w:noProof/>
                <w:webHidden/>
              </w:rPr>
              <w:t>65</w:t>
            </w:r>
            <w:r w:rsidR="00661F74" w:rsidRPr="00B92499">
              <w:rPr>
                <w:noProof/>
                <w:webHidden/>
              </w:rPr>
              <w:fldChar w:fldCharType="end"/>
            </w:r>
          </w:hyperlink>
        </w:p>
        <w:p w14:paraId="359D1590" w14:textId="1C6C57A3" w:rsidR="00661F74" w:rsidRPr="00B92499" w:rsidRDefault="003B5C22">
          <w:pPr>
            <w:pStyle w:val="TDC2"/>
            <w:tabs>
              <w:tab w:val="left" w:pos="880"/>
              <w:tab w:val="right" w:leader="dot" w:pos="8828"/>
            </w:tabs>
            <w:rPr>
              <w:rFonts w:cstheme="minorBidi"/>
              <w:noProof/>
              <w:sz w:val="24"/>
              <w:szCs w:val="24"/>
            </w:rPr>
          </w:pPr>
          <w:hyperlink w:anchor="_Toc23253000" w:history="1">
            <w:r w:rsidR="00661F74" w:rsidRPr="00B92499">
              <w:rPr>
                <w:rStyle w:val="Hipervnculo"/>
                <w:rFonts w:ascii="Arial" w:hAnsi="Arial" w:cs="Arial"/>
                <w:b/>
                <w:noProof/>
              </w:rPr>
              <w:t>2.5</w:t>
            </w:r>
            <w:r w:rsidR="00661F74" w:rsidRPr="00B92499">
              <w:rPr>
                <w:rFonts w:cstheme="minorBidi"/>
                <w:noProof/>
                <w:sz w:val="24"/>
                <w:szCs w:val="24"/>
              </w:rPr>
              <w:tab/>
            </w:r>
            <w:r w:rsidR="00661F74" w:rsidRPr="00B92499">
              <w:rPr>
                <w:rStyle w:val="Hipervnculo"/>
                <w:rFonts w:ascii="Arial" w:hAnsi="Arial" w:cs="Arial"/>
                <w:b/>
                <w:noProof/>
              </w:rPr>
              <w:t>Análisis del artículo 147</w:t>
            </w:r>
            <w:r w:rsidR="00661F74" w:rsidRPr="00B92499">
              <w:rPr>
                <w:noProof/>
                <w:webHidden/>
              </w:rPr>
              <w:tab/>
            </w:r>
            <w:r w:rsidR="00661F74" w:rsidRPr="00B92499">
              <w:rPr>
                <w:noProof/>
                <w:webHidden/>
              </w:rPr>
              <w:fldChar w:fldCharType="begin"/>
            </w:r>
            <w:r w:rsidR="00661F74" w:rsidRPr="00B92499">
              <w:rPr>
                <w:noProof/>
                <w:webHidden/>
              </w:rPr>
              <w:instrText xml:space="preserve"> PAGEREF _Toc23253000 \h </w:instrText>
            </w:r>
            <w:r w:rsidR="00661F74" w:rsidRPr="00B92499">
              <w:rPr>
                <w:noProof/>
                <w:webHidden/>
              </w:rPr>
            </w:r>
            <w:r w:rsidR="00661F74" w:rsidRPr="00B92499">
              <w:rPr>
                <w:noProof/>
                <w:webHidden/>
              </w:rPr>
              <w:fldChar w:fldCharType="separate"/>
            </w:r>
            <w:r w:rsidR="00661F74" w:rsidRPr="00B92499">
              <w:rPr>
                <w:noProof/>
                <w:webHidden/>
              </w:rPr>
              <w:t>65</w:t>
            </w:r>
            <w:r w:rsidR="00661F74" w:rsidRPr="00B92499">
              <w:rPr>
                <w:noProof/>
                <w:webHidden/>
              </w:rPr>
              <w:fldChar w:fldCharType="end"/>
            </w:r>
          </w:hyperlink>
        </w:p>
        <w:p w14:paraId="6650FDD7" w14:textId="334FE8B6" w:rsidR="00661F74" w:rsidRPr="00B92499" w:rsidRDefault="003B5C22">
          <w:pPr>
            <w:pStyle w:val="TDC1"/>
            <w:tabs>
              <w:tab w:val="left" w:pos="440"/>
              <w:tab w:val="right" w:leader="dot" w:pos="8828"/>
            </w:tabs>
            <w:rPr>
              <w:rFonts w:cstheme="minorBidi"/>
              <w:noProof/>
              <w:sz w:val="24"/>
              <w:szCs w:val="24"/>
            </w:rPr>
          </w:pPr>
          <w:hyperlink w:anchor="_Toc23253001" w:history="1">
            <w:r w:rsidR="00661F74" w:rsidRPr="00B92499">
              <w:rPr>
                <w:rStyle w:val="Hipervnculo"/>
                <w:rFonts w:ascii="Arial" w:hAnsi="Arial" w:cs="Arial"/>
                <w:b/>
                <w:noProof/>
              </w:rPr>
              <w:t>3.</w:t>
            </w:r>
            <w:r w:rsidR="00661F74" w:rsidRPr="00B92499">
              <w:rPr>
                <w:rFonts w:cstheme="minorBidi"/>
                <w:noProof/>
                <w:sz w:val="24"/>
                <w:szCs w:val="24"/>
              </w:rPr>
              <w:tab/>
            </w:r>
            <w:r w:rsidR="00661F74" w:rsidRPr="00B92499">
              <w:rPr>
                <w:rStyle w:val="Hipervnculo"/>
                <w:rFonts w:ascii="Arial" w:hAnsi="Arial" w:cs="Arial"/>
                <w:b/>
                <w:noProof/>
              </w:rPr>
              <w:t>ÓRGANOS AUTÓNOMOS</w:t>
            </w:r>
            <w:r w:rsidR="00661F74" w:rsidRPr="00B92499">
              <w:rPr>
                <w:noProof/>
                <w:webHidden/>
              </w:rPr>
              <w:tab/>
            </w:r>
            <w:r w:rsidR="00661F74" w:rsidRPr="00B92499">
              <w:rPr>
                <w:noProof/>
                <w:webHidden/>
              </w:rPr>
              <w:fldChar w:fldCharType="begin"/>
            </w:r>
            <w:r w:rsidR="00661F74" w:rsidRPr="00B92499">
              <w:rPr>
                <w:noProof/>
                <w:webHidden/>
              </w:rPr>
              <w:instrText xml:space="preserve"> PAGEREF _Toc23253001 \h </w:instrText>
            </w:r>
            <w:r w:rsidR="00661F74" w:rsidRPr="00B92499">
              <w:rPr>
                <w:noProof/>
                <w:webHidden/>
              </w:rPr>
            </w:r>
            <w:r w:rsidR="00661F74" w:rsidRPr="00B92499">
              <w:rPr>
                <w:noProof/>
                <w:webHidden/>
              </w:rPr>
              <w:fldChar w:fldCharType="separate"/>
            </w:r>
            <w:r w:rsidR="00661F74" w:rsidRPr="00B92499">
              <w:rPr>
                <w:noProof/>
                <w:webHidden/>
              </w:rPr>
              <w:t>66</w:t>
            </w:r>
            <w:r w:rsidR="00661F74" w:rsidRPr="00B92499">
              <w:rPr>
                <w:noProof/>
                <w:webHidden/>
              </w:rPr>
              <w:fldChar w:fldCharType="end"/>
            </w:r>
          </w:hyperlink>
        </w:p>
        <w:p w14:paraId="4C271AB7" w14:textId="4C897D81" w:rsidR="00661F74" w:rsidRPr="00B92499" w:rsidRDefault="003B5C22">
          <w:pPr>
            <w:pStyle w:val="TDC2"/>
            <w:tabs>
              <w:tab w:val="left" w:pos="880"/>
              <w:tab w:val="right" w:leader="dot" w:pos="8828"/>
            </w:tabs>
            <w:rPr>
              <w:rFonts w:cstheme="minorBidi"/>
              <w:noProof/>
              <w:sz w:val="24"/>
              <w:szCs w:val="24"/>
            </w:rPr>
          </w:pPr>
          <w:hyperlink w:anchor="_Toc23253002" w:history="1">
            <w:r w:rsidR="00661F74" w:rsidRPr="00B92499">
              <w:rPr>
                <w:rStyle w:val="Hipervnculo"/>
                <w:rFonts w:ascii="Arial" w:hAnsi="Arial" w:cs="Arial"/>
                <w:b/>
                <w:noProof/>
              </w:rPr>
              <w:t>3.1</w:t>
            </w:r>
            <w:r w:rsidR="00661F74" w:rsidRPr="00B92499">
              <w:rPr>
                <w:rFonts w:cstheme="minorBidi"/>
                <w:noProof/>
                <w:sz w:val="24"/>
                <w:szCs w:val="24"/>
              </w:rPr>
              <w:tab/>
            </w:r>
            <w:r w:rsidR="00661F74" w:rsidRPr="00B92499">
              <w:rPr>
                <w:rStyle w:val="Hipervnculo"/>
                <w:rFonts w:ascii="Arial" w:hAnsi="Arial" w:cs="Arial"/>
                <w:b/>
                <w:noProof/>
              </w:rPr>
              <w:t>Análisis global de cumplimiento de los Órganos Autónomos</w:t>
            </w:r>
            <w:r w:rsidR="00661F74" w:rsidRPr="00B92499">
              <w:rPr>
                <w:noProof/>
                <w:webHidden/>
              </w:rPr>
              <w:tab/>
            </w:r>
            <w:r w:rsidR="00661F74" w:rsidRPr="00B92499">
              <w:rPr>
                <w:noProof/>
                <w:webHidden/>
              </w:rPr>
              <w:fldChar w:fldCharType="begin"/>
            </w:r>
            <w:r w:rsidR="00661F74" w:rsidRPr="00B92499">
              <w:rPr>
                <w:noProof/>
                <w:webHidden/>
              </w:rPr>
              <w:instrText xml:space="preserve"> PAGEREF _Toc23253002 \h </w:instrText>
            </w:r>
            <w:r w:rsidR="00661F74" w:rsidRPr="00B92499">
              <w:rPr>
                <w:noProof/>
                <w:webHidden/>
              </w:rPr>
            </w:r>
            <w:r w:rsidR="00661F74" w:rsidRPr="00B92499">
              <w:rPr>
                <w:noProof/>
                <w:webHidden/>
              </w:rPr>
              <w:fldChar w:fldCharType="separate"/>
            </w:r>
            <w:r w:rsidR="00661F74" w:rsidRPr="00B92499">
              <w:rPr>
                <w:noProof/>
                <w:webHidden/>
              </w:rPr>
              <w:t>67</w:t>
            </w:r>
            <w:r w:rsidR="00661F74" w:rsidRPr="00B92499">
              <w:rPr>
                <w:noProof/>
                <w:webHidden/>
              </w:rPr>
              <w:fldChar w:fldCharType="end"/>
            </w:r>
          </w:hyperlink>
        </w:p>
        <w:p w14:paraId="1338B0C1" w14:textId="19C8DBFA" w:rsidR="00661F74" w:rsidRPr="00B92499" w:rsidRDefault="003B5C22">
          <w:pPr>
            <w:pStyle w:val="TDC2"/>
            <w:tabs>
              <w:tab w:val="left" w:pos="880"/>
              <w:tab w:val="right" w:leader="dot" w:pos="8828"/>
            </w:tabs>
            <w:rPr>
              <w:rFonts w:cstheme="minorBidi"/>
              <w:noProof/>
              <w:sz w:val="24"/>
              <w:szCs w:val="24"/>
            </w:rPr>
          </w:pPr>
          <w:hyperlink w:anchor="_Toc23253003" w:history="1">
            <w:r w:rsidR="00661F74" w:rsidRPr="00B92499">
              <w:rPr>
                <w:rStyle w:val="Hipervnculo"/>
                <w:rFonts w:ascii="Arial" w:hAnsi="Arial" w:cs="Arial"/>
                <w:b/>
                <w:noProof/>
              </w:rPr>
              <w:t>3.2</w:t>
            </w:r>
            <w:r w:rsidR="00661F74" w:rsidRPr="00B92499">
              <w:rPr>
                <w:rFonts w:cstheme="minorBidi"/>
                <w:noProof/>
                <w:sz w:val="24"/>
                <w:szCs w:val="24"/>
              </w:rPr>
              <w:tab/>
            </w:r>
            <w:r w:rsidR="00661F74" w:rsidRPr="00B92499">
              <w:rPr>
                <w:rStyle w:val="Hipervnculo"/>
                <w:rFonts w:ascii="Arial" w:hAnsi="Arial" w:cs="Arial"/>
                <w:b/>
                <w:noProof/>
              </w:rPr>
              <w:t>Análisis del artículo 121 y sus respectivas fracciones</w:t>
            </w:r>
            <w:r w:rsidR="00661F74" w:rsidRPr="00B92499">
              <w:rPr>
                <w:noProof/>
                <w:webHidden/>
              </w:rPr>
              <w:tab/>
            </w:r>
            <w:r w:rsidR="00661F74" w:rsidRPr="00B92499">
              <w:rPr>
                <w:noProof/>
                <w:webHidden/>
              </w:rPr>
              <w:fldChar w:fldCharType="begin"/>
            </w:r>
            <w:r w:rsidR="00661F74" w:rsidRPr="00B92499">
              <w:rPr>
                <w:noProof/>
                <w:webHidden/>
              </w:rPr>
              <w:instrText xml:space="preserve"> PAGEREF _Toc23253003 \h </w:instrText>
            </w:r>
            <w:r w:rsidR="00661F74" w:rsidRPr="00B92499">
              <w:rPr>
                <w:noProof/>
                <w:webHidden/>
              </w:rPr>
            </w:r>
            <w:r w:rsidR="00661F74" w:rsidRPr="00B92499">
              <w:rPr>
                <w:noProof/>
                <w:webHidden/>
              </w:rPr>
              <w:fldChar w:fldCharType="separate"/>
            </w:r>
            <w:r w:rsidR="00661F74" w:rsidRPr="00B92499">
              <w:rPr>
                <w:noProof/>
                <w:webHidden/>
              </w:rPr>
              <w:t>68</w:t>
            </w:r>
            <w:r w:rsidR="00661F74" w:rsidRPr="00B92499">
              <w:rPr>
                <w:noProof/>
                <w:webHidden/>
              </w:rPr>
              <w:fldChar w:fldCharType="end"/>
            </w:r>
          </w:hyperlink>
        </w:p>
        <w:p w14:paraId="00E1A087" w14:textId="5F7141EE" w:rsidR="00661F74" w:rsidRPr="00B92499" w:rsidRDefault="003B5C22">
          <w:pPr>
            <w:pStyle w:val="TDC2"/>
            <w:tabs>
              <w:tab w:val="left" w:pos="880"/>
              <w:tab w:val="right" w:leader="dot" w:pos="8828"/>
            </w:tabs>
            <w:rPr>
              <w:rFonts w:cstheme="minorBidi"/>
              <w:noProof/>
              <w:sz w:val="24"/>
              <w:szCs w:val="24"/>
            </w:rPr>
          </w:pPr>
          <w:hyperlink w:anchor="_Toc23253004" w:history="1">
            <w:r w:rsidR="00661F74" w:rsidRPr="00B92499">
              <w:rPr>
                <w:rStyle w:val="Hipervnculo"/>
                <w:rFonts w:ascii="Arial" w:hAnsi="Arial" w:cs="Arial"/>
                <w:b/>
                <w:noProof/>
              </w:rPr>
              <w:t>3.3</w:t>
            </w:r>
            <w:r w:rsidR="00661F74" w:rsidRPr="00B92499">
              <w:rPr>
                <w:rFonts w:cstheme="minorBidi"/>
                <w:noProof/>
                <w:sz w:val="24"/>
                <w:szCs w:val="24"/>
              </w:rPr>
              <w:tab/>
            </w:r>
            <w:r w:rsidR="00661F74" w:rsidRPr="00B92499">
              <w:rPr>
                <w:rStyle w:val="Hipervnculo"/>
                <w:rFonts w:ascii="Arial" w:hAnsi="Arial" w:cs="Arial"/>
                <w:b/>
                <w:noProof/>
              </w:rPr>
              <w:t>Análisis del artículo 133 y sus respectivas fracciones</w:t>
            </w:r>
            <w:r w:rsidR="00661F74" w:rsidRPr="00B92499">
              <w:rPr>
                <w:noProof/>
                <w:webHidden/>
              </w:rPr>
              <w:tab/>
            </w:r>
            <w:r w:rsidR="00661F74" w:rsidRPr="00B92499">
              <w:rPr>
                <w:noProof/>
                <w:webHidden/>
              </w:rPr>
              <w:fldChar w:fldCharType="begin"/>
            </w:r>
            <w:r w:rsidR="00661F74" w:rsidRPr="00B92499">
              <w:rPr>
                <w:noProof/>
                <w:webHidden/>
              </w:rPr>
              <w:instrText xml:space="preserve"> PAGEREF _Toc23253004 \h </w:instrText>
            </w:r>
            <w:r w:rsidR="00661F74" w:rsidRPr="00B92499">
              <w:rPr>
                <w:noProof/>
                <w:webHidden/>
              </w:rPr>
            </w:r>
            <w:r w:rsidR="00661F74" w:rsidRPr="00B92499">
              <w:rPr>
                <w:noProof/>
                <w:webHidden/>
              </w:rPr>
              <w:fldChar w:fldCharType="separate"/>
            </w:r>
            <w:r w:rsidR="00661F74" w:rsidRPr="00B92499">
              <w:rPr>
                <w:noProof/>
                <w:webHidden/>
              </w:rPr>
              <w:t>71</w:t>
            </w:r>
            <w:r w:rsidR="00661F74" w:rsidRPr="00B92499">
              <w:rPr>
                <w:noProof/>
                <w:webHidden/>
              </w:rPr>
              <w:fldChar w:fldCharType="end"/>
            </w:r>
          </w:hyperlink>
        </w:p>
        <w:p w14:paraId="6AD8084C" w14:textId="3DF0F959" w:rsidR="00661F74" w:rsidRPr="00B92499" w:rsidRDefault="003B5C22">
          <w:pPr>
            <w:pStyle w:val="TDC2"/>
            <w:tabs>
              <w:tab w:val="left" w:pos="880"/>
              <w:tab w:val="right" w:leader="dot" w:pos="8828"/>
            </w:tabs>
            <w:rPr>
              <w:rFonts w:cstheme="minorBidi"/>
              <w:noProof/>
              <w:sz w:val="24"/>
              <w:szCs w:val="24"/>
            </w:rPr>
          </w:pPr>
          <w:hyperlink w:anchor="_Toc23253005" w:history="1">
            <w:r w:rsidR="00661F74" w:rsidRPr="00B92499">
              <w:rPr>
                <w:rStyle w:val="Hipervnculo"/>
                <w:rFonts w:ascii="Arial" w:hAnsi="Arial" w:cs="Arial"/>
                <w:b/>
                <w:noProof/>
              </w:rPr>
              <w:t>3.4</w:t>
            </w:r>
            <w:r w:rsidR="00661F74" w:rsidRPr="00B92499">
              <w:rPr>
                <w:rFonts w:cstheme="minorBidi"/>
                <w:noProof/>
                <w:sz w:val="24"/>
                <w:szCs w:val="24"/>
              </w:rPr>
              <w:tab/>
            </w:r>
            <w:r w:rsidR="00661F74" w:rsidRPr="00B92499">
              <w:rPr>
                <w:rStyle w:val="Hipervnculo"/>
                <w:rFonts w:ascii="Arial" w:hAnsi="Arial" w:cs="Arial"/>
                <w:b/>
                <w:noProof/>
              </w:rPr>
              <w:t>Análisis del artículo 145, 146 y 147</w:t>
            </w:r>
            <w:r w:rsidR="00661F74" w:rsidRPr="00B92499">
              <w:rPr>
                <w:noProof/>
                <w:webHidden/>
              </w:rPr>
              <w:tab/>
            </w:r>
            <w:r w:rsidR="00661F74" w:rsidRPr="00B92499">
              <w:rPr>
                <w:noProof/>
                <w:webHidden/>
              </w:rPr>
              <w:fldChar w:fldCharType="begin"/>
            </w:r>
            <w:r w:rsidR="00661F74" w:rsidRPr="00B92499">
              <w:rPr>
                <w:noProof/>
                <w:webHidden/>
              </w:rPr>
              <w:instrText xml:space="preserve"> PAGEREF _Toc23253005 \h </w:instrText>
            </w:r>
            <w:r w:rsidR="00661F74" w:rsidRPr="00B92499">
              <w:rPr>
                <w:noProof/>
                <w:webHidden/>
              </w:rPr>
            </w:r>
            <w:r w:rsidR="00661F74" w:rsidRPr="00B92499">
              <w:rPr>
                <w:noProof/>
                <w:webHidden/>
              </w:rPr>
              <w:fldChar w:fldCharType="separate"/>
            </w:r>
            <w:r w:rsidR="00661F74" w:rsidRPr="00B92499">
              <w:rPr>
                <w:noProof/>
                <w:webHidden/>
              </w:rPr>
              <w:t>72</w:t>
            </w:r>
            <w:r w:rsidR="00661F74" w:rsidRPr="00B92499">
              <w:rPr>
                <w:noProof/>
                <w:webHidden/>
              </w:rPr>
              <w:fldChar w:fldCharType="end"/>
            </w:r>
          </w:hyperlink>
        </w:p>
        <w:p w14:paraId="7CC340B8" w14:textId="27B3DB2D" w:rsidR="00661F74" w:rsidRPr="00B92499" w:rsidRDefault="003B5C22">
          <w:pPr>
            <w:pStyle w:val="TDC1"/>
            <w:tabs>
              <w:tab w:val="left" w:pos="440"/>
              <w:tab w:val="right" w:leader="dot" w:pos="8828"/>
            </w:tabs>
            <w:rPr>
              <w:rFonts w:cstheme="minorBidi"/>
              <w:noProof/>
              <w:sz w:val="24"/>
              <w:szCs w:val="24"/>
            </w:rPr>
          </w:pPr>
          <w:hyperlink w:anchor="_Toc23253006" w:history="1">
            <w:r w:rsidR="00661F74" w:rsidRPr="00B92499">
              <w:rPr>
                <w:rStyle w:val="Hipervnculo"/>
                <w:rFonts w:ascii="Arial" w:hAnsi="Arial" w:cs="Arial"/>
                <w:b/>
                <w:noProof/>
              </w:rPr>
              <w:t>4.</w:t>
            </w:r>
            <w:r w:rsidR="00661F74" w:rsidRPr="00B92499">
              <w:rPr>
                <w:rFonts w:cstheme="minorBidi"/>
                <w:noProof/>
                <w:sz w:val="24"/>
                <w:szCs w:val="24"/>
              </w:rPr>
              <w:tab/>
            </w:r>
            <w:r w:rsidR="00661F74" w:rsidRPr="00B92499">
              <w:rPr>
                <w:rStyle w:val="Hipervnculo"/>
                <w:rFonts w:ascii="Arial" w:hAnsi="Arial" w:cs="Arial"/>
                <w:b/>
                <w:noProof/>
              </w:rPr>
              <w:t>SINDICATOS</w:t>
            </w:r>
            <w:r w:rsidR="00661F74" w:rsidRPr="00B92499">
              <w:rPr>
                <w:noProof/>
                <w:webHidden/>
              </w:rPr>
              <w:tab/>
            </w:r>
            <w:r w:rsidR="00661F74" w:rsidRPr="00B92499">
              <w:rPr>
                <w:noProof/>
                <w:webHidden/>
              </w:rPr>
              <w:fldChar w:fldCharType="begin"/>
            </w:r>
            <w:r w:rsidR="00661F74" w:rsidRPr="00B92499">
              <w:rPr>
                <w:noProof/>
                <w:webHidden/>
              </w:rPr>
              <w:instrText xml:space="preserve"> PAGEREF _Toc23253006 \h </w:instrText>
            </w:r>
            <w:r w:rsidR="00661F74" w:rsidRPr="00B92499">
              <w:rPr>
                <w:noProof/>
                <w:webHidden/>
              </w:rPr>
            </w:r>
            <w:r w:rsidR="00661F74" w:rsidRPr="00B92499">
              <w:rPr>
                <w:noProof/>
                <w:webHidden/>
              </w:rPr>
              <w:fldChar w:fldCharType="separate"/>
            </w:r>
            <w:r w:rsidR="00661F74" w:rsidRPr="00B92499">
              <w:rPr>
                <w:noProof/>
                <w:webHidden/>
              </w:rPr>
              <w:t>73</w:t>
            </w:r>
            <w:r w:rsidR="00661F74" w:rsidRPr="00B92499">
              <w:rPr>
                <w:noProof/>
                <w:webHidden/>
              </w:rPr>
              <w:fldChar w:fldCharType="end"/>
            </w:r>
          </w:hyperlink>
        </w:p>
        <w:p w14:paraId="6996DAFC" w14:textId="304F94A6" w:rsidR="00661F74" w:rsidRPr="00B92499" w:rsidRDefault="003B5C22">
          <w:pPr>
            <w:pStyle w:val="TDC2"/>
            <w:tabs>
              <w:tab w:val="left" w:pos="880"/>
              <w:tab w:val="right" w:leader="dot" w:pos="8828"/>
            </w:tabs>
            <w:rPr>
              <w:rFonts w:cstheme="minorBidi"/>
              <w:noProof/>
              <w:sz w:val="24"/>
              <w:szCs w:val="24"/>
            </w:rPr>
          </w:pPr>
          <w:hyperlink w:anchor="_Toc23253007" w:history="1">
            <w:r w:rsidR="00661F74" w:rsidRPr="00B92499">
              <w:rPr>
                <w:rStyle w:val="Hipervnculo"/>
                <w:rFonts w:ascii="Arial" w:hAnsi="Arial" w:cs="Arial"/>
                <w:b/>
                <w:noProof/>
              </w:rPr>
              <w:t>4.1</w:t>
            </w:r>
            <w:r w:rsidR="00661F74" w:rsidRPr="00B92499">
              <w:rPr>
                <w:rFonts w:cstheme="minorBidi"/>
                <w:noProof/>
                <w:sz w:val="24"/>
                <w:szCs w:val="24"/>
              </w:rPr>
              <w:tab/>
            </w:r>
            <w:r w:rsidR="00661F74" w:rsidRPr="00B92499">
              <w:rPr>
                <w:rStyle w:val="Hipervnculo"/>
                <w:rFonts w:ascii="Arial" w:hAnsi="Arial" w:cs="Arial"/>
                <w:b/>
                <w:noProof/>
              </w:rPr>
              <w:t>Análisis global de cumplimiento de los Sindicatos</w:t>
            </w:r>
            <w:r w:rsidR="00661F74" w:rsidRPr="00B92499">
              <w:rPr>
                <w:noProof/>
                <w:webHidden/>
              </w:rPr>
              <w:tab/>
            </w:r>
            <w:r w:rsidR="00661F74" w:rsidRPr="00B92499">
              <w:rPr>
                <w:noProof/>
                <w:webHidden/>
              </w:rPr>
              <w:fldChar w:fldCharType="begin"/>
            </w:r>
            <w:r w:rsidR="00661F74" w:rsidRPr="00B92499">
              <w:rPr>
                <w:noProof/>
                <w:webHidden/>
              </w:rPr>
              <w:instrText xml:space="preserve"> PAGEREF _Toc23253007 \h </w:instrText>
            </w:r>
            <w:r w:rsidR="00661F74" w:rsidRPr="00B92499">
              <w:rPr>
                <w:noProof/>
                <w:webHidden/>
              </w:rPr>
            </w:r>
            <w:r w:rsidR="00661F74" w:rsidRPr="00B92499">
              <w:rPr>
                <w:noProof/>
                <w:webHidden/>
              </w:rPr>
              <w:fldChar w:fldCharType="separate"/>
            </w:r>
            <w:r w:rsidR="00661F74" w:rsidRPr="00B92499">
              <w:rPr>
                <w:noProof/>
                <w:webHidden/>
              </w:rPr>
              <w:t>74</w:t>
            </w:r>
            <w:r w:rsidR="00661F74" w:rsidRPr="00B92499">
              <w:rPr>
                <w:noProof/>
                <w:webHidden/>
              </w:rPr>
              <w:fldChar w:fldCharType="end"/>
            </w:r>
          </w:hyperlink>
        </w:p>
        <w:p w14:paraId="5B5BF765" w14:textId="2C22231D" w:rsidR="00661F74" w:rsidRPr="00B92499" w:rsidRDefault="003B5C22">
          <w:pPr>
            <w:pStyle w:val="TDC2"/>
            <w:tabs>
              <w:tab w:val="left" w:pos="880"/>
              <w:tab w:val="right" w:leader="dot" w:pos="8828"/>
            </w:tabs>
            <w:rPr>
              <w:rFonts w:cstheme="minorBidi"/>
              <w:noProof/>
              <w:sz w:val="24"/>
              <w:szCs w:val="24"/>
            </w:rPr>
          </w:pPr>
          <w:hyperlink w:anchor="_Toc23253008" w:history="1">
            <w:r w:rsidR="00661F74" w:rsidRPr="00B92499">
              <w:rPr>
                <w:rStyle w:val="Hipervnculo"/>
                <w:rFonts w:ascii="Arial" w:hAnsi="Arial" w:cs="Arial"/>
                <w:b/>
                <w:noProof/>
              </w:rPr>
              <w:t>4.2</w:t>
            </w:r>
            <w:r w:rsidR="00661F74" w:rsidRPr="00B92499">
              <w:rPr>
                <w:rFonts w:cstheme="minorBidi"/>
                <w:noProof/>
                <w:sz w:val="24"/>
                <w:szCs w:val="24"/>
              </w:rPr>
              <w:tab/>
            </w:r>
            <w:r w:rsidR="00661F74" w:rsidRPr="00B92499">
              <w:rPr>
                <w:rStyle w:val="Hipervnculo"/>
                <w:rFonts w:ascii="Arial" w:hAnsi="Arial" w:cs="Arial"/>
                <w:b/>
                <w:noProof/>
              </w:rPr>
              <w:t>Análisis del artículo 121 y sus respectivas fracciones</w:t>
            </w:r>
            <w:r w:rsidR="00661F74" w:rsidRPr="00B92499">
              <w:rPr>
                <w:noProof/>
                <w:webHidden/>
              </w:rPr>
              <w:tab/>
            </w:r>
            <w:r w:rsidR="00661F74" w:rsidRPr="00B92499">
              <w:rPr>
                <w:noProof/>
                <w:webHidden/>
              </w:rPr>
              <w:fldChar w:fldCharType="begin"/>
            </w:r>
            <w:r w:rsidR="00661F74" w:rsidRPr="00B92499">
              <w:rPr>
                <w:noProof/>
                <w:webHidden/>
              </w:rPr>
              <w:instrText xml:space="preserve"> PAGEREF _Toc23253008 \h </w:instrText>
            </w:r>
            <w:r w:rsidR="00661F74" w:rsidRPr="00B92499">
              <w:rPr>
                <w:noProof/>
                <w:webHidden/>
              </w:rPr>
            </w:r>
            <w:r w:rsidR="00661F74" w:rsidRPr="00B92499">
              <w:rPr>
                <w:noProof/>
                <w:webHidden/>
              </w:rPr>
              <w:fldChar w:fldCharType="separate"/>
            </w:r>
            <w:r w:rsidR="00661F74" w:rsidRPr="00B92499">
              <w:rPr>
                <w:noProof/>
                <w:webHidden/>
              </w:rPr>
              <w:t>75</w:t>
            </w:r>
            <w:r w:rsidR="00661F74" w:rsidRPr="00B92499">
              <w:rPr>
                <w:noProof/>
                <w:webHidden/>
              </w:rPr>
              <w:fldChar w:fldCharType="end"/>
            </w:r>
          </w:hyperlink>
        </w:p>
        <w:p w14:paraId="722ED593" w14:textId="755F5A10" w:rsidR="00661F74" w:rsidRPr="00B92499" w:rsidRDefault="003B5C22">
          <w:pPr>
            <w:pStyle w:val="TDC2"/>
            <w:tabs>
              <w:tab w:val="left" w:pos="880"/>
              <w:tab w:val="right" w:leader="dot" w:pos="8828"/>
            </w:tabs>
            <w:rPr>
              <w:rFonts w:cstheme="minorBidi"/>
              <w:noProof/>
              <w:sz w:val="24"/>
              <w:szCs w:val="24"/>
            </w:rPr>
          </w:pPr>
          <w:hyperlink w:anchor="_Toc23253009" w:history="1">
            <w:r w:rsidR="00661F74" w:rsidRPr="00B92499">
              <w:rPr>
                <w:rStyle w:val="Hipervnculo"/>
                <w:rFonts w:ascii="Arial" w:hAnsi="Arial" w:cs="Arial"/>
                <w:b/>
                <w:noProof/>
              </w:rPr>
              <w:t>4.3</w:t>
            </w:r>
            <w:r w:rsidR="00661F74" w:rsidRPr="00B92499">
              <w:rPr>
                <w:rFonts w:cstheme="minorBidi"/>
                <w:noProof/>
                <w:sz w:val="24"/>
                <w:szCs w:val="24"/>
              </w:rPr>
              <w:tab/>
            </w:r>
            <w:r w:rsidR="00661F74" w:rsidRPr="00B92499">
              <w:rPr>
                <w:rStyle w:val="Hipervnculo"/>
                <w:rFonts w:ascii="Arial" w:hAnsi="Arial" w:cs="Arial"/>
                <w:b/>
                <w:noProof/>
              </w:rPr>
              <w:t>Análisis del artículo 137 y sus respectivas fracciones</w:t>
            </w:r>
            <w:r w:rsidR="00661F74" w:rsidRPr="00B92499">
              <w:rPr>
                <w:noProof/>
                <w:webHidden/>
              </w:rPr>
              <w:tab/>
            </w:r>
            <w:r w:rsidR="00661F74" w:rsidRPr="00B92499">
              <w:rPr>
                <w:noProof/>
                <w:webHidden/>
              </w:rPr>
              <w:fldChar w:fldCharType="begin"/>
            </w:r>
            <w:r w:rsidR="00661F74" w:rsidRPr="00B92499">
              <w:rPr>
                <w:noProof/>
                <w:webHidden/>
              </w:rPr>
              <w:instrText xml:space="preserve"> PAGEREF _Toc23253009 \h </w:instrText>
            </w:r>
            <w:r w:rsidR="00661F74" w:rsidRPr="00B92499">
              <w:rPr>
                <w:noProof/>
                <w:webHidden/>
              </w:rPr>
            </w:r>
            <w:r w:rsidR="00661F74" w:rsidRPr="00B92499">
              <w:rPr>
                <w:noProof/>
                <w:webHidden/>
              </w:rPr>
              <w:fldChar w:fldCharType="separate"/>
            </w:r>
            <w:r w:rsidR="00661F74" w:rsidRPr="00B92499">
              <w:rPr>
                <w:noProof/>
                <w:webHidden/>
              </w:rPr>
              <w:t>77</w:t>
            </w:r>
            <w:r w:rsidR="00661F74" w:rsidRPr="00B92499">
              <w:rPr>
                <w:noProof/>
                <w:webHidden/>
              </w:rPr>
              <w:fldChar w:fldCharType="end"/>
            </w:r>
          </w:hyperlink>
        </w:p>
        <w:p w14:paraId="09C45A39" w14:textId="68C089BD" w:rsidR="00661F74" w:rsidRPr="00B92499" w:rsidRDefault="003B5C22">
          <w:pPr>
            <w:pStyle w:val="TDC2"/>
            <w:tabs>
              <w:tab w:val="left" w:pos="880"/>
              <w:tab w:val="right" w:leader="dot" w:pos="8828"/>
            </w:tabs>
            <w:rPr>
              <w:rFonts w:cstheme="minorBidi"/>
              <w:noProof/>
              <w:sz w:val="24"/>
              <w:szCs w:val="24"/>
            </w:rPr>
          </w:pPr>
          <w:hyperlink w:anchor="_Toc23253010" w:history="1">
            <w:r w:rsidR="00661F74" w:rsidRPr="00B92499">
              <w:rPr>
                <w:rStyle w:val="Hipervnculo"/>
                <w:rFonts w:ascii="Arial" w:hAnsi="Arial" w:cs="Arial"/>
                <w:b/>
                <w:noProof/>
              </w:rPr>
              <w:t>4.4</w:t>
            </w:r>
            <w:r w:rsidR="00661F74" w:rsidRPr="00B92499">
              <w:rPr>
                <w:rFonts w:cstheme="minorBidi"/>
                <w:noProof/>
                <w:sz w:val="24"/>
                <w:szCs w:val="24"/>
              </w:rPr>
              <w:tab/>
            </w:r>
            <w:r w:rsidR="00661F74" w:rsidRPr="00B92499">
              <w:rPr>
                <w:rStyle w:val="Hipervnculo"/>
                <w:rFonts w:ascii="Arial" w:hAnsi="Arial" w:cs="Arial"/>
                <w:b/>
                <w:noProof/>
              </w:rPr>
              <w:t>Análisis del artículo 138 y sus respectivas fracciones</w:t>
            </w:r>
            <w:r w:rsidR="00661F74" w:rsidRPr="00B92499">
              <w:rPr>
                <w:noProof/>
                <w:webHidden/>
              </w:rPr>
              <w:tab/>
            </w:r>
            <w:r w:rsidR="00661F74" w:rsidRPr="00B92499">
              <w:rPr>
                <w:noProof/>
                <w:webHidden/>
              </w:rPr>
              <w:fldChar w:fldCharType="begin"/>
            </w:r>
            <w:r w:rsidR="00661F74" w:rsidRPr="00B92499">
              <w:rPr>
                <w:noProof/>
                <w:webHidden/>
              </w:rPr>
              <w:instrText xml:space="preserve"> PAGEREF _Toc23253010 \h </w:instrText>
            </w:r>
            <w:r w:rsidR="00661F74" w:rsidRPr="00B92499">
              <w:rPr>
                <w:noProof/>
                <w:webHidden/>
              </w:rPr>
            </w:r>
            <w:r w:rsidR="00661F74" w:rsidRPr="00B92499">
              <w:rPr>
                <w:noProof/>
                <w:webHidden/>
              </w:rPr>
              <w:fldChar w:fldCharType="separate"/>
            </w:r>
            <w:r w:rsidR="00661F74" w:rsidRPr="00B92499">
              <w:rPr>
                <w:noProof/>
                <w:webHidden/>
              </w:rPr>
              <w:t>78</w:t>
            </w:r>
            <w:r w:rsidR="00661F74" w:rsidRPr="00B92499">
              <w:rPr>
                <w:noProof/>
                <w:webHidden/>
              </w:rPr>
              <w:fldChar w:fldCharType="end"/>
            </w:r>
          </w:hyperlink>
        </w:p>
        <w:p w14:paraId="4CC5ECE3" w14:textId="31F8E125" w:rsidR="00661F74" w:rsidRPr="00B92499" w:rsidRDefault="003B5C22">
          <w:pPr>
            <w:pStyle w:val="TDC2"/>
            <w:tabs>
              <w:tab w:val="left" w:pos="880"/>
              <w:tab w:val="right" w:leader="dot" w:pos="8828"/>
            </w:tabs>
            <w:rPr>
              <w:rFonts w:cstheme="minorBidi"/>
              <w:noProof/>
              <w:sz w:val="24"/>
              <w:szCs w:val="24"/>
            </w:rPr>
          </w:pPr>
          <w:hyperlink w:anchor="_Toc23253011" w:history="1">
            <w:r w:rsidR="00661F74" w:rsidRPr="00B92499">
              <w:rPr>
                <w:rStyle w:val="Hipervnculo"/>
                <w:rFonts w:ascii="Arial" w:hAnsi="Arial" w:cs="Arial"/>
                <w:b/>
                <w:noProof/>
              </w:rPr>
              <w:t>4.5</w:t>
            </w:r>
            <w:r w:rsidR="00661F74" w:rsidRPr="00B92499">
              <w:rPr>
                <w:rFonts w:cstheme="minorBidi"/>
                <w:noProof/>
                <w:sz w:val="24"/>
                <w:szCs w:val="24"/>
              </w:rPr>
              <w:tab/>
            </w:r>
            <w:r w:rsidR="00661F74" w:rsidRPr="00B92499">
              <w:rPr>
                <w:rStyle w:val="Hipervnculo"/>
                <w:rFonts w:ascii="Arial" w:hAnsi="Arial" w:cs="Arial"/>
                <w:b/>
                <w:noProof/>
              </w:rPr>
              <w:t>Análisis del artículo 145</w:t>
            </w:r>
            <w:r w:rsidR="00661F74" w:rsidRPr="00B92499">
              <w:rPr>
                <w:noProof/>
                <w:webHidden/>
              </w:rPr>
              <w:tab/>
            </w:r>
            <w:r w:rsidR="00661F74" w:rsidRPr="00B92499">
              <w:rPr>
                <w:noProof/>
                <w:webHidden/>
              </w:rPr>
              <w:fldChar w:fldCharType="begin"/>
            </w:r>
            <w:r w:rsidR="00661F74" w:rsidRPr="00B92499">
              <w:rPr>
                <w:noProof/>
                <w:webHidden/>
              </w:rPr>
              <w:instrText xml:space="preserve"> PAGEREF _Toc23253011 \h </w:instrText>
            </w:r>
            <w:r w:rsidR="00661F74" w:rsidRPr="00B92499">
              <w:rPr>
                <w:noProof/>
                <w:webHidden/>
              </w:rPr>
            </w:r>
            <w:r w:rsidR="00661F74" w:rsidRPr="00B92499">
              <w:rPr>
                <w:noProof/>
                <w:webHidden/>
              </w:rPr>
              <w:fldChar w:fldCharType="separate"/>
            </w:r>
            <w:r w:rsidR="00661F74" w:rsidRPr="00B92499">
              <w:rPr>
                <w:noProof/>
                <w:webHidden/>
              </w:rPr>
              <w:t>79</w:t>
            </w:r>
            <w:r w:rsidR="00661F74" w:rsidRPr="00B92499">
              <w:rPr>
                <w:noProof/>
                <w:webHidden/>
              </w:rPr>
              <w:fldChar w:fldCharType="end"/>
            </w:r>
          </w:hyperlink>
        </w:p>
        <w:p w14:paraId="601D926F" w14:textId="054715F6" w:rsidR="00661F74" w:rsidRPr="00B92499" w:rsidRDefault="003B5C22">
          <w:pPr>
            <w:pStyle w:val="TDC2"/>
            <w:tabs>
              <w:tab w:val="left" w:pos="880"/>
              <w:tab w:val="right" w:leader="dot" w:pos="8828"/>
            </w:tabs>
            <w:rPr>
              <w:rFonts w:cstheme="minorBidi"/>
              <w:noProof/>
              <w:sz w:val="24"/>
              <w:szCs w:val="24"/>
            </w:rPr>
          </w:pPr>
          <w:hyperlink w:anchor="_Toc23253012" w:history="1">
            <w:r w:rsidR="00661F74" w:rsidRPr="00B92499">
              <w:rPr>
                <w:rStyle w:val="Hipervnculo"/>
                <w:rFonts w:ascii="Arial" w:hAnsi="Arial" w:cs="Arial"/>
                <w:b/>
                <w:noProof/>
              </w:rPr>
              <w:t>4.6</w:t>
            </w:r>
            <w:r w:rsidR="00661F74" w:rsidRPr="00B92499">
              <w:rPr>
                <w:rFonts w:cstheme="minorBidi"/>
                <w:noProof/>
                <w:sz w:val="24"/>
                <w:szCs w:val="24"/>
              </w:rPr>
              <w:tab/>
            </w:r>
            <w:r w:rsidR="00661F74" w:rsidRPr="00B92499">
              <w:rPr>
                <w:rStyle w:val="Hipervnculo"/>
                <w:rFonts w:ascii="Arial" w:hAnsi="Arial" w:cs="Arial"/>
                <w:b/>
                <w:noProof/>
              </w:rPr>
              <w:t>Análisis del artículo 146</w:t>
            </w:r>
            <w:r w:rsidR="00661F74" w:rsidRPr="00B92499">
              <w:rPr>
                <w:noProof/>
                <w:webHidden/>
              </w:rPr>
              <w:tab/>
            </w:r>
            <w:r w:rsidR="00661F74" w:rsidRPr="00B92499">
              <w:rPr>
                <w:noProof/>
                <w:webHidden/>
              </w:rPr>
              <w:fldChar w:fldCharType="begin"/>
            </w:r>
            <w:r w:rsidR="00661F74" w:rsidRPr="00B92499">
              <w:rPr>
                <w:noProof/>
                <w:webHidden/>
              </w:rPr>
              <w:instrText xml:space="preserve"> PAGEREF _Toc23253012 \h </w:instrText>
            </w:r>
            <w:r w:rsidR="00661F74" w:rsidRPr="00B92499">
              <w:rPr>
                <w:noProof/>
                <w:webHidden/>
              </w:rPr>
            </w:r>
            <w:r w:rsidR="00661F74" w:rsidRPr="00B92499">
              <w:rPr>
                <w:noProof/>
                <w:webHidden/>
              </w:rPr>
              <w:fldChar w:fldCharType="separate"/>
            </w:r>
            <w:r w:rsidR="00661F74" w:rsidRPr="00B92499">
              <w:rPr>
                <w:noProof/>
                <w:webHidden/>
              </w:rPr>
              <w:t>79</w:t>
            </w:r>
            <w:r w:rsidR="00661F74" w:rsidRPr="00B92499">
              <w:rPr>
                <w:noProof/>
                <w:webHidden/>
              </w:rPr>
              <w:fldChar w:fldCharType="end"/>
            </w:r>
          </w:hyperlink>
        </w:p>
        <w:p w14:paraId="6987A196" w14:textId="226BD6CE" w:rsidR="00661F74" w:rsidRPr="00B92499" w:rsidRDefault="003B5C22">
          <w:pPr>
            <w:pStyle w:val="TDC2"/>
            <w:tabs>
              <w:tab w:val="left" w:pos="880"/>
              <w:tab w:val="right" w:leader="dot" w:pos="8828"/>
            </w:tabs>
            <w:rPr>
              <w:rFonts w:cstheme="minorBidi"/>
              <w:noProof/>
              <w:sz w:val="24"/>
              <w:szCs w:val="24"/>
            </w:rPr>
          </w:pPr>
          <w:hyperlink w:anchor="_Toc23253013" w:history="1">
            <w:r w:rsidR="00661F74" w:rsidRPr="00B92499">
              <w:rPr>
                <w:rStyle w:val="Hipervnculo"/>
                <w:rFonts w:ascii="Arial" w:hAnsi="Arial" w:cs="Arial"/>
                <w:b/>
                <w:noProof/>
              </w:rPr>
              <w:t>4.7</w:t>
            </w:r>
            <w:r w:rsidR="00661F74" w:rsidRPr="00B92499">
              <w:rPr>
                <w:rFonts w:cstheme="minorBidi"/>
                <w:noProof/>
                <w:sz w:val="24"/>
                <w:szCs w:val="24"/>
              </w:rPr>
              <w:tab/>
            </w:r>
            <w:r w:rsidR="00661F74" w:rsidRPr="00B92499">
              <w:rPr>
                <w:rStyle w:val="Hipervnculo"/>
                <w:rFonts w:ascii="Arial" w:hAnsi="Arial" w:cs="Arial"/>
                <w:b/>
                <w:noProof/>
              </w:rPr>
              <w:t>Análisis del artículo 147</w:t>
            </w:r>
            <w:r w:rsidR="00661F74" w:rsidRPr="00B92499">
              <w:rPr>
                <w:noProof/>
                <w:webHidden/>
              </w:rPr>
              <w:tab/>
            </w:r>
            <w:r w:rsidR="00661F74" w:rsidRPr="00B92499">
              <w:rPr>
                <w:noProof/>
                <w:webHidden/>
              </w:rPr>
              <w:fldChar w:fldCharType="begin"/>
            </w:r>
            <w:r w:rsidR="00661F74" w:rsidRPr="00B92499">
              <w:rPr>
                <w:noProof/>
                <w:webHidden/>
              </w:rPr>
              <w:instrText xml:space="preserve"> PAGEREF _Toc23253013 \h </w:instrText>
            </w:r>
            <w:r w:rsidR="00661F74" w:rsidRPr="00B92499">
              <w:rPr>
                <w:noProof/>
                <w:webHidden/>
              </w:rPr>
            </w:r>
            <w:r w:rsidR="00661F74" w:rsidRPr="00B92499">
              <w:rPr>
                <w:noProof/>
                <w:webHidden/>
              </w:rPr>
              <w:fldChar w:fldCharType="separate"/>
            </w:r>
            <w:r w:rsidR="00661F74" w:rsidRPr="00B92499">
              <w:rPr>
                <w:noProof/>
                <w:webHidden/>
              </w:rPr>
              <w:t>79</w:t>
            </w:r>
            <w:r w:rsidR="00661F74" w:rsidRPr="00B92499">
              <w:rPr>
                <w:noProof/>
                <w:webHidden/>
              </w:rPr>
              <w:fldChar w:fldCharType="end"/>
            </w:r>
          </w:hyperlink>
        </w:p>
        <w:p w14:paraId="134EDB99" w14:textId="436C4EC1" w:rsidR="00661F74" w:rsidRPr="00B92499" w:rsidRDefault="003B5C22">
          <w:pPr>
            <w:pStyle w:val="TDC1"/>
            <w:tabs>
              <w:tab w:val="right" w:leader="dot" w:pos="8828"/>
            </w:tabs>
            <w:rPr>
              <w:rFonts w:cstheme="minorBidi"/>
              <w:noProof/>
              <w:sz w:val="24"/>
              <w:szCs w:val="24"/>
            </w:rPr>
          </w:pPr>
          <w:hyperlink w:anchor="_Toc23253014" w:history="1">
            <w:r w:rsidR="00661F74" w:rsidRPr="00B92499">
              <w:rPr>
                <w:rStyle w:val="Hipervnculo"/>
                <w:rFonts w:ascii="Arial" w:hAnsi="Arial" w:cs="Arial"/>
                <w:b/>
                <w:noProof/>
              </w:rPr>
              <w:t>CONCLUSIONES</w:t>
            </w:r>
            <w:r w:rsidR="00661F74" w:rsidRPr="00B92499">
              <w:rPr>
                <w:noProof/>
                <w:webHidden/>
              </w:rPr>
              <w:tab/>
            </w:r>
            <w:r w:rsidR="00661F74" w:rsidRPr="00B92499">
              <w:rPr>
                <w:noProof/>
                <w:webHidden/>
              </w:rPr>
              <w:fldChar w:fldCharType="begin"/>
            </w:r>
            <w:r w:rsidR="00661F74" w:rsidRPr="00B92499">
              <w:rPr>
                <w:noProof/>
                <w:webHidden/>
              </w:rPr>
              <w:instrText xml:space="preserve"> PAGEREF _Toc23253014 \h </w:instrText>
            </w:r>
            <w:r w:rsidR="00661F74" w:rsidRPr="00B92499">
              <w:rPr>
                <w:noProof/>
                <w:webHidden/>
              </w:rPr>
            </w:r>
            <w:r w:rsidR="00661F74" w:rsidRPr="00B92499">
              <w:rPr>
                <w:noProof/>
                <w:webHidden/>
              </w:rPr>
              <w:fldChar w:fldCharType="separate"/>
            </w:r>
            <w:r w:rsidR="00661F74" w:rsidRPr="00B92499">
              <w:rPr>
                <w:noProof/>
                <w:webHidden/>
              </w:rPr>
              <w:t>80</w:t>
            </w:r>
            <w:r w:rsidR="00661F74" w:rsidRPr="00B92499">
              <w:rPr>
                <w:noProof/>
                <w:webHidden/>
              </w:rPr>
              <w:fldChar w:fldCharType="end"/>
            </w:r>
          </w:hyperlink>
        </w:p>
        <w:p w14:paraId="5CC6BDD5" w14:textId="534B49D5" w:rsidR="00C9398D" w:rsidRPr="00B92499" w:rsidRDefault="00552574" w:rsidP="00C9398D">
          <w:pPr>
            <w:jc w:val="both"/>
            <w:rPr>
              <w:rFonts w:ascii="Arial" w:hAnsi="Arial" w:cs="Arial"/>
              <w:b/>
              <w:bCs/>
            </w:rPr>
          </w:pPr>
          <w:r w:rsidRPr="00B92499">
            <w:rPr>
              <w:rFonts w:ascii="Arial" w:hAnsi="Arial" w:cs="Arial"/>
              <w:b/>
              <w:bCs/>
            </w:rPr>
            <w:fldChar w:fldCharType="end"/>
          </w:r>
        </w:p>
      </w:sdtContent>
    </w:sdt>
    <w:bookmarkStart w:id="2" w:name="_Toc13068673" w:displacedByCustomXml="prev"/>
    <w:p w14:paraId="741D0E4B" w14:textId="77777777" w:rsidR="00C9398D" w:rsidRPr="00B92499" w:rsidRDefault="00C9398D" w:rsidP="00C9398D">
      <w:pPr>
        <w:jc w:val="both"/>
        <w:rPr>
          <w:rFonts w:ascii="Arial" w:hAnsi="Arial" w:cs="Arial"/>
          <w:b/>
        </w:rPr>
      </w:pPr>
    </w:p>
    <w:p w14:paraId="2D7988F7" w14:textId="77777777" w:rsidR="00A64325" w:rsidRPr="00B92499" w:rsidRDefault="00A64325" w:rsidP="00C9398D">
      <w:pPr>
        <w:jc w:val="both"/>
        <w:rPr>
          <w:rFonts w:ascii="Arial" w:hAnsi="Arial" w:cs="Arial"/>
          <w:b/>
        </w:rPr>
      </w:pPr>
    </w:p>
    <w:p w14:paraId="44B473D2" w14:textId="77777777" w:rsidR="00A64325" w:rsidRPr="00B92499" w:rsidRDefault="00A64325" w:rsidP="00C9398D">
      <w:pPr>
        <w:jc w:val="both"/>
        <w:rPr>
          <w:rFonts w:ascii="Arial" w:hAnsi="Arial" w:cs="Arial"/>
          <w:b/>
        </w:rPr>
      </w:pPr>
    </w:p>
    <w:p w14:paraId="05A21C07" w14:textId="77777777" w:rsidR="00A64325" w:rsidRPr="00B92499" w:rsidRDefault="00A64325" w:rsidP="00C9398D">
      <w:pPr>
        <w:jc w:val="both"/>
        <w:rPr>
          <w:rFonts w:ascii="Arial" w:hAnsi="Arial" w:cs="Arial"/>
          <w:b/>
        </w:rPr>
      </w:pPr>
    </w:p>
    <w:p w14:paraId="773E5BF8" w14:textId="77777777" w:rsidR="00A64325" w:rsidRPr="00B92499" w:rsidRDefault="00A64325" w:rsidP="00C9398D">
      <w:pPr>
        <w:jc w:val="both"/>
        <w:rPr>
          <w:rFonts w:ascii="Arial" w:hAnsi="Arial" w:cs="Arial"/>
          <w:b/>
        </w:rPr>
      </w:pPr>
    </w:p>
    <w:p w14:paraId="7CCEA90F" w14:textId="77777777" w:rsidR="00A64325" w:rsidRPr="00B92499" w:rsidRDefault="00A64325" w:rsidP="00C9398D">
      <w:pPr>
        <w:jc w:val="both"/>
        <w:rPr>
          <w:rFonts w:ascii="Arial" w:hAnsi="Arial" w:cs="Arial"/>
          <w:b/>
        </w:rPr>
      </w:pPr>
    </w:p>
    <w:p w14:paraId="4CFA7B02" w14:textId="2E5B3A0C" w:rsidR="005A0F6E" w:rsidRPr="00B92499" w:rsidRDefault="005A0F6E" w:rsidP="00C9398D">
      <w:pPr>
        <w:jc w:val="both"/>
        <w:rPr>
          <w:rFonts w:ascii="Arial" w:hAnsi="Arial" w:cs="Arial"/>
        </w:rPr>
      </w:pPr>
      <w:r w:rsidRPr="00B92499">
        <w:rPr>
          <w:rFonts w:ascii="Arial" w:hAnsi="Arial" w:cs="Arial"/>
          <w:b/>
        </w:rPr>
        <w:lastRenderedPageBreak/>
        <w:t>INTRODUCCIÓN</w:t>
      </w:r>
      <w:bookmarkEnd w:id="2"/>
      <w:r w:rsidRPr="00B92499">
        <w:rPr>
          <w:rFonts w:ascii="Arial" w:hAnsi="Arial" w:cs="Arial"/>
          <w:b/>
        </w:rPr>
        <w:t xml:space="preserve"> </w:t>
      </w:r>
    </w:p>
    <w:p w14:paraId="404DDB8F" w14:textId="77777777" w:rsidR="005A0F6E" w:rsidRPr="00B92499" w:rsidRDefault="005A0F6E" w:rsidP="002E7D47">
      <w:pPr>
        <w:autoSpaceDE w:val="0"/>
        <w:autoSpaceDN w:val="0"/>
        <w:adjustRightInd w:val="0"/>
        <w:spacing w:line="360" w:lineRule="auto"/>
        <w:contextualSpacing/>
        <w:jc w:val="both"/>
        <w:rPr>
          <w:rFonts w:ascii="Arial" w:hAnsi="Arial" w:cs="Arial"/>
        </w:rPr>
      </w:pPr>
    </w:p>
    <w:p w14:paraId="05ECE301" w14:textId="026808C8" w:rsidR="005A0F6E" w:rsidRPr="00B92499" w:rsidRDefault="004924FA" w:rsidP="002E7D47">
      <w:pPr>
        <w:autoSpaceDE w:val="0"/>
        <w:autoSpaceDN w:val="0"/>
        <w:adjustRightInd w:val="0"/>
        <w:spacing w:line="360" w:lineRule="auto"/>
        <w:contextualSpacing/>
        <w:jc w:val="both"/>
        <w:rPr>
          <w:rFonts w:ascii="Arial" w:hAnsi="Arial" w:cs="Arial"/>
        </w:rPr>
      </w:pPr>
      <w:r w:rsidRPr="00B92499">
        <w:rPr>
          <w:rFonts w:ascii="Arial" w:hAnsi="Arial" w:cs="Arial"/>
        </w:rPr>
        <w:t xml:space="preserve">En el periodo agosto-septiembre del año en curso, la </w:t>
      </w:r>
      <w:r w:rsidR="005A0F6E" w:rsidRPr="00B92499">
        <w:rPr>
          <w:rFonts w:ascii="Arial" w:hAnsi="Arial" w:cs="Arial"/>
        </w:rPr>
        <w:t>Dirección de Estado Abierto, Estudios y Evaluación (DEAEE)</w:t>
      </w:r>
      <w:r w:rsidRPr="00B92499">
        <w:rPr>
          <w:rFonts w:ascii="Arial" w:hAnsi="Arial" w:cs="Arial"/>
        </w:rPr>
        <w:t xml:space="preserve"> realizó la Segunda Evaluación Vinculante 2019, respecto de los 35 sujetos obligado de reciente incorporación al Padrón de sujetos obligados supeditados al cumplimiento de la Ley de Transparencia</w:t>
      </w:r>
      <w:r w:rsidRPr="00B92499" w:rsidDel="005B5D1B">
        <w:rPr>
          <w:rFonts w:ascii="Arial" w:hAnsi="Arial" w:cs="Arial"/>
        </w:rPr>
        <w:t xml:space="preserve"> </w:t>
      </w:r>
      <w:r w:rsidRPr="00B92499">
        <w:rPr>
          <w:rFonts w:ascii="Arial" w:hAnsi="Arial" w:cs="Arial"/>
        </w:rPr>
        <w:t>y la Ley de Protección de Datos Personales en Posesión de los sujetos obligados de la Ciudad de México (Padrón). Lo anterior</w:t>
      </w:r>
      <w:r w:rsidR="005A0F6E" w:rsidRPr="00B92499">
        <w:rPr>
          <w:rFonts w:ascii="Arial" w:hAnsi="Arial" w:cs="Arial"/>
        </w:rPr>
        <w:t xml:space="preserve">, de conformidad con </w:t>
      </w:r>
      <w:r w:rsidRPr="00B92499">
        <w:rPr>
          <w:rFonts w:ascii="Arial" w:hAnsi="Arial" w:cs="Arial"/>
        </w:rPr>
        <w:t>las disposiciones d</w:t>
      </w:r>
      <w:r w:rsidR="005A0F6E" w:rsidRPr="00B92499">
        <w:rPr>
          <w:rFonts w:ascii="Arial" w:hAnsi="Arial" w:cs="Arial"/>
        </w:rPr>
        <w:t xml:space="preserve">el </w:t>
      </w:r>
      <w:r w:rsidR="008F67E4" w:rsidRPr="00B92499">
        <w:rPr>
          <w:rFonts w:ascii="Arial" w:hAnsi="Arial" w:cs="Arial"/>
        </w:rPr>
        <w:t>artícul</w:t>
      </w:r>
      <w:r w:rsidR="0033336D" w:rsidRPr="00B92499">
        <w:rPr>
          <w:rFonts w:ascii="Arial" w:hAnsi="Arial" w:cs="Arial"/>
        </w:rPr>
        <w:t>o</w:t>
      </w:r>
      <w:r w:rsidRPr="00B92499">
        <w:rPr>
          <w:rFonts w:ascii="Arial" w:hAnsi="Arial" w:cs="Arial"/>
        </w:rPr>
        <w:t xml:space="preserve"> </w:t>
      </w:r>
      <w:r w:rsidR="005A0F6E" w:rsidRPr="00B92499">
        <w:rPr>
          <w:rFonts w:ascii="Arial" w:hAnsi="Arial" w:cs="Arial"/>
        </w:rPr>
        <w:t>154 de la Ley de Transparencia, Acceso a la Información Pública y Rendición de Cuentas de la Ciudad de México (Ley de Transparencia)</w:t>
      </w:r>
      <w:r w:rsidRPr="00B92499">
        <w:rPr>
          <w:rFonts w:ascii="Arial" w:hAnsi="Arial" w:cs="Arial"/>
        </w:rPr>
        <w:t>,</w:t>
      </w:r>
      <w:r w:rsidR="005A0F6E" w:rsidRPr="00B92499">
        <w:rPr>
          <w:rFonts w:ascii="Arial" w:hAnsi="Arial" w:cs="Arial"/>
        </w:rPr>
        <w:t xml:space="preserve"> así como </w:t>
      </w:r>
      <w:r w:rsidRPr="00B92499">
        <w:rPr>
          <w:rFonts w:ascii="Arial" w:hAnsi="Arial" w:cs="Arial"/>
        </w:rPr>
        <w:t xml:space="preserve">con </w:t>
      </w:r>
      <w:r w:rsidR="005A0F6E" w:rsidRPr="00B92499">
        <w:rPr>
          <w:rFonts w:ascii="Arial" w:hAnsi="Arial" w:cs="Arial"/>
        </w:rPr>
        <w:t>las atribuciones conferidas en l</w:t>
      </w:r>
      <w:r w:rsidR="00114E33" w:rsidRPr="00B92499">
        <w:rPr>
          <w:rFonts w:ascii="Arial" w:hAnsi="Arial" w:cs="Arial"/>
        </w:rPr>
        <w:t>as fraccione</w:t>
      </w:r>
      <w:r w:rsidR="005A0F6E" w:rsidRPr="00B92499">
        <w:rPr>
          <w:rFonts w:ascii="Arial" w:hAnsi="Arial" w:cs="Arial"/>
        </w:rPr>
        <w:t xml:space="preserve">s XI y XII del </w:t>
      </w:r>
      <w:r w:rsidR="008F67E4" w:rsidRPr="00B92499">
        <w:rPr>
          <w:rFonts w:ascii="Arial" w:hAnsi="Arial" w:cs="Arial"/>
        </w:rPr>
        <w:t>artículo</w:t>
      </w:r>
      <w:r w:rsidRPr="00B92499">
        <w:rPr>
          <w:rFonts w:ascii="Arial" w:hAnsi="Arial" w:cs="Arial"/>
        </w:rPr>
        <w:t xml:space="preserve"> </w:t>
      </w:r>
      <w:r w:rsidR="005A0F6E" w:rsidRPr="00B92499">
        <w:rPr>
          <w:rFonts w:ascii="Arial" w:hAnsi="Arial" w:cs="Arial"/>
        </w:rPr>
        <w:t>22 del Reglamento Interior del Instituto de Transparencia, Acceso a la Información Pública, Protección de Datos Personales y Rendición de Cuentas de la Ciudad de México (Reglamento Interior).</w:t>
      </w:r>
    </w:p>
    <w:p w14:paraId="6BCD5FF9" w14:textId="77777777" w:rsidR="005A0F6E" w:rsidRPr="00B92499" w:rsidRDefault="005A0F6E" w:rsidP="002E7D47">
      <w:pPr>
        <w:autoSpaceDE w:val="0"/>
        <w:autoSpaceDN w:val="0"/>
        <w:adjustRightInd w:val="0"/>
        <w:spacing w:line="360" w:lineRule="auto"/>
        <w:contextualSpacing/>
        <w:jc w:val="both"/>
        <w:rPr>
          <w:rFonts w:ascii="Arial" w:hAnsi="Arial" w:cs="Arial"/>
        </w:rPr>
      </w:pPr>
    </w:p>
    <w:p w14:paraId="40E7BFA7" w14:textId="49A5537E" w:rsidR="005A0F6E" w:rsidRPr="00B92499" w:rsidRDefault="005A0F6E" w:rsidP="002E7D47">
      <w:pPr>
        <w:autoSpaceDE w:val="0"/>
        <w:autoSpaceDN w:val="0"/>
        <w:adjustRightInd w:val="0"/>
        <w:spacing w:line="360" w:lineRule="auto"/>
        <w:contextualSpacing/>
        <w:jc w:val="both"/>
        <w:rPr>
          <w:rFonts w:ascii="Arial" w:hAnsi="Arial" w:cs="Arial"/>
        </w:rPr>
      </w:pPr>
      <w:r w:rsidRPr="00B92499">
        <w:rPr>
          <w:rFonts w:ascii="Arial" w:hAnsi="Arial" w:cs="Arial"/>
        </w:rPr>
        <w:t xml:space="preserve">En esta evaluación se verificó que la información publicada en la Plataforma Nacional de Transparencia (PNT) y en los portales de Internet de los </w:t>
      </w:r>
      <w:r w:rsidR="008710F6" w:rsidRPr="00B92499">
        <w:rPr>
          <w:rFonts w:ascii="Arial" w:hAnsi="Arial" w:cs="Arial"/>
        </w:rPr>
        <w:t>sujeto</w:t>
      </w:r>
      <w:r w:rsidR="00EB5F64" w:rsidRPr="00B92499">
        <w:rPr>
          <w:rFonts w:ascii="Arial" w:hAnsi="Arial" w:cs="Arial"/>
        </w:rPr>
        <w:t xml:space="preserve">s </w:t>
      </w:r>
      <w:r w:rsidR="008710F6" w:rsidRPr="00B92499">
        <w:rPr>
          <w:rFonts w:ascii="Arial" w:hAnsi="Arial" w:cs="Arial"/>
        </w:rPr>
        <w:t>obligado</w:t>
      </w:r>
      <w:r w:rsidR="00EB5F64" w:rsidRPr="00B92499">
        <w:rPr>
          <w:rFonts w:ascii="Arial" w:hAnsi="Arial" w:cs="Arial"/>
        </w:rPr>
        <w:t>s</w:t>
      </w:r>
      <w:r w:rsidRPr="00B92499">
        <w:rPr>
          <w:rFonts w:ascii="Arial" w:hAnsi="Arial" w:cs="Arial"/>
        </w:rPr>
        <w:t xml:space="preserve">, estuviera completa y actualizada </w:t>
      </w:r>
      <w:r w:rsidR="004F753C" w:rsidRPr="00B92499">
        <w:rPr>
          <w:rFonts w:ascii="Arial" w:hAnsi="Arial" w:cs="Arial"/>
        </w:rPr>
        <w:t>al primer semestre de 2019</w:t>
      </w:r>
      <w:r w:rsidR="008F67E4" w:rsidRPr="00B92499">
        <w:rPr>
          <w:rFonts w:ascii="Arial" w:hAnsi="Arial" w:cs="Arial"/>
        </w:rPr>
        <w:t xml:space="preserve">. Se revisó también </w:t>
      </w:r>
      <w:r w:rsidRPr="00B92499">
        <w:rPr>
          <w:rFonts w:ascii="Arial" w:hAnsi="Arial" w:cs="Arial"/>
        </w:rPr>
        <w:t>que se conservara</w:t>
      </w:r>
      <w:r w:rsidR="008F67E4" w:rsidRPr="00B92499">
        <w:rPr>
          <w:rFonts w:ascii="Arial" w:hAnsi="Arial" w:cs="Arial"/>
        </w:rPr>
        <w:t>,</w:t>
      </w:r>
      <w:r w:rsidRPr="00B92499">
        <w:rPr>
          <w:rFonts w:ascii="Arial" w:hAnsi="Arial" w:cs="Arial"/>
        </w:rPr>
        <w:t xml:space="preserve"> en ambas plataformas</w:t>
      </w:r>
      <w:r w:rsidR="008F67E4" w:rsidRPr="00B92499">
        <w:rPr>
          <w:rFonts w:ascii="Arial" w:hAnsi="Arial" w:cs="Arial"/>
        </w:rPr>
        <w:t>,</w:t>
      </w:r>
      <w:r w:rsidRPr="00B92499">
        <w:rPr>
          <w:rFonts w:ascii="Arial" w:hAnsi="Arial" w:cs="Arial"/>
        </w:rPr>
        <w:t xml:space="preserve"> la información correspondiente a los ejercicios anteriores, de conformidad con la tabla de actualización y conservación de la información, incluida en los Lineamientos y Metodología de Evaluación de las </w:t>
      </w:r>
      <w:r w:rsidR="008710F6" w:rsidRPr="00B92499">
        <w:rPr>
          <w:rFonts w:ascii="Arial" w:hAnsi="Arial" w:cs="Arial"/>
        </w:rPr>
        <w:t>obligaciones de transparencia</w:t>
      </w:r>
      <w:r w:rsidRPr="00B92499">
        <w:rPr>
          <w:rFonts w:ascii="Arial" w:hAnsi="Arial" w:cs="Arial"/>
        </w:rPr>
        <w:t xml:space="preserve"> que deben publicar en sus Portales de Internet y en la PNT los </w:t>
      </w:r>
      <w:r w:rsidR="008710F6" w:rsidRPr="00B92499">
        <w:rPr>
          <w:rFonts w:ascii="Arial" w:hAnsi="Arial" w:cs="Arial"/>
        </w:rPr>
        <w:t>sujeto</w:t>
      </w:r>
      <w:r w:rsidR="00EB5F64" w:rsidRPr="00B92499">
        <w:rPr>
          <w:rFonts w:ascii="Arial" w:hAnsi="Arial" w:cs="Arial"/>
        </w:rPr>
        <w:t xml:space="preserve">s </w:t>
      </w:r>
      <w:r w:rsidR="008710F6" w:rsidRPr="00B92499">
        <w:rPr>
          <w:rFonts w:ascii="Arial" w:hAnsi="Arial" w:cs="Arial"/>
        </w:rPr>
        <w:t>obligado</w:t>
      </w:r>
      <w:r w:rsidR="00EB5F64" w:rsidRPr="00B92499">
        <w:rPr>
          <w:rFonts w:ascii="Arial" w:hAnsi="Arial" w:cs="Arial"/>
        </w:rPr>
        <w:t>s</w:t>
      </w:r>
      <w:r w:rsidRPr="00B92499">
        <w:rPr>
          <w:rFonts w:ascii="Arial" w:hAnsi="Arial" w:cs="Arial"/>
        </w:rPr>
        <w:t xml:space="preserve"> de la Ciudad de México (Lineamientos).</w:t>
      </w:r>
    </w:p>
    <w:p w14:paraId="15B04E99" w14:textId="77777777" w:rsidR="005A0F6E" w:rsidRPr="00B92499" w:rsidRDefault="005A0F6E" w:rsidP="002E7D47">
      <w:pPr>
        <w:autoSpaceDE w:val="0"/>
        <w:autoSpaceDN w:val="0"/>
        <w:adjustRightInd w:val="0"/>
        <w:spacing w:line="360" w:lineRule="auto"/>
        <w:contextualSpacing/>
        <w:jc w:val="both"/>
        <w:rPr>
          <w:rFonts w:ascii="Arial" w:hAnsi="Arial" w:cs="Arial"/>
        </w:rPr>
      </w:pPr>
    </w:p>
    <w:p w14:paraId="27C410C3" w14:textId="16A40BA0" w:rsidR="005A0F6E" w:rsidRPr="00B92499" w:rsidRDefault="008F67E4" w:rsidP="002E7D47">
      <w:pPr>
        <w:autoSpaceDE w:val="0"/>
        <w:autoSpaceDN w:val="0"/>
        <w:adjustRightInd w:val="0"/>
        <w:spacing w:line="360" w:lineRule="auto"/>
        <w:contextualSpacing/>
        <w:jc w:val="both"/>
        <w:rPr>
          <w:rFonts w:ascii="Arial" w:hAnsi="Arial" w:cs="Arial"/>
        </w:rPr>
      </w:pPr>
      <w:r w:rsidRPr="00B92499">
        <w:rPr>
          <w:rFonts w:ascii="Arial" w:hAnsi="Arial" w:cs="Arial"/>
          <w:lang w:eastAsia="es-ES"/>
        </w:rPr>
        <w:t>Con base en</w:t>
      </w:r>
      <w:r w:rsidR="005A0F6E" w:rsidRPr="00B92499">
        <w:rPr>
          <w:rFonts w:ascii="Arial" w:hAnsi="Arial" w:cs="Arial"/>
          <w:lang w:eastAsia="es-ES"/>
        </w:rPr>
        <w:t xml:space="preserve"> los resultados de la evaluación </w:t>
      </w:r>
      <w:r w:rsidR="005A0F6E" w:rsidRPr="00B92499">
        <w:rPr>
          <w:rFonts w:ascii="Arial" w:hAnsi="Arial" w:cs="Arial"/>
        </w:rPr>
        <w:t xml:space="preserve">se generó el Índice General de Cumplimiento de </w:t>
      </w:r>
      <w:r w:rsidRPr="00B92499">
        <w:rPr>
          <w:rFonts w:ascii="Arial" w:hAnsi="Arial" w:cs="Arial"/>
        </w:rPr>
        <w:t xml:space="preserve">Obligaciones </w:t>
      </w:r>
      <w:r w:rsidR="008710F6" w:rsidRPr="00B92499">
        <w:rPr>
          <w:rFonts w:ascii="Arial" w:hAnsi="Arial" w:cs="Arial"/>
        </w:rPr>
        <w:t xml:space="preserve">de </w:t>
      </w:r>
      <w:r w:rsidRPr="00B92499">
        <w:rPr>
          <w:rFonts w:ascii="Arial" w:hAnsi="Arial" w:cs="Arial"/>
        </w:rPr>
        <w:t xml:space="preserve">Transparencia </w:t>
      </w:r>
      <w:r w:rsidR="005A0F6E" w:rsidRPr="00B92499">
        <w:rPr>
          <w:rFonts w:ascii="Arial" w:hAnsi="Arial" w:cs="Arial"/>
        </w:rPr>
        <w:t xml:space="preserve">(IGOT) de los </w:t>
      </w:r>
      <w:r w:rsidR="008710F6" w:rsidRPr="00B92499">
        <w:rPr>
          <w:rFonts w:ascii="Arial" w:hAnsi="Arial" w:cs="Arial"/>
        </w:rPr>
        <w:t>sujeto</w:t>
      </w:r>
      <w:r w:rsidR="00EB5F64" w:rsidRPr="00B92499">
        <w:rPr>
          <w:rFonts w:ascii="Arial" w:hAnsi="Arial" w:cs="Arial"/>
        </w:rPr>
        <w:t xml:space="preserve">s </w:t>
      </w:r>
      <w:r w:rsidR="008710F6" w:rsidRPr="00B92499">
        <w:rPr>
          <w:rFonts w:ascii="Arial" w:hAnsi="Arial" w:cs="Arial"/>
        </w:rPr>
        <w:t>obligado</w:t>
      </w:r>
      <w:r w:rsidR="00EB5F64" w:rsidRPr="00B92499">
        <w:rPr>
          <w:rFonts w:ascii="Arial" w:hAnsi="Arial" w:cs="Arial"/>
        </w:rPr>
        <w:t>s</w:t>
      </w:r>
      <w:r w:rsidR="005A0F6E" w:rsidRPr="00B92499">
        <w:rPr>
          <w:rFonts w:ascii="Arial" w:hAnsi="Arial" w:cs="Arial"/>
        </w:rPr>
        <w:t xml:space="preserve">, el cual </w:t>
      </w:r>
      <w:r w:rsidRPr="00B92499">
        <w:rPr>
          <w:rFonts w:ascii="Arial" w:hAnsi="Arial" w:cs="Arial"/>
        </w:rPr>
        <w:t>sintetiza en un dato cuantitativo los resultados</w:t>
      </w:r>
      <w:r w:rsidR="005A0F6E" w:rsidRPr="00B92499">
        <w:rPr>
          <w:rFonts w:ascii="Arial" w:hAnsi="Arial" w:cs="Arial"/>
        </w:rPr>
        <w:t xml:space="preserve"> de la evaluación </w:t>
      </w:r>
      <w:r w:rsidRPr="00B92499">
        <w:rPr>
          <w:rFonts w:ascii="Arial" w:hAnsi="Arial" w:cs="Arial"/>
        </w:rPr>
        <w:t xml:space="preserve">cualitativa </w:t>
      </w:r>
      <w:r w:rsidR="005A0F6E" w:rsidRPr="00B92499">
        <w:rPr>
          <w:rFonts w:ascii="Arial" w:hAnsi="Arial" w:cs="Arial"/>
        </w:rPr>
        <w:t xml:space="preserve">correspondiente. Dicho índice se construye por la sumatoria del Índice de Cumplimiento de </w:t>
      </w:r>
      <w:r w:rsidR="008710F6" w:rsidRPr="00B92499">
        <w:rPr>
          <w:rFonts w:ascii="Arial" w:hAnsi="Arial" w:cs="Arial"/>
        </w:rPr>
        <w:t>obligaciones de transparencia</w:t>
      </w:r>
      <w:r w:rsidR="005A0F6E" w:rsidRPr="00B92499">
        <w:rPr>
          <w:rFonts w:ascii="Arial" w:hAnsi="Arial" w:cs="Arial"/>
        </w:rPr>
        <w:t xml:space="preserve"> del Portal de Internet (</w:t>
      </w:r>
      <w:r w:rsidR="00623A69" w:rsidRPr="00B92499">
        <w:rPr>
          <w:rFonts w:ascii="Arial" w:hAnsi="Arial" w:cs="Arial"/>
        </w:rPr>
        <w:t>ICOT-PT</w:t>
      </w:r>
      <w:r w:rsidR="005A0F6E" w:rsidRPr="00B92499">
        <w:rPr>
          <w:rFonts w:ascii="Arial" w:hAnsi="Arial" w:cs="Arial"/>
        </w:rPr>
        <w:t xml:space="preserve">) y el de la PNT (ICOT-PNT). En específico, tanto el </w:t>
      </w:r>
      <w:r w:rsidR="00623A69" w:rsidRPr="00B92499">
        <w:rPr>
          <w:rFonts w:ascii="Arial" w:hAnsi="Arial" w:cs="Arial"/>
        </w:rPr>
        <w:t>ICOT-PT</w:t>
      </w:r>
      <w:r w:rsidR="005A0F6E" w:rsidRPr="00B92499">
        <w:rPr>
          <w:rFonts w:ascii="Arial" w:hAnsi="Arial" w:cs="Arial"/>
        </w:rPr>
        <w:t xml:space="preserve"> como el ICOT-PNT se integran con los resultados de la </w:t>
      </w:r>
      <w:r w:rsidRPr="00B92499">
        <w:rPr>
          <w:rFonts w:ascii="Arial" w:hAnsi="Arial" w:cs="Arial"/>
        </w:rPr>
        <w:t xml:space="preserve">verificación </w:t>
      </w:r>
      <w:r w:rsidR="005A0F6E" w:rsidRPr="00B92499">
        <w:rPr>
          <w:rFonts w:ascii="Arial" w:hAnsi="Arial" w:cs="Arial"/>
        </w:rPr>
        <w:t xml:space="preserve">del cumplimiento de las obligaciones comunes consistentes en los </w:t>
      </w:r>
      <w:r w:rsidRPr="00B92499">
        <w:rPr>
          <w:rFonts w:ascii="Arial" w:hAnsi="Arial" w:cs="Arial"/>
        </w:rPr>
        <w:t>artículo</w:t>
      </w:r>
      <w:r w:rsidR="005A0F6E" w:rsidRPr="00B92499">
        <w:rPr>
          <w:rFonts w:ascii="Arial" w:hAnsi="Arial" w:cs="Arial"/>
        </w:rPr>
        <w:t xml:space="preserve">s 121 y 122; las obligaciones específicas </w:t>
      </w:r>
      <w:r w:rsidR="005A0F6E" w:rsidRPr="00B92499">
        <w:rPr>
          <w:rFonts w:ascii="Arial" w:hAnsi="Arial" w:cs="Arial"/>
        </w:rPr>
        <w:lastRenderedPageBreak/>
        <w:t xml:space="preserve">consistentes en los </w:t>
      </w:r>
      <w:r w:rsidRPr="00B92499">
        <w:rPr>
          <w:rFonts w:ascii="Arial" w:hAnsi="Arial" w:cs="Arial"/>
        </w:rPr>
        <w:t>artículo</w:t>
      </w:r>
      <w:r w:rsidR="005A0F6E" w:rsidRPr="00B92499">
        <w:rPr>
          <w:rFonts w:ascii="Arial" w:hAnsi="Arial" w:cs="Arial"/>
        </w:rPr>
        <w:t xml:space="preserve">s 123 al 140, y las disposiciones particulares contempladas en los </w:t>
      </w:r>
      <w:r w:rsidRPr="00B92499">
        <w:rPr>
          <w:rFonts w:ascii="Arial" w:hAnsi="Arial" w:cs="Arial"/>
        </w:rPr>
        <w:t>artículo</w:t>
      </w:r>
      <w:r w:rsidR="005A0F6E" w:rsidRPr="00B92499">
        <w:rPr>
          <w:rFonts w:ascii="Arial" w:hAnsi="Arial" w:cs="Arial"/>
        </w:rPr>
        <w:t xml:space="preserve">s 141 al 147; todos </w:t>
      </w:r>
      <w:r w:rsidRPr="00B92499">
        <w:rPr>
          <w:rFonts w:ascii="Arial" w:hAnsi="Arial" w:cs="Arial"/>
        </w:rPr>
        <w:t>artículo</w:t>
      </w:r>
      <w:r w:rsidR="005A0F6E" w:rsidRPr="00B92499">
        <w:rPr>
          <w:rFonts w:ascii="Arial" w:hAnsi="Arial" w:cs="Arial"/>
        </w:rPr>
        <w:t>s de la Ley de Transparencia</w:t>
      </w:r>
      <w:r w:rsidR="00114E33" w:rsidRPr="00B92499">
        <w:rPr>
          <w:rFonts w:ascii="Arial" w:hAnsi="Arial" w:cs="Arial"/>
        </w:rPr>
        <w:t>.</w:t>
      </w:r>
    </w:p>
    <w:p w14:paraId="27C3BFC4" w14:textId="77777777" w:rsidR="005A0F6E" w:rsidRPr="00B92499" w:rsidRDefault="005A0F6E" w:rsidP="002E7D47">
      <w:pPr>
        <w:autoSpaceDE w:val="0"/>
        <w:autoSpaceDN w:val="0"/>
        <w:adjustRightInd w:val="0"/>
        <w:spacing w:line="360" w:lineRule="auto"/>
        <w:contextualSpacing/>
        <w:jc w:val="both"/>
        <w:rPr>
          <w:rFonts w:ascii="Arial" w:hAnsi="Arial" w:cs="Arial"/>
        </w:rPr>
      </w:pPr>
    </w:p>
    <w:p w14:paraId="1BA07B27" w14:textId="70375AD2" w:rsidR="005A0F6E" w:rsidRPr="00B92499" w:rsidRDefault="005A0F6E" w:rsidP="002E7D47">
      <w:pPr>
        <w:autoSpaceDE w:val="0"/>
        <w:autoSpaceDN w:val="0"/>
        <w:adjustRightInd w:val="0"/>
        <w:spacing w:line="360" w:lineRule="auto"/>
        <w:contextualSpacing/>
        <w:jc w:val="both"/>
        <w:rPr>
          <w:rFonts w:ascii="Arial" w:hAnsi="Arial" w:cs="Arial"/>
        </w:rPr>
      </w:pPr>
      <w:r w:rsidRPr="00B92499">
        <w:rPr>
          <w:rFonts w:ascii="Arial" w:hAnsi="Arial" w:cs="Arial"/>
        </w:rPr>
        <w:t xml:space="preserve">De conformidad con </w:t>
      </w:r>
      <w:r w:rsidR="008F67E4" w:rsidRPr="00B92499">
        <w:rPr>
          <w:rFonts w:ascii="Arial" w:hAnsi="Arial" w:cs="Arial"/>
        </w:rPr>
        <w:t xml:space="preserve">las disposiciones de </w:t>
      </w:r>
      <w:r w:rsidRPr="00B92499">
        <w:rPr>
          <w:rFonts w:ascii="Arial" w:hAnsi="Arial" w:cs="Arial"/>
        </w:rPr>
        <w:t xml:space="preserve">los Lineamientos, el valor de cada uno de </w:t>
      </w:r>
      <w:r w:rsidR="008F67E4" w:rsidRPr="00B92499">
        <w:rPr>
          <w:rFonts w:ascii="Arial" w:hAnsi="Arial" w:cs="Arial"/>
        </w:rPr>
        <w:t xml:space="preserve">los </w:t>
      </w:r>
      <w:r w:rsidRPr="00B92499">
        <w:rPr>
          <w:rFonts w:ascii="Arial" w:hAnsi="Arial" w:cs="Arial"/>
        </w:rPr>
        <w:t xml:space="preserve">índices </w:t>
      </w:r>
      <w:r w:rsidR="008F67E4" w:rsidRPr="00B92499">
        <w:rPr>
          <w:rFonts w:ascii="Arial" w:hAnsi="Arial" w:cs="Arial"/>
        </w:rPr>
        <w:t xml:space="preserve">referidos (ICOT-PT e ICOT-PNT) </w:t>
      </w:r>
      <w:r w:rsidRPr="00B92499">
        <w:rPr>
          <w:rFonts w:ascii="Arial" w:hAnsi="Arial" w:cs="Arial"/>
        </w:rPr>
        <w:t xml:space="preserve">corresponde al 50% del IGOT. Los </w:t>
      </w:r>
      <w:r w:rsidR="008F67E4" w:rsidRPr="00B92499">
        <w:rPr>
          <w:rFonts w:ascii="Arial" w:hAnsi="Arial" w:cs="Arial"/>
        </w:rPr>
        <w:t>artículo</w:t>
      </w:r>
      <w:r w:rsidRPr="00B92499">
        <w:rPr>
          <w:rFonts w:ascii="Arial" w:hAnsi="Arial" w:cs="Arial"/>
        </w:rPr>
        <w:t xml:space="preserve">s correspondientes a las obligaciones de transparencia comunes tienen un valor de 60% del total del </w:t>
      </w:r>
      <w:r w:rsidR="00623A69" w:rsidRPr="00B92499">
        <w:rPr>
          <w:rFonts w:ascii="Arial" w:hAnsi="Arial" w:cs="Arial"/>
        </w:rPr>
        <w:t>ICOT-PT</w:t>
      </w:r>
      <w:r w:rsidRPr="00B92499">
        <w:rPr>
          <w:rFonts w:ascii="Arial" w:hAnsi="Arial" w:cs="Arial"/>
        </w:rPr>
        <w:t xml:space="preserve"> y ICOT-PNT respectivamente. Los </w:t>
      </w:r>
      <w:r w:rsidR="008F67E4" w:rsidRPr="00B92499">
        <w:rPr>
          <w:rFonts w:ascii="Arial" w:hAnsi="Arial" w:cs="Arial"/>
        </w:rPr>
        <w:t>artículo</w:t>
      </w:r>
      <w:r w:rsidRPr="00B92499">
        <w:rPr>
          <w:rFonts w:ascii="Arial" w:hAnsi="Arial" w:cs="Arial"/>
        </w:rPr>
        <w:t xml:space="preserve">s que hacen referencia a las obligaciones específicas de cada </w:t>
      </w:r>
      <w:r w:rsidR="008710F6" w:rsidRPr="00B92499">
        <w:rPr>
          <w:rFonts w:ascii="Arial" w:hAnsi="Arial" w:cs="Arial"/>
        </w:rPr>
        <w:t>sujeto obligado</w:t>
      </w:r>
      <w:r w:rsidRPr="00B92499">
        <w:rPr>
          <w:rFonts w:ascii="Arial" w:hAnsi="Arial" w:cs="Arial"/>
        </w:rPr>
        <w:t xml:space="preserve"> tienen un valor de 20% del total de cada uno de estos índices, y las disposiciones particulares establecidas en los </w:t>
      </w:r>
      <w:r w:rsidR="008F67E4" w:rsidRPr="00B92499">
        <w:rPr>
          <w:rFonts w:ascii="Arial" w:hAnsi="Arial" w:cs="Arial"/>
        </w:rPr>
        <w:t>artículo</w:t>
      </w:r>
      <w:r w:rsidRPr="00B92499">
        <w:rPr>
          <w:rFonts w:ascii="Arial" w:hAnsi="Arial" w:cs="Arial"/>
        </w:rPr>
        <w:t xml:space="preserve">s 143, 145, 146 y 147 tienen una ponderación del 5% </w:t>
      </w:r>
      <w:r w:rsidR="008F67E4" w:rsidRPr="00B92499">
        <w:rPr>
          <w:rFonts w:ascii="Arial" w:hAnsi="Arial" w:cs="Arial"/>
        </w:rPr>
        <w:t xml:space="preserve">(y totalizan, en conjunto, 20%) </w:t>
      </w:r>
      <w:r w:rsidRPr="00B92499">
        <w:rPr>
          <w:rFonts w:ascii="Arial" w:hAnsi="Arial" w:cs="Arial"/>
        </w:rPr>
        <w:t xml:space="preserve">respecto de cada una de estas herramientas metodológicas. </w:t>
      </w:r>
      <w:r w:rsidR="008F67E4" w:rsidRPr="00B92499">
        <w:rPr>
          <w:rFonts w:ascii="Arial" w:hAnsi="Arial" w:cs="Arial"/>
        </w:rPr>
        <w:t xml:space="preserve">Con ello, cada uno de esos </w:t>
      </w:r>
      <w:r w:rsidR="000D67A7" w:rsidRPr="00B92499">
        <w:rPr>
          <w:rFonts w:ascii="Arial" w:hAnsi="Arial" w:cs="Arial"/>
        </w:rPr>
        <w:t>2</w:t>
      </w:r>
      <w:r w:rsidR="008F67E4" w:rsidRPr="00B92499">
        <w:rPr>
          <w:rFonts w:ascii="Arial" w:hAnsi="Arial" w:cs="Arial"/>
        </w:rPr>
        <w:t xml:space="preserve"> índices se integra</w:t>
      </w:r>
      <w:r w:rsidR="00404D88" w:rsidRPr="00B92499">
        <w:rPr>
          <w:rFonts w:ascii="Arial" w:hAnsi="Arial" w:cs="Arial"/>
        </w:rPr>
        <w:t>n</w:t>
      </w:r>
      <w:r w:rsidR="008F67E4" w:rsidRPr="00B92499">
        <w:rPr>
          <w:rFonts w:ascii="Arial" w:hAnsi="Arial" w:cs="Arial"/>
        </w:rPr>
        <w:t xml:space="preserve"> con los siguientes componentes: Obligaciones de transparencia comunes (60%) + obligaciones de transparencia específicas (20%) + obligaciones de transparencia derivadas de disposiciones particulares (20%).   </w:t>
      </w:r>
    </w:p>
    <w:p w14:paraId="76A13C70" w14:textId="77777777" w:rsidR="005A0F6E" w:rsidRPr="00B92499" w:rsidRDefault="005A0F6E" w:rsidP="002E7D47">
      <w:pPr>
        <w:autoSpaceDE w:val="0"/>
        <w:autoSpaceDN w:val="0"/>
        <w:adjustRightInd w:val="0"/>
        <w:spacing w:line="360" w:lineRule="auto"/>
        <w:contextualSpacing/>
        <w:jc w:val="both"/>
        <w:rPr>
          <w:rFonts w:ascii="Arial" w:hAnsi="Arial" w:cs="Arial"/>
        </w:rPr>
      </w:pPr>
    </w:p>
    <w:p w14:paraId="22989A83" w14:textId="6C44407B" w:rsidR="005A0F6E" w:rsidRPr="00B92499" w:rsidRDefault="005A0F6E" w:rsidP="002E7D47">
      <w:pPr>
        <w:autoSpaceDE w:val="0"/>
        <w:autoSpaceDN w:val="0"/>
        <w:adjustRightInd w:val="0"/>
        <w:spacing w:line="360" w:lineRule="auto"/>
        <w:contextualSpacing/>
        <w:jc w:val="both"/>
        <w:rPr>
          <w:rFonts w:ascii="Arial" w:hAnsi="Arial" w:cs="Arial"/>
        </w:rPr>
      </w:pPr>
      <w:r w:rsidRPr="00B92499">
        <w:rPr>
          <w:rFonts w:ascii="Arial" w:hAnsi="Arial" w:cs="Arial"/>
        </w:rPr>
        <w:t xml:space="preserve">En esta línea, la evaluación consistió en verificar </w:t>
      </w:r>
      <w:r w:rsidR="006D516A" w:rsidRPr="00B92499">
        <w:rPr>
          <w:rFonts w:ascii="Arial" w:hAnsi="Arial" w:cs="Arial"/>
        </w:rPr>
        <w:t xml:space="preserve">que cada sujeto obligado hubiera cumplido con el deber de </w:t>
      </w:r>
      <w:r w:rsidRPr="00B92499">
        <w:rPr>
          <w:rFonts w:ascii="Arial" w:hAnsi="Arial" w:cs="Arial"/>
        </w:rPr>
        <w:t>publica</w:t>
      </w:r>
      <w:r w:rsidR="006D516A" w:rsidRPr="00B92499">
        <w:rPr>
          <w:rFonts w:ascii="Arial" w:hAnsi="Arial" w:cs="Arial"/>
        </w:rPr>
        <w:t>r y mantener actualizada</w:t>
      </w:r>
      <w:r w:rsidRPr="00B92499">
        <w:rPr>
          <w:rFonts w:ascii="Arial" w:hAnsi="Arial" w:cs="Arial"/>
        </w:rPr>
        <w:t xml:space="preserve"> </w:t>
      </w:r>
      <w:r w:rsidR="006D516A" w:rsidRPr="00B92499">
        <w:rPr>
          <w:rFonts w:ascii="Arial" w:hAnsi="Arial" w:cs="Arial"/>
        </w:rPr>
        <w:t xml:space="preserve">su </w:t>
      </w:r>
      <w:r w:rsidRPr="00B92499">
        <w:rPr>
          <w:rFonts w:ascii="Arial" w:hAnsi="Arial" w:cs="Arial"/>
        </w:rPr>
        <w:t>información</w:t>
      </w:r>
      <w:r w:rsidR="006D516A" w:rsidRPr="00B92499">
        <w:rPr>
          <w:rFonts w:ascii="Arial" w:hAnsi="Arial" w:cs="Arial"/>
        </w:rPr>
        <w:t xml:space="preserve">, y los resultados se reflejaron mediante el </w:t>
      </w:r>
      <w:r w:rsidRPr="00B92499">
        <w:rPr>
          <w:rFonts w:ascii="Arial" w:hAnsi="Arial" w:cs="Arial"/>
        </w:rPr>
        <w:t xml:space="preserve">cálculo inicial de 81 índices simples: 21 de criterios sustantivos de contenido, 20 de criterios adjetivos de actualización, 20 de criterios de confiabilidad y 20 de criterios adjetivos de formato, tanto en el </w:t>
      </w:r>
      <w:r w:rsidR="006D516A" w:rsidRPr="00B92499">
        <w:rPr>
          <w:rFonts w:ascii="Arial" w:hAnsi="Arial" w:cs="Arial"/>
        </w:rPr>
        <w:t>portal de internet (</w:t>
      </w:r>
      <w:r w:rsidRPr="00B92499">
        <w:rPr>
          <w:rFonts w:ascii="Arial" w:hAnsi="Arial" w:cs="Arial"/>
        </w:rPr>
        <w:t>PI</w:t>
      </w:r>
      <w:r w:rsidR="006D516A" w:rsidRPr="00B92499">
        <w:rPr>
          <w:rFonts w:ascii="Arial" w:hAnsi="Arial" w:cs="Arial"/>
        </w:rPr>
        <w:t>)</w:t>
      </w:r>
      <w:r w:rsidRPr="00B92499">
        <w:rPr>
          <w:rFonts w:ascii="Arial" w:hAnsi="Arial" w:cs="Arial"/>
        </w:rPr>
        <w:t xml:space="preserve"> como en la </w:t>
      </w:r>
      <w:r w:rsidR="006D516A" w:rsidRPr="00B92499">
        <w:rPr>
          <w:rFonts w:ascii="Arial" w:hAnsi="Arial" w:cs="Arial"/>
        </w:rPr>
        <w:t>Plataforma Nacional de Transparencia (</w:t>
      </w:r>
      <w:r w:rsidRPr="00B92499">
        <w:rPr>
          <w:rFonts w:ascii="Arial" w:hAnsi="Arial" w:cs="Arial"/>
        </w:rPr>
        <w:t>PNT</w:t>
      </w:r>
      <w:r w:rsidR="006D516A" w:rsidRPr="00B92499">
        <w:rPr>
          <w:rFonts w:ascii="Arial" w:hAnsi="Arial" w:cs="Arial"/>
        </w:rPr>
        <w:t>)</w:t>
      </w:r>
      <w:r w:rsidRPr="00B92499">
        <w:rPr>
          <w:rFonts w:ascii="Arial" w:hAnsi="Arial" w:cs="Arial"/>
        </w:rPr>
        <w:t xml:space="preserve">. </w:t>
      </w:r>
    </w:p>
    <w:p w14:paraId="536C56F3" w14:textId="77777777" w:rsidR="005A0F6E" w:rsidRPr="00B92499" w:rsidRDefault="005A0F6E" w:rsidP="002E7D47">
      <w:pPr>
        <w:autoSpaceDE w:val="0"/>
        <w:autoSpaceDN w:val="0"/>
        <w:adjustRightInd w:val="0"/>
        <w:spacing w:line="360" w:lineRule="auto"/>
        <w:contextualSpacing/>
        <w:jc w:val="both"/>
        <w:rPr>
          <w:rFonts w:ascii="Arial" w:hAnsi="Arial" w:cs="Arial"/>
        </w:rPr>
      </w:pPr>
    </w:p>
    <w:p w14:paraId="7E508D6D" w14:textId="72C56C8C" w:rsidR="004F753C" w:rsidRPr="00B92499" w:rsidRDefault="005A0F6E" w:rsidP="004F753C">
      <w:pPr>
        <w:autoSpaceDE w:val="0"/>
        <w:autoSpaceDN w:val="0"/>
        <w:adjustRightInd w:val="0"/>
        <w:spacing w:line="360" w:lineRule="auto"/>
        <w:contextualSpacing/>
        <w:jc w:val="both"/>
        <w:rPr>
          <w:rFonts w:ascii="Arial" w:hAnsi="Arial" w:cs="Arial"/>
        </w:rPr>
      </w:pPr>
      <w:r w:rsidRPr="00B92499">
        <w:rPr>
          <w:rFonts w:ascii="Arial" w:hAnsi="Arial" w:cs="Arial"/>
        </w:rPr>
        <w:t>Los criterios sustantivos de contenido son aquellos relacionados con la existencia de la información; los criterios adjetivos de actualización establecen que la información publicada cumpla con los periodos de actualización y conservación; los criterios adjetivos de confiabilidad son aquellos que permiten identificar la fecha en que se actualizó por última vez la información, la fecha de validación y el área que generó l</w:t>
      </w:r>
      <w:r w:rsidR="0033336D" w:rsidRPr="00B92499">
        <w:rPr>
          <w:rFonts w:ascii="Arial" w:hAnsi="Arial" w:cs="Arial"/>
        </w:rPr>
        <w:t>a información</w:t>
      </w:r>
      <w:r w:rsidRPr="00B92499">
        <w:rPr>
          <w:rFonts w:ascii="Arial" w:hAnsi="Arial" w:cs="Arial"/>
        </w:rPr>
        <w:t xml:space="preserve">. Por último, los criterios adjetivos de formato determinan las </w:t>
      </w:r>
      <w:r w:rsidRPr="00B92499">
        <w:rPr>
          <w:rFonts w:ascii="Arial" w:hAnsi="Arial" w:cs="Arial"/>
        </w:rPr>
        <w:lastRenderedPageBreak/>
        <w:t>características mínimas con las que debe ser organizada, sistematizada y publicada la información, permitiendo su reutilización.</w:t>
      </w:r>
    </w:p>
    <w:p w14:paraId="734E970A" w14:textId="77777777" w:rsidR="004F753C" w:rsidRPr="00B92499" w:rsidRDefault="004F753C" w:rsidP="004F753C">
      <w:pPr>
        <w:autoSpaceDE w:val="0"/>
        <w:autoSpaceDN w:val="0"/>
        <w:adjustRightInd w:val="0"/>
        <w:spacing w:line="360" w:lineRule="auto"/>
        <w:contextualSpacing/>
        <w:jc w:val="both"/>
        <w:rPr>
          <w:rFonts w:ascii="Arial" w:hAnsi="Arial" w:cs="Arial"/>
        </w:rPr>
      </w:pPr>
    </w:p>
    <w:p w14:paraId="290551FF" w14:textId="17FBC90B" w:rsidR="00395256" w:rsidRPr="00B92499" w:rsidRDefault="004F753C" w:rsidP="004F753C">
      <w:pPr>
        <w:autoSpaceDE w:val="0"/>
        <w:autoSpaceDN w:val="0"/>
        <w:adjustRightInd w:val="0"/>
        <w:spacing w:line="360" w:lineRule="auto"/>
        <w:contextualSpacing/>
        <w:jc w:val="both"/>
        <w:rPr>
          <w:rFonts w:ascii="Arial" w:hAnsi="Arial" w:cs="Arial"/>
        </w:rPr>
      </w:pPr>
      <w:r w:rsidRPr="00B92499">
        <w:rPr>
          <w:rFonts w:ascii="Arial" w:hAnsi="Arial" w:cs="Arial"/>
        </w:rPr>
        <w:t>De igual forma, en atención a</w:t>
      </w:r>
      <w:r w:rsidR="0066571C" w:rsidRPr="00B92499">
        <w:rPr>
          <w:rFonts w:ascii="Arial" w:hAnsi="Arial" w:cs="Arial"/>
        </w:rPr>
        <w:t xml:space="preserve"> </w:t>
      </w:r>
      <w:r w:rsidRPr="00B92499">
        <w:rPr>
          <w:rFonts w:ascii="Arial" w:hAnsi="Arial" w:cs="Arial"/>
        </w:rPr>
        <w:t>l</w:t>
      </w:r>
      <w:r w:rsidR="0066571C" w:rsidRPr="00B92499">
        <w:rPr>
          <w:rFonts w:ascii="Arial" w:hAnsi="Arial" w:cs="Arial"/>
        </w:rPr>
        <w:t>o dispuesto por el</w:t>
      </w:r>
      <w:r w:rsidRPr="00B92499">
        <w:rPr>
          <w:rFonts w:ascii="Arial" w:hAnsi="Arial" w:cs="Arial"/>
        </w:rPr>
        <w:t xml:space="preserve"> </w:t>
      </w:r>
      <w:r w:rsidR="00701AD0" w:rsidRPr="00B92499">
        <w:rPr>
          <w:rFonts w:ascii="Arial" w:hAnsi="Arial" w:cs="Arial"/>
        </w:rPr>
        <w:t xml:space="preserve">ordinal </w:t>
      </w:r>
      <w:r w:rsidRPr="00B92499">
        <w:rPr>
          <w:rFonts w:ascii="Arial" w:hAnsi="Arial" w:cs="Arial"/>
        </w:rPr>
        <w:t>Octavo, fracción V</w:t>
      </w:r>
      <w:r w:rsidR="00701AD0" w:rsidRPr="00B92499">
        <w:rPr>
          <w:rFonts w:ascii="Arial" w:hAnsi="Arial" w:cs="Arial"/>
        </w:rPr>
        <w:t>,</w:t>
      </w:r>
      <w:r w:rsidRPr="00B92499">
        <w:rPr>
          <w:rFonts w:ascii="Arial" w:hAnsi="Arial" w:cs="Arial"/>
        </w:rPr>
        <w:t xml:space="preserve"> de los Lineamientos Generales y la Política Quinta de los Lineamientos de Evaluación, en el caso de que los </w:t>
      </w:r>
      <w:r w:rsidR="008710F6" w:rsidRPr="00B92499">
        <w:rPr>
          <w:rFonts w:ascii="Arial" w:hAnsi="Arial" w:cs="Arial"/>
        </w:rPr>
        <w:t>sujeto</w:t>
      </w:r>
      <w:r w:rsidR="00EB5F64" w:rsidRPr="00B92499">
        <w:rPr>
          <w:rFonts w:ascii="Arial" w:hAnsi="Arial" w:cs="Arial"/>
        </w:rPr>
        <w:t xml:space="preserve">s </w:t>
      </w:r>
      <w:r w:rsidR="008710F6" w:rsidRPr="00B92499">
        <w:rPr>
          <w:rFonts w:ascii="Arial" w:hAnsi="Arial" w:cs="Arial"/>
        </w:rPr>
        <w:t>obligado</w:t>
      </w:r>
      <w:r w:rsidR="00EB5F64" w:rsidRPr="00B92499">
        <w:rPr>
          <w:rFonts w:ascii="Arial" w:hAnsi="Arial" w:cs="Arial"/>
        </w:rPr>
        <w:t>s</w:t>
      </w:r>
      <w:r w:rsidRPr="00B92499">
        <w:rPr>
          <w:rFonts w:ascii="Arial" w:hAnsi="Arial" w:cs="Arial"/>
        </w:rPr>
        <w:t xml:space="preserve"> no generen o no cuenten con determinada información que es parte de sus obligaciones de transparencia </w:t>
      </w:r>
      <w:r w:rsidR="0066571C" w:rsidRPr="00B92499">
        <w:rPr>
          <w:rFonts w:ascii="Arial" w:hAnsi="Arial" w:cs="Arial"/>
        </w:rPr>
        <w:t>en función de</w:t>
      </w:r>
      <w:r w:rsidRPr="00B92499">
        <w:rPr>
          <w:rFonts w:ascii="Arial" w:hAnsi="Arial" w:cs="Arial"/>
        </w:rPr>
        <w:t xml:space="preserve"> sus facultades o atribuciones, los </w:t>
      </w:r>
      <w:r w:rsidR="008710F6" w:rsidRPr="00B92499">
        <w:rPr>
          <w:rFonts w:ascii="Arial" w:hAnsi="Arial" w:cs="Arial"/>
        </w:rPr>
        <w:t>sujeto</w:t>
      </w:r>
      <w:r w:rsidR="00EB5F64" w:rsidRPr="00B92499">
        <w:rPr>
          <w:rFonts w:ascii="Arial" w:hAnsi="Arial" w:cs="Arial"/>
        </w:rPr>
        <w:t xml:space="preserve">s </w:t>
      </w:r>
      <w:r w:rsidR="008710F6" w:rsidRPr="00B92499">
        <w:rPr>
          <w:rFonts w:ascii="Arial" w:hAnsi="Arial" w:cs="Arial"/>
        </w:rPr>
        <w:t>obligado</w:t>
      </w:r>
      <w:r w:rsidR="00EB5F64" w:rsidRPr="00B92499">
        <w:rPr>
          <w:rFonts w:ascii="Arial" w:hAnsi="Arial" w:cs="Arial"/>
        </w:rPr>
        <w:t>s</w:t>
      </w:r>
      <w:r w:rsidRPr="00B92499">
        <w:rPr>
          <w:rFonts w:ascii="Arial" w:hAnsi="Arial" w:cs="Arial"/>
        </w:rPr>
        <w:t xml:space="preserve"> deberán especificar el periodo a que se refiere e incluir una explicación </w:t>
      </w:r>
      <w:r w:rsidR="00395256" w:rsidRPr="00B92499">
        <w:rPr>
          <w:rFonts w:ascii="Arial" w:hAnsi="Arial" w:cs="Arial"/>
        </w:rPr>
        <w:t xml:space="preserve">de las razones de la ausencia de la información, </w:t>
      </w:r>
      <w:r w:rsidRPr="00B92499">
        <w:rPr>
          <w:rFonts w:ascii="Arial" w:hAnsi="Arial" w:cs="Arial"/>
        </w:rPr>
        <w:t xml:space="preserve">mediante una nota breve, clara y motivada, </w:t>
      </w:r>
      <w:r w:rsidR="0066571C" w:rsidRPr="00B92499">
        <w:rPr>
          <w:rFonts w:ascii="Arial" w:hAnsi="Arial" w:cs="Arial"/>
        </w:rPr>
        <w:t xml:space="preserve">e incluir </w:t>
      </w:r>
      <w:r w:rsidRPr="00B92499">
        <w:rPr>
          <w:rFonts w:ascii="Arial" w:hAnsi="Arial" w:cs="Arial"/>
        </w:rPr>
        <w:t xml:space="preserve">la fundamentación respectiva. </w:t>
      </w:r>
    </w:p>
    <w:p w14:paraId="4C2764C0" w14:textId="77777777" w:rsidR="00395256" w:rsidRPr="00B92499" w:rsidRDefault="00395256" w:rsidP="004F753C">
      <w:pPr>
        <w:autoSpaceDE w:val="0"/>
        <w:autoSpaceDN w:val="0"/>
        <w:adjustRightInd w:val="0"/>
        <w:spacing w:line="360" w:lineRule="auto"/>
        <w:contextualSpacing/>
        <w:jc w:val="both"/>
        <w:rPr>
          <w:rFonts w:ascii="Arial" w:hAnsi="Arial" w:cs="Arial"/>
        </w:rPr>
      </w:pPr>
    </w:p>
    <w:p w14:paraId="1E50EDAC" w14:textId="7F8F5B22" w:rsidR="00395256" w:rsidRPr="00B92499" w:rsidRDefault="00395256" w:rsidP="004F753C">
      <w:pPr>
        <w:autoSpaceDE w:val="0"/>
        <w:autoSpaceDN w:val="0"/>
        <w:adjustRightInd w:val="0"/>
        <w:spacing w:line="360" w:lineRule="auto"/>
        <w:contextualSpacing/>
        <w:jc w:val="both"/>
        <w:rPr>
          <w:rFonts w:ascii="Arial" w:hAnsi="Arial" w:cs="Arial"/>
        </w:rPr>
      </w:pPr>
      <w:r w:rsidRPr="00B92499">
        <w:rPr>
          <w:rFonts w:ascii="Arial" w:hAnsi="Arial" w:cs="Arial"/>
        </w:rPr>
        <w:t xml:space="preserve">En atención a lo anterior, </w:t>
      </w:r>
      <w:r w:rsidR="00510E92" w:rsidRPr="00B92499">
        <w:rPr>
          <w:rFonts w:ascii="Arial" w:hAnsi="Arial" w:cs="Arial"/>
        </w:rPr>
        <w:t>en la evaluación realizada</w:t>
      </w:r>
      <w:r w:rsidRPr="00B92499">
        <w:rPr>
          <w:rFonts w:ascii="Arial" w:hAnsi="Arial" w:cs="Arial"/>
        </w:rPr>
        <w:t xml:space="preserve"> a los 35 </w:t>
      </w:r>
      <w:r w:rsidR="008710F6" w:rsidRPr="00B92499">
        <w:rPr>
          <w:rFonts w:ascii="Arial" w:hAnsi="Arial" w:cs="Arial"/>
        </w:rPr>
        <w:t>sujeto</w:t>
      </w:r>
      <w:r w:rsidR="00EB5F64" w:rsidRPr="00B92499">
        <w:rPr>
          <w:rFonts w:ascii="Arial" w:hAnsi="Arial" w:cs="Arial"/>
        </w:rPr>
        <w:t xml:space="preserve">s </w:t>
      </w:r>
      <w:r w:rsidR="008710F6" w:rsidRPr="00B92499">
        <w:rPr>
          <w:rFonts w:ascii="Arial" w:hAnsi="Arial" w:cs="Arial"/>
        </w:rPr>
        <w:t>obligado</w:t>
      </w:r>
      <w:r w:rsidR="00EB5F64" w:rsidRPr="00B92499">
        <w:rPr>
          <w:rFonts w:ascii="Arial" w:hAnsi="Arial" w:cs="Arial"/>
        </w:rPr>
        <w:t>s</w:t>
      </w:r>
      <w:r w:rsidRPr="00B92499">
        <w:rPr>
          <w:rFonts w:ascii="Arial" w:hAnsi="Arial" w:cs="Arial"/>
        </w:rPr>
        <w:t xml:space="preserve"> </w:t>
      </w:r>
      <w:r w:rsidR="00510E92" w:rsidRPr="00B92499">
        <w:rPr>
          <w:rFonts w:ascii="Arial" w:hAnsi="Arial" w:cs="Arial"/>
        </w:rPr>
        <w:t xml:space="preserve">se precisó </w:t>
      </w:r>
      <w:r w:rsidRPr="00B92499">
        <w:rPr>
          <w:rFonts w:ascii="Arial" w:hAnsi="Arial" w:cs="Arial"/>
        </w:rPr>
        <w:t>dentro de los Índices que se genera</w:t>
      </w:r>
      <w:r w:rsidR="00404D88" w:rsidRPr="00B92499">
        <w:rPr>
          <w:rFonts w:ascii="Arial" w:hAnsi="Arial" w:cs="Arial"/>
        </w:rPr>
        <w:t>ron</w:t>
      </w:r>
      <w:r w:rsidRPr="00B92499">
        <w:rPr>
          <w:rFonts w:ascii="Arial" w:hAnsi="Arial" w:cs="Arial"/>
        </w:rPr>
        <w:t xml:space="preserve"> cuál es el porcentaje del Índice que corresponde a información publicad</w:t>
      </w:r>
      <w:r w:rsidR="000D6661" w:rsidRPr="00B92499">
        <w:rPr>
          <w:rFonts w:ascii="Arial" w:hAnsi="Arial" w:cs="Arial"/>
        </w:rPr>
        <w:t>a</w:t>
      </w:r>
      <w:r w:rsidRPr="00B92499">
        <w:rPr>
          <w:rFonts w:ascii="Arial" w:hAnsi="Arial" w:cs="Arial"/>
        </w:rPr>
        <w:t xml:space="preserve"> y actualizada</w:t>
      </w:r>
      <w:r w:rsidR="00510E92" w:rsidRPr="00B92499">
        <w:rPr>
          <w:rFonts w:ascii="Arial" w:hAnsi="Arial" w:cs="Arial"/>
        </w:rPr>
        <w:t>, por una parte,</w:t>
      </w:r>
      <w:r w:rsidRPr="00B92499">
        <w:rPr>
          <w:rFonts w:ascii="Arial" w:hAnsi="Arial" w:cs="Arial"/>
        </w:rPr>
        <w:t xml:space="preserve"> y cuál</w:t>
      </w:r>
      <w:r w:rsidR="00510E92" w:rsidRPr="00B92499">
        <w:rPr>
          <w:rFonts w:ascii="Arial" w:hAnsi="Arial" w:cs="Arial"/>
        </w:rPr>
        <w:t>, por la otra,</w:t>
      </w:r>
      <w:r w:rsidRPr="00B92499">
        <w:rPr>
          <w:rFonts w:ascii="Arial" w:hAnsi="Arial" w:cs="Arial"/>
        </w:rPr>
        <w:t xml:space="preserve"> hace referencia a la publicación y actualización de notas aclaratorias.</w:t>
      </w:r>
    </w:p>
    <w:p w14:paraId="21BAA3BF" w14:textId="77777777" w:rsidR="005A0F6E" w:rsidRPr="00B92499" w:rsidRDefault="005A0F6E" w:rsidP="002E7D47">
      <w:pPr>
        <w:autoSpaceDE w:val="0"/>
        <w:autoSpaceDN w:val="0"/>
        <w:adjustRightInd w:val="0"/>
        <w:spacing w:line="360" w:lineRule="auto"/>
        <w:contextualSpacing/>
        <w:jc w:val="both"/>
        <w:rPr>
          <w:rFonts w:ascii="Arial" w:hAnsi="Arial" w:cs="Arial"/>
        </w:rPr>
      </w:pPr>
    </w:p>
    <w:p w14:paraId="10289C13" w14:textId="18599D6B" w:rsidR="005A0F6E" w:rsidRPr="00B92499" w:rsidRDefault="005A0F6E" w:rsidP="002E7D47">
      <w:pPr>
        <w:autoSpaceDE w:val="0"/>
        <w:autoSpaceDN w:val="0"/>
        <w:adjustRightInd w:val="0"/>
        <w:spacing w:line="360" w:lineRule="auto"/>
        <w:contextualSpacing/>
        <w:jc w:val="both"/>
        <w:rPr>
          <w:rFonts w:ascii="Arial" w:hAnsi="Arial" w:cs="Arial"/>
        </w:rPr>
      </w:pPr>
      <w:r w:rsidRPr="00B92499">
        <w:rPr>
          <w:rFonts w:ascii="Arial" w:hAnsi="Arial" w:cs="Arial"/>
        </w:rPr>
        <w:t xml:space="preserve">Es importante precisar </w:t>
      </w:r>
      <w:r w:rsidR="00D424B6" w:rsidRPr="00B92499">
        <w:rPr>
          <w:rFonts w:ascii="Arial" w:hAnsi="Arial" w:cs="Arial"/>
        </w:rPr>
        <w:t>que,</w:t>
      </w:r>
      <w:r w:rsidRPr="00B92499">
        <w:rPr>
          <w:rFonts w:ascii="Arial" w:hAnsi="Arial" w:cs="Arial"/>
        </w:rPr>
        <w:t xml:space="preserve"> por su diseño, el IGOT asume valores en el rango de 0 a 100</w:t>
      </w:r>
      <w:r w:rsidR="00510E92" w:rsidRPr="00B92499">
        <w:rPr>
          <w:rFonts w:ascii="Arial" w:hAnsi="Arial" w:cs="Arial"/>
        </w:rPr>
        <w:t xml:space="preserve"> puntos</w:t>
      </w:r>
      <w:r w:rsidRPr="00B92499">
        <w:rPr>
          <w:rFonts w:ascii="Arial" w:hAnsi="Arial" w:cs="Arial"/>
        </w:rPr>
        <w:t xml:space="preserve">, escala en la que el valor mínimo representa un incumplimiento total de las obligaciones; valores superiores a 0 y hasta 59.99, representan un grado parcial de incumplimiento; valores de 60 a 99.99 representan un cumplimiento parcial; en tanto que 100 representa el cabal cumplimiento de las obligaciones previstas por la Ley de Transparencia. </w:t>
      </w:r>
    </w:p>
    <w:p w14:paraId="00F83589" w14:textId="77777777" w:rsidR="005A0F6E" w:rsidRPr="00B92499" w:rsidRDefault="005A0F6E" w:rsidP="002E7D47">
      <w:pPr>
        <w:autoSpaceDE w:val="0"/>
        <w:autoSpaceDN w:val="0"/>
        <w:adjustRightInd w:val="0"/>
        <w:spacing w:line="360" w:lineRule="auto"/>
        <w:contextualSpacing/>
        <w:jc w:val="both"/>
        <w:rPr>
          <w:rFonts w:ascii="Arial" w:hAnsi="Arial" w:cs="Arial"/>
        </w:rPr>
      </w:pPr>
    </w:p>
    <w:p w14:paraId="4D2A77D3" w14:textId="7DC59BD7" w:rsidR="005A0F6E" w:rsidRPr="00B92499" w:rsidRDefault="005A0F6E" w:rsidP="002E7D47">
      <w:pPr>
        <w:autoSpaceDE w:val="0"/>
        <w:autoSpaceDN w:val="0"/>
        <w:adjustRightInd w:val="0"/>
        <w:spacing w:line="360" w:lineRule="auto"/>
        <w:contextualSpacing/>
        <w:jc w:val="both"/>
        <w:rPr>
          <w:rFonts w:ascii="Arial" w:hAnsi="Arial" w:cs="Arial"/>
        </w:rPr>
      </w:pPr>
      <w:r w:rsidRPr="00B92499">
        <w:rPr>
          <w:rFonts w:ascii="Arial" w:hAnsi="Arial" w:cs="Arial"/>
        </w:rPr>
        <w:t xml:space="preserve">Con el objetivo de generar un documento que proporcione de forma </w:t>
      </w:r>
      <w:r w:rsidR="00510E92" w:rsidRPr="00B92499">
        <w:rPr>
          <w:rFonts w:ascii="Arial" w:hAnsi="Arial" w:cs="Arial"/>
        </w:rPr>
        <w:t xml:space="preserve">global </w:t>
      </w:r>
      <w:r w:rsidRPr="00B92499">
        <w:rPr>
          <w:rFonts w:ascii="Arial" w:hAnsi="Arial" w:cs="Arial"/>
        </w:rPr>
        <w:t>los resultados obtenidos, la DEAEE realiz</w:t>
      </w:r>
      <w:r w:rsidR="00114E33" w:rsidRPr="00B92499">
        <w:rPr>
          <w:rFonts w:ascii="Arial" w:hAnsi="Arial" w:cs="Arial"/>
        </w:rPr>
        <w:t>ó</w:t>
      </w:r>
      <w:r w:rsidRPr="00B92499">
        <w:rPr>
          <w:rFonts w:ascii="Arial" w:hAnsi="Arial" w:cs="Arial"/>
        </w:rPr>
        <w:t xml:space="preserve"> un informe respecto de la </w:t>
      </w:r>
      <w:r w:rsidR="00395256" w:rsidRPr="00B92499">
        <w:rPr>
          <w:rFonts w:ascii="Arial" w:hAnsi="Arial" w:cs="Arial"/>
        </w:rPr>
        <w:t>Segunda Evaluación</w:t>
      </w:r>
      <w:r w:rsidRPr="00B92499">
        <w:rPr>
          <w:rFonts w:ascii="Arial" w:hAnsi="Arial" w:cs="Arial"/>
        </w:rPr>
        <w:t xml:space="preserve"> Vinculante 2019</w:t>
      </w:r>
      <w:r w:rsidR="00510E92" w:rsidRPr="00B92499">
        <w:rPr>
          <w:rFonts w:ascii="Arial" w:hAnsi="Arial" w:cs="Arial"/>
        </w:rPr>
        <w:t xml:space="preserve">, </w:t>
      </w:r>
      <w:r w:rsidRPr="00B92499">
        <w:rPr>
          <w:rFonts w:ascii="Arial" w:hAnsi="Arial" w:cs="Arial"/>
        </w:rPr>
        <w:t xml:space="preserve">dividida por </w:t>
      </w:r>
      <w:r w:rsidR="00C816B9" w:rsidRPr="00B92499">
        <w:rPr>
          <w:rFonts w:ascii="Arial" w:hAnsi="Arial" w:cs="Arial"/>
        </w:rPr>
        <w:t xml:space="preserve">ámbitos </w:t>
      </w:r>
      <w:r w:rsidR="00510E92" w:rsidRPr="00B92499">
        <w:rPr>
          <w:rFonts w:ascii="Arial" w:hAnsi="Arial" w:cs="Arial"/>
        </w:rPr>
        <w:t xml:space="preserve">. En dicho informe se </w:t>
      </w:r>
      <w:r w:rsidRPr="00B92499">
        <w:rPr>
          <w:rFonts w:ascii="Arial" w:hAnsi="Arial" w:cs="Arial"/>
        </w:rPr>
        <w:t xml:space="preserve">indica cuáles fueron los </w:t>
      </w:r>
      <w:r w:rsidR="00D424B6" w:rsidRPr="00B92499">
        <w:rPr>
          <w:rFonts w:ascii="Arial" w:hAnsi="Arial" w:cs="Arial"/>
        </w:rPr>
        <w:t>a</w:t>
      </w:r>
      <w:r w:rsidR="009D7771" w:rsidRPr="00B92499">
        <w:rPr>
          <w:rFonts w:ascii="Arial" w:hAnsi="Arial" w:cs="Arial"/>
        </w:rPr>
        <w:t>rtículo</w:t>
      </w:r>
      <w:r w:rsidRPr="00B92499">
        <w:rPr>
          <w:rFonts w:ascii="Arial" w:hAnsi="Arial" w:cs="Arial"/>
        </w:rPr>
        <w:t>s y fracciones en los</w:t>
      </w:r>
      <w:r w:rsidR="00510E92" w:rsidRPr="00B92499">
        <w:rPr>
          <w:rFonts w:ascii="Arial" w:hAnsi="Arial" w:cs="Arial"/>
        </w:rPr>
        <w:t xml:space="preserve"> que el conjunto de sujetos obligados en cada ámbito</w:t>
      </w:r>
      <w:r w:rsidRPr="00B92499">
        <w:rPr>
          <w:rFonts w:ascii="Arial" w:hAnsi="Arial" w:cs="Arial"/>
        </w:rPr>
        <w:t xml:space="preserve"> cumplen con </w:t>
      </w:r>
      <w:r w:rsidR="00510E92" w:rsidRPr="00B92499">
        <w:rPr>
          <w:rFonts w:ascii="Arial" w:hAnsi="Arial" w:cs="Arial"/>
        </w:rPr>
        <w:t xml:space="preserve">las obligaciones señaladas </w:t>
      </w:r>
      <w:r w:rsidRPr="00B92499">
        <w:rPr>
          <w:rFonts w:ascii="Arial" w:hAnsi="Arial" w:cs="Arial"/>
        </w:rPr>
        <w:t xml:space="preserve">en la Ley; así como cuál información es la que no están publicando, actualizando, o </w:t>
      </w:r>
      <w:r w:rsidR="00510E92" w:rsidRPr="00B92499">
        <w:rPr>
          <w:rFonts w:ascii="Arial" w:hAnsi="Arial" w:cs="Arial"/>
        </w:rPr>
        <w:t>(</w:t>
      </w:r>
      <w:r w:rsidRPr="00B92499">
        <w:rPr>
          <w:rFonts w:ascii="Arial" w:hAnsi="Arial" w:cs="Arial"/>
        </w:rPr>
        <w:t xml:space="preserve">en el caso de </w:t>
      </w:r>
      <w:r w:rsidR="00510E92" w:rsidRPr="00B92499">
        <w:rPr>
          <w:rFonts w:ascii="Arial" w:hAnsi="Arial" w:cs="Arial"/>
        </w:rPr>
        <w:t xml:space="preserve">haberla publicado) que </w:t>
      </w:r>
      <w:r w:rsidRPr="00B92499">
        <w:rPr>
          <w:rFonts w:ascii="Arial" w:hAnsi="Arial" w:cs="Arial"/>
        </w:rPr>
        <w:t>presente áreas de oportunidad y mejora.</w:t>
      </w:r>
    </w:p>
    <w:p w14:paraId="7143B630" w14:textId="77777777" w:rsidR="005A0F6E" w:rsidRPr="00B92499" w:rsidRDefault="005A0F6E" w:rsidP="002E7D47">
      <w:pPr>
        <w:contextualSpacing/>
        <w:rPr>
          <w:rFonts w:ascii="Arial" w:hAnsi="Arial" w:cs="Arial"/>
        </w:rPr>
      </w:pPr>
      <w:r w:rsidRPr="00B92499">
        <w:rPr>
          <w:rFonts w:ascii="Arial" w:hAnsi="Arial" w:cs="Arial"/>
        </w:rPr>
        <w:br w:type="page"/>
      </w:r>
    </w:p>
    <w:p w14:paraId="4DB14141" w14:textId="77777777" w:rsidR="005A0F6E" w:rsidRPr="00B92499" w:rsidRDefault="005A0F6E" w:rsidP="002E7D47">
      <w:pPr>
        <w:pStyle w:val="Ttulo1"/>
        <w:contextualSpacing/>
        <w:jc w:val="center"/>
        <w:rPr>
          <w:rFonts w:ascii="Arial" w:hAnsi="Arial" w:cs="Arial"/>
          <w:b/>
          <w:color w:val="auto"/>
          <w:sz w:val="24"/>
        </w:rPr>
      </w:pPr>
      <w:bookmarkStart w:id="3" w:name="_Toc23252961"/>
      <w:r w:rsidRPr="00B92499">
        <w:rPr>
          <w:rFonts w:ascii="Arial" w:hAnsi="Arial" w:cs="Arial"/>
          <w:b/>
          <w:color w:val="auto"/>
          <w:sz w:val="24"/>
        </w:rPr>
        <w:lastRenderedPageBreak/>
        <w:t xml:space="preserve">SÍNTESIS DE LOS </w:t>
      </w:r>
      <w:r w:rsidR="009D7771" w:rsidRPr="00B92499">
        <w:rPr>
          <w:rFonts w:ascii="Arial" w:hAnsi="Arial" w:cs="Arial"/>
          <w:b/>
          <w:color w:val="auto"/>
          <w:sz w:val="24"/>
        </w:rPr>
        <w:t>ARTÍCULO</w:t>
      </w:r>
      <w:r w:rsidRPr="00B92499">
        <w:rPr>
          <w:rFonts w:ascii="Arial" w:hAnsi="Arial" w:cs="Arial"/>
          <w:b/>
          <w:color w:val="auto"/>
          <w:sz w:val="24"/>
        </w:rPr>
        <w:t>S DE LAS OBLIGACIONES DE TRANSPARENCIA ANALIZADOS</w:t>
      </w:r>
      <w:bookmarkEnd w:id="3"/>
    </w:p>
    <w:p w14:paraId="24213128" w14:textId="77777777" w:rsidR="005A0F6E" w:rsidRPr="00B92499" w:rsidRDefault="005A0F6E" w:rsidP="002E7D47">
      <w:pPr>
        <w:autoSpaceDE w:val="0"/>
        <w:autoSpaceDN w:val="0"/>
        <w:adjustRightInd w:val="0"/>
        <w:spacing w:line="360" w:lineRule="auto"/>
        <w:contextualSpacing/>
        <w:jc w:val="both"/>
        <w:rPr>
          <w:rFonts w:ascii="Arial" w:hAnsi="Arial" w:cs="Arial"/>
        </w:rPr>
      </w:pPr>
    </w:p>
    <w:p w14:paraId="28679D81" w14:textId="6FD19514" w:rsidR="005A0F6E" w:rsidRPr="00B92499" w:rsidRDefault="005A0F6E" w:rsidP="002E7D47">
      <w:pPr>
        <w:pStyle w:val="Ttulo2"/>
        <w:contextualSpacing/>
        <w:rPr>
          <w:rFonts w:ascii="Arial" w:hAnsi="Arial" w:cs="Arial"/>
          <w:b/>
        </w:rPr>
      </w:pPr>
      <w:bookmarkStart w:id="4" w:name="_Toc23252962"/>
      <w:r w:rsidRPr="00B92499">
        <w:rPr>
          <w:rFonts w:ascii="Arial" w:hAnsi="Arial" w:cs="Arial"/>
          <w:b/>
          <w:color w:val="auto"/>
          <w:sz w:val="24"/>
        </w:rPr>
        <w:t xml:space="preserve">Obligaciones Comunes de la Ley </w:t>
      </w:r>
      <w:r w:rsidR="00510E92" w:rsidRPr="00B92499">
        <w:rPr>
          <w:rFonts w:ascii="Arial" w:hAnsi="Arial" w:cs="Arial"/>
          <w:b/>
          <w:color w:val="auto"/>
          <w:sz w:val="24"/>
        </w:rPr>
        <w:t xml:space="preserve">local </w:t>
      </w:r>
      <w:r w:rsidRPr="00B92499">
        <w:rPr>
          <w:rFonts w:ascii="Arial" w:hAnsi="Arial" w:cs="Arial"/>
          <w:b/>
          <w:color w:val="auto"/>
          <w:sz w:val="24"/>
        </w:rPr>
        <w:t>de Transparencia</w:t>
      </w:r>
      <w:bookmarkEnd w:id="4"/>
    </w:p>
    <w:p w14:paraId="2A122CC4" w14:textId="77777777" w:rsidR="005A0F6E" w:rsidRPr="00B92499" w:rsidRDefault="005A0F6E" w:rsidP="002E7D47">
      <w:pPr>
        <w:autoSpaceDE w:val="0"/>
        <w:autoSpaceDN w:val="0"/>
        <w:adjustRightInd w:val="0"/>
        <w:spacing w:line="360" w:lineRule="auto"/>
        <w:contextualSpacing/>
        <w:jc w:val="both"/>
        <w:rPr>
          <w:rFonts w:ascii="Arial" w:hAnsi="Arial" w:cs="Arial"/>
          <w:b/>
        </w:rPr>
      </w:pPr>
    </w:p>
    <w:p w14:paraId="164C18F2" w14:textId="228D540A" w:rsidR="005A0F6E" w:rsidRPr="00B92499" w:rsidRDefault="005A0F6E" w:rsidP="002E7D47">
      <w:pPr>
        <w:autoSpaceDE w:val="0"/>
        <w:autoSpaceDN w:val="0"/>
        <w:adjustRightInd w:val="0"/>
        <w:spacing w:line="360" w:lineRule="auto"/>
        <w:contextualSpacing/>
        <w:jc w:val="both"/>
        <w:rPr>
          <w:rFonts w:ascii="Arial" w:hAnsi="Arial" w:cs="Arial"/>
        </w:rPr>
      </w:pPr>
      <w:r w:rsidRPr="00B92499">
        <w:rPr>
          <w:rFonts w:ascii="Arial" w:hAnsi="Arial" w:cs="Arial"/>
        </w:rPr>
        <w:t xml:space="preserve">Las obligaciones comunes son aquellas que le son aplicables a todos los </w:t>
      </w:r>
      <w:r w:rsidR="008710F6" w:rsidRPr="00B92499">
        <w:rPr>
          <w:rFonts w:ascii="Arial" w:hAnsi="Arial" w:cs="Arial"/>
        </w:rPr>
        <w:t>sujeto</w:t>
      </w:r>
      <w:r w:rsidR="00EB5F64" w:rsidRPr="00B92499">
        <w:rPr>
          <w:rFonts w:ascii="Arial" w:hAnsi="Arial" w:cs="Arial"/>
        </w:rPr>
        <w:t xml:space="preserve">s </w:t>
      </w:r>
      <w:r w:rsidR="008710F6" w:rsidRPr="00B92499">
        <w:rPr>
          <w:rFonts w:ascii="Arial" w:hAnsi="Arial" w:cs="Arial"/>
        </w:rPr>
        <w:t>obligado</w:t>
      </w:r>
      <w:r w:rsidR="00EB5F64" w:rsidRPr="00B92499">
        <w:rPr>
          <w:rFonts w:ascii="Arial" w:hAnsi="Arial" w:cs="Arial"/>
        </w:rPr>
        <w:t>s</w:t>
      </w:r>
      <w:r w:rsidRPr="00B92499">
        <w:rPr>
          <w:rFonts w:ascii="Arial" w:hAnsi="Arial" w:cs="Arial"/>
        </w:rPr>
        <w:t xml:space="preserve">, sin importar su naturaleza; debido a que </w:t>
      </w:r>
      <w:r w:rsidR="00510E92" w:rsidRPr="00B92499">
        <w:rPr>
          <w:rFonts w:ascii="Arial" w:hAnsi="Arial" w:cs="Arial"/>
        </w:rPr>
        <w:t>refieren</w:t>
      </w:r>
      <w:r w:rsidRPr="00B92499">
        <w:rPr>
          <w:rFonts w:ascii="Arial" w:hAnsi="Arial" w:cs="Arial"/>
        </w:rPr>
        <w:t xml:space="preserve"> información que todo </w:t>
      </w:r>
      <w:r w:rsidR="008710F6" w:rsidRPr="00B92499">
        <w:rPr>
          <w:rFonts w:ascii="Arial" w:hAnsi="Arial" w:cs="Arial"/>
        </w:rPr>
        <w:t>sujeto obligado</w:t>
      </w:r>
      <w:r w:rsidRPr="00B92499">
        <w:rPr>
          <w:rFonts w:ascii="Arial" w:hAnsi="Arial" w:cs="Arial"/>
        </w:rPr>
        <w:t xml:space="preserve"> genera, posee, utiliza y resguarda. </w:t>
      </w:r>
    </w:p>
    <w:p w14:paraId="0065C92B" w14:textId="77777777" w:rsidR="005A0F6E" w:rsidRPr="00B92499" w:rsidRDefault="005A0F6E" w:rsidP="002E7D47">
      <w:pPr>
        <w:autoSpaceDE w:val="0"/>
        <w:autoSpaceDN w:val="0"/>
        <w:adjustRightInd w:val="0"/>
        <w:spacing w:line="360" w:lineRule="auto"/>
        <w:contextualSpacing/>
        <w:jc w:val="both"/>
        <w:rPr>
          <w:rFonts w:ascii="Arial" w:hAnsi="Arial" w:cs="Arial"/>
        </w:rPr>
      </w:pPr>
    </w:p>
    <w:p w14:paraId="5BE33483" w14:textId="0B41AC7D" w:rsidR="005A0F6E" w:rsidRPr="00B92499" w:rsidRDefault="005A0F6E" w:rsidP="002E7D47">
      <w:pPr>
        <w:autoSpaceDE w:val="0"/>
        <w:autoSpaceDN w:val="0"/>
        <w:adjustRightInd w:val="0"/>
        <w:spacing w:line="360" w:lineRule="auto"/>
        <w:contextualSpacing/>
        <w:jc w:val="both"/>
        <w:rPr>
          <w:rFonts w:ascii="Arial" w:hAnsi="Arial" w:cs="Arial"/>
        </w:rPr>
      </w:pPr>
      <w:r w:rsidRPr="00B92499">
        <w:rPr>
          <w:rFonts w:ascii="Arial" w:hAnsi="Arial" w:cs="Arial"/>
        </w:rPr>
        <w:t xml:space="preserve">El </w:t>
      </w:r>
      <w:r w:rsidR="008F67E4" w:rsidRPr="00B92499">
        <w:rPr>
          <w:rFonts w:ascii="Arial" w:hAnsi="Arial" w:cs="Arial"/>
        </w:rPr>
        <w:t>artículo</w:t>
      </w:r>
      <w:r w:rsidRPr="00B92499">
        <w:rPr>
          <w:rFonts w:ascii="Arial" w:hAnsi="Arial" w:cs="Arial"/>
        </w:rPr>
        <w:t xml:space="preserve"> 121 </w:t>
      </w:r>
      <w:r w:rsidR="00510E92" w:rsidRPr="00B92499">
        <w:rPr>
          <w:rFonts w:ascii="Arial" w:hAnsi="Arial" w:cs="Arial"/>
        </w:rPr>
        <w:t xml:space="preserve">de la ley local de transparencia </w:t>
      </w:r>
      <w:r w:rsidRPr="00B92499">
        <w:rPr>
          <w:rFonts w:ascii="Arial" w:hAnsi="Arial" w:cs="Arial"/>
        </w:rPr>
        <w:t xml:space="preserve">se integra por 54 fracciones, en las que se mandata la publicación de información como el marco normativo, estructura orgánica, facultades y funciones de cada área, metas y objetivos de las áreas, indicadores, programas operativos anuales, el directorio, la remuneración de los servidores públicos, el número total de plazas y tipo de estas, las contrataciones por servicios profesionales, </w:t>
      </w:r>
      <w:r w:rsidR="004B6BFD" w:rsidRPr="00B92499">
        <w:rPr>
          <w:rFonts w:ascii="Arial" w:hAnsi="Arial" w:cs="Arial"/>
        </w:rPr>
        <w:t>las</w:t>
      </w:r>
      <w:r w:rsidRPr="00B92499">
        <w:rPr>
          <w:rFonts w:ascii="Arial" w:hAnsi="Arial" w:cs="Arial"/>
        </w:rPr>
        <w:t xml:space="preserve"> declaraciones patrimoniales, domicilio de la unidad de transparencia, información de las personas servidoras públicas con sanciones administrativas, información financiera sobre el presupuesto asignado, dictámenes de cu</w:t>
      </w:r>
      <w:r w:rsidR="00327FB1" w:rsidRPr="00B92499">
        <w:rPr>
          <w:rFonts w:ascii="Arial" w:hAnsi="Arial" w:cs="Arial"/>
        </w:rPr>
        <w:t>en</w:t>
      </w:r>
      <w:r w:rsidRPr="00B92499">
        <w:rPr>
          <w:rFonts w:ascii="Arial" w:hAnsi="Arial" w:cs="Arial"/>
        </w:rPr>
        <w:t xml:space="preserve">ta pública, los contratos y convenios celebrados, información sobre los procedimientos de adjudicación directa, invitación restringida y licitaciones; entre otros. </w:t>
      </w:r>
    </w:p>
    <w:p w14:paraId="366260C8" w14:textId="77777777" w:rsidR="005A0F6E" w:rsidRPr="00B92499" w:rsidRDefault="005A0F6E" w:rsidP="002E7D47">
      <w:pPr>
        <w:autoSpaceDE w:val="0"/>
        <w:autoSpaceDN w:val="0"/>
        <w:adjustRightInd w:val="0"/>
        <w:spacing w:line="360" w:lineRule="auto"/>
        <w:contextualSpacing/>
        <w:jc w:val="both"/>
        <w:rPr>
          <w:rFonts w:ascii="Arial" w:hAnsi="Arial" w:cs="Arial"/>
        </w:rPr>
      </w:pPr>
    </w:p>
    <w:p w14:paraId="77279CB0" w14:textId="781CC4F7" w:rsidR="005A0F6E" w:rsidRPr="00B92499" w:rsidRDefault="005A0F6E" w:rsidP="002E7D47">
      <w:pPr>
        <w:autoSpaceDE w:val="0"/>
        <w:autoSpaceDN w:val="0"/>
        <w:adjustRightInd w:val="0"/>
        <w:spacing w:line="360" w:lineRule="auto"/>
        <w:contextualSpacing/>
        <w:jc w:val="both"/>
        <w:rPr>
          <w:rFonts w:ascii="Arial" w:hAnsi="Arial" w:cs="Arial"/>
        </w:rPr>
      </w:pPr>
      <w:r w:rsidRPr="00B92499">
        <w:rPr>
          <w:rFonts w:ascii="Arial" w:hAnsi="Arial" w:cs="Arial"/>
        </w:rPr>
        <w:t xml:space="preserve">El </w:t>
      </w:r>
      <w:r w:rsidR="008F67E4" w:rsidRPr="00B92499">
        <w:rPr>
          <w:rFonts w:ascii="Arial" w:hAnsi="Arial" w:cs="Arial"/>
        </w:rPr>
        <w:t>artículo</w:t>
      </w:r>
      <w:r w:rsidRPr="00B92499">
        <w:rPr>
          <w:rFonts w:ascii="Arial" w:hAnsi="Arial" w:cs="Arial"/>
        </w:rPr>
        <w:t xml:space="preserve"> 122 </w:t>
      </w:r>
      <w:r w:rsidR="00510E92" w:rsidRPr="00B92499">
        <w:rPr>
          <w:rFonts w:ascii="Arial" w:hAnsi="Arial" w:cs="Arial"/>
        </w:rPr>
        <w:t xml:space="preserve">de la misma ley </w:t>
      </w:r>
      <w:r w:rsidRPr="00B92499">
        <w:rPr>
          <w:rFonts w:ascii="Arial" w:hAnsi="Arial" w:cs="Arial"/>
        </w:rPr>
        <w:t>se integra por</w:t>
      </w:r>
      <w:r w:rsidR="000D67A7" w:rsidRPr="00B92499">
        <w:rPr>
          <w:rFonts w:ascii="Arial" w:hAnsi="Arial" w:cs="Arial"/>
        </w:rPr>
        <w:t xml:space="preserve"> 3 </w:t>
      </w:r>
      <w:r w:rsidRPr="00B92499">
        <w:rPr>
          <w:rFonts w:ascii="Arial" w:hAnsi="Arial" w:cs="Arial"/>
        </w:rPr>
        <w:t xml:space="preserve">fracciones en las cuales </w:t>
      </w:r>
      <w:r w:rsidR="00510E92" w:rsidRPr="00B92499">
        <w:rPr>
          <w:rFonts w:ascii="Arial" w:hAnsi="Arial" w:cs="Arial"/>
        </w:rPr>
        <w:t>se señala</w:t>
      </w:r>
      <w:r w:rsidRPr="00B92499">
        <w:rPr>
          <w:rFonts w:ascii="Arial" w:hAnsi="Arial" w:cs="Arial"/>
        </w:rPr>
        <w:t xml:space="preserve"> la obligación de publicar información en materia de programas sociales, de ayuda, subsidios, estímulos y apoyos. </w:t>
      </w:r>
    </w:p>
    <w:p w14:paraId="45B30971" w14:textId="77777777" w:rsidR="005A0F6E" w:rsidRPr="00B92499" w:rsidRDefault="005A0F6E" w:rsidP="002E7D47">
      <w:pPr>
        <w:autoSpaceDE w:val="0"/>
        <w:autoSpaceDN w:val="0"/>
        <w:adjustRightInd w:val="0"/>
        <w:spacing w:line="360" w:lineRule="auto"/>
        <w:contextualSpacing/>
        <w:jc w:val="both"/>
        <w:rPr>
          <w:rFonts w:ascii="Arial" w:hAnsi="Arial" w:cs="Arial"/>
        </w:rPr>
      </w:pPr>
    </w:p>
    <w:p w14:paraId="007E177C" w14:textId="196662F0" w:rsidR="005A0F6E" w:rsidRPr="00B92499" w:rsidRDefault="005A0F6E" w:rsidP="002E7D47">
      <w:pPr>
        <w:pStyle w:val="Ttulo2"/>
        <w:contextualSpacing/>
        <w:rPr>
          <w:rFonts w:ascii="Arial" w:hAnsi="Arial" w:cs="Arial"/>
          <w:b/>
          <w:color w:val="auto"/>
          <w:sz w:val="24"/>
        </w:rPr>
      </w:pPr>
      <w:bookmarkStart w:id="5" w:name="_Toc23252963"/>
      <w:r w:rsidRPr="00B92499">
        <w:rPr>
          <w:rFonts w:ascii="Arial" w:hAnsi="Arial" w:cs="Arial"/>
          <w:b/>
          <w:color w:val="auto"/>
          <w:sz w:val="24"/>
        </w:rPr>
        <w:t xml:space="preserve">Obligaciones Específicas de la Ley </w:t>
      </w:r>
      <w:r w:rsidR="00510E92" w:rsidRPr="00B92499">
        <w:rPr>
          <w:rFonts w:ascii="Arial" w:hAnsi="Arial" w:cs="Arial"/>
          <w:b/>
          <w:color w:val="auto"/>
          <w:sz w:val="24"/>
        </w:rPr>
        <w:t xml:space="preserve">local </w:t>
      </w:r>
      <w:r w:rsidRPr="00B92499">
        <w:rPr>
          <w:rFonts w:ascii="Arial" w:hAnsi="Arial" w:cs="Arial"/>
          <w:b/>
          <w:color w:val="auto"/>
          <w:sz w:val="24"/>
        </w:rPr>
        <w:t>de Transparencia</w:t>
      </w:r>
      <w:bookmarkEnd w:id="5"/>
    </w:p>
    <w:p w14:paraId="0057A4F3" w14:textId="77777777" w:rsidR="005A0F6E" w:rsidRPr="00B92499" w:rsidRDefault="005A0F6E" w:rsidP="002E7D47">
      <w:pPr>
        <w:autoSpaceDE w:val="0"/>
        <w:autoSpaceDN w:val="0"/>
        <w:adjustRightInd w:val="0"/>
        <w:spacing w:line="360" w:lineRule="auto"/>
        <w:contextualSpacing/>
        <w:jc w:val="both"/>
        <w:rPr>
          <w:rFonts w:ascii="Arial" w:hAnsi="Arial" w:cs="Arial"/>
        </w:rPr>
      </w:pPr>
    </w:p>
    <w:p w14:paraId="3D5FBAE5" w14:textId="07EE5573" w:rsidR="005A0F6E" w:rsidRPr="00B92499" w:rsidRDefault="005A0F6E" w:rsidP="002E7D47">
      <w:pPr>
        <w:autoSpaceDE w:val="0"/>
        <w:autoSpaceDN w:val="0"/>
        <w:adjustRightInd w:val="0"/>
        <w:spacing w:line="360" w:lineRule="auto"/>
        <w:contextualSpacing/>
        <w:jc w:val="both"/>
        <w:rPr>
          <w:rFonts w:ascii="Arial" w:hAnsi="Arial" w:cs="Arial"/>
        </w:rPr>
      </w:pPr>
      <w:r w:rsidRPr="00B92499">
        <w:rPr>
          <w:rFonts w:ascii="Arial" w:hAnsi="Arial" w:cs="Arial"/>
        </w:rPr>
        <w:t xml:space="preserve">Las obligaciones específicas se integran por </w:t>
      </w:r>
      <w:r w:rsidR="00510E92" w:rsidRPr="00B92499">
        <w:rPr>
          <w:rFonts w:ascii="Arial" w:hAnsi="Arial" w:cs="Arial"/>
        </w:rPr>
        <w:t xml:space="preserve">trece </w:t>
      </w:r>
      <w:r w:rsidRPr="00B92499">
        <w:rPr>
          <w:rFonts w:ascii="Arial" w:hAnsi="Arial" w:cs="Arial"/>
        </w:rPr>
        <w:t>secciones y hacen referencia a la información que</w:t>
      </w:r>
      <w:r w:rsidR="00510E92" w:rsidRPr="00B92499">
        <w:rPr>
          <w:rFonts w:ascii="Arial" w:hAnsi="Arial" w:cs="Arial"/>
        </w:rPr>
        <w:t>,</w:t>
      </w:r>
      <w:r w:rsidRPr="00B92499">
        <w:rPr>
          <w:rFonts w:ascii="Arial" w:hAnsi="Arial" w:cs="Arial"/>
        </w:rPr>
        <w:t xml:space="preserve"> dependiendo de la naturaleza de cada </w:t>
      </w:r>
      <w:r w:rsidR="008710F6" w:rsidRPr="00B92499">
        <w:rPr>
          <w:rFonts w:ascii="Arial" w:hAnsi="Arial" w:cs="Arial"/>
        </w:rPr>
        <w:t>sujeto obligado</w:t>
      </w:r>
      <w:r w:rsidRPr="00B92499">
        <w:rPr>
          <w:rFonts w:ascii="Arial" w:hAnsi="Arial" w:cs="Arial"/>
        </w:rPr>
        <w:t>, debe generar, poseer, utilizar y resguardar.</w:t>
      </w:r>
    </w:p>
    <w:p w14:paraId="1C91C682" w14:textId="77777777" w:rsidR="005A0F6E" w:rsidRPr="00B92499" w:rsidRDefault="005A0F6E" w:rsidP="002E7D47">
      <w:pPr>
        <w:autoSpaceDE w:val="0"/>
        <w:autoSpaceDN w:val="0"/>
        <w:adjustRightInd w:val="0"/>
        <w:spacing w:line="360" w:lineRule="auto"/>
        <w:contextualSpacing/>
        <w:jc w:val="both"/>
        <w:rPr>
          <w:rFonts w:ascii="Arial" w:hAnsi="Arial" w:cs="Arial"/>
        </w:rPr>
      </w:pPr>
    </w:p>
    <w:p w14:paraId="1F79391A" w14:textId="64F817A3" w:rsidR="005A0F6E" w:rsidRPr="00B92499" w:rsidRDefault="005A0F6E" w:rsidP="002E7D47">
      <w:pPr>
        <w:autoSpaceDE w:val="0"/>
        <w:autoSpaceDN w:val="0"/>
        <w:adjustRightInd w:val="0"/>
        <w:spacing w:line="360" w:lineRule="auto"/>
        <w:contextualSpacing/>
        <w:jc w:val="both"/>
        <w:rPr>
          <w:rFonts w:ascii="Arial" w:hAnsi="Arial" w:cs="Arial"/>
        </w:rPr>
      </w:pPr>
      <w:r w:rsidRPr="00B92499">
        <w:rPr>
          <w:rFonts w:ascii="Arial" w:hAnsi="Arial" w:cs="Arial"/>
        </w:rPr>
        <w:lastRenderedPageBreak/>
        <w:t xml:space="preserve">La sección primera se integra por el </w:t>
      </w:r>
      <w:r w:rsidR="008F67E4" w:rsidRPr="00B92499">
        <w:rPr>
          <w:rFonts w:ascii="Arial" w:hAnsi="Arial" w:cs="Arial"/>
        </w:rPr>
        <w:t>artículo</w:t>
      </w:r>
      <w:r w:rsidRPr="00B92499">
        <w:rPr>
          <w:rFonts w:ascii="Arial" w:hAnsi="Arial" w:cs="Arial"/>
        </w:rPr>
        <w:t xml:space="preserve"> 123</w:t>
      </w:r>
      <w:r w:rsidR="00114E33" w:rsidRPr="00B92499">
        <w:rPr>
          <w:rStyle w:val="Refdenotaalpie"/>
          <w:rFonts w:ascii="Arial" w:hAnsi="Arial" w:cs="Arial"/>
        </w:rPr>
        <w:footnoteReference w:id="1"/>
      </w:r>
      <w:r w:rsidRPr="00B92499">
        <w:rPr>
          <w:rFonts w:ascii="Arial" w:hAnsi="Arial" w:cs="Arial"/>
        </w:rPr>
        <w:t xml:space="preserve"> y hace referencia a las obligaciones del Poder Ejecutivo; en </w:t>
      </w:r>
      <w:r w:rsidR="00DD643E" w:rsidRPr="00B92499">
        <w:rPr>
          <w:rFonts w:ascii="Arial" w:hAnsi="Arial" w:cs="Arial"/>
        </w:rPr>
        <w:t xml:space="preserve">ella </w:t>
      </w:r>
      <w:r w:rsidRPr="00B92499">
        <w:rPr>
          <w:rFonts w:ascii="Arial" w:hAnsi="Arial" w:cs="Arial"/>
        </w:rPr>
        <w:t>se contemplan obligaciones consistentes en publicar las iniciativas de leyes o demás decretos en materia administrativa, el Programa General de Desarrollo de la Ciudad de México, el Presupuesto de Egresos y las fórmulas de distribución, el listado de expropiaciones decretadas y ejecutadas, el listado de patentes de corredores y notarios públicos, información detallada que contengan los planes de desarrollo urbano, reglamentos de leyes expedidos, los usos de suelo a través de mapas y planos</w:t>
      </w:r>
      <w:r w:rsidR="004B6BFD" w:rsidRPr="00B92499">
        <w:rPr>
          <w:rFonts w:ascii="Arial" w:hAnsi="Arial" w:cs="Arial"/>
        </w:rPr>
        <w:t>,</w:t>
      </w:r>
      <w:r w:rsidRPr="00B92499">
        <w:rPr>
          <w:rFonts w:ascii="Arial" w:hAnsi="Arial" w:cs="Arial"/>
        </w:rPr>
        <w:t xml:space="preserve"> información sobre la calidad del agua, manifestaciones de impacto ambiental y estudios de la calidad del aire. </w:t>
      </w:r>
    </w:p>
    <w:p w14:paraId="0890660D" w14:textId="77777777" w:rsidR="005A0F6E" w:rsidRPr="00B92499" w:rsidRDefault="005A0F6E" w:rsidP="002E7D47">
      <w:pPr>
        <w:autoSpaceDE w:val="0"/>
        <w:autoSpaceDN w:val="0"/>
        <w:adjustRightInd w:val="0"/>
        <w:spacing w:line="360" w:lineRule="auto"/>
        <w:contextualSpacing/>
        <w:jc w:val="both"/>
        <w:rPr>
          <w:rFonts w:ascii="Arial" w:hAnsi="Arial" w:cs="Arial"/>
        </w:rPr>
      </w:pPr>
    </w:p>
    <w:p w14:paraId="26A7BEC4" w14:textId="330B0738" w:rsidR="005A0F6E" w:rsidRPr="00B92499" w:rsidRDefault="005A0F6E" w:rsidP="002E7D47">
      <w:pPr>
        <w:autoSpaceDE w:val="0"/>
        <w:autoSpaceDN w:val="0"/>
        <w:adjustRightInd w:val="0"/>
        <w:spacing w:line="360" w:lineRule="auto"/>
        <w:contextualSpacing/>
        <w:jc w:val="both"/>
        <w:rPr>
          <w:rFonts w:ascii="Arial" w:hAnsi="Arial" w:cs="Arial"/>
        </w:rPr>
      </w:pPr>
      <w:r w:rsidRPr="00B92499">
        <w:rPr>
          <w:rFonts w:ascii="Arial" w:hAnsi="Arial" w:cs="Arial"/>
        </w:rPr>
        <w:t xml:space="preserve">La sección segunda se conforma por el </w:t>
      </w:r>
      <w:r w:rsidR="008F67E4" w:rsidRPr="00B92499">
        <w:rPr>
          <w:rFonts w:ascii="Arial" w:hAnsi="Arial" w:cs="Arial"/>
        </w:rPr>
        <w:t>artículo</w:t>
      </w:r>
      <w:r w:rsidRPr="00B92499">
        <w:rPr>
          <w:rFonts w:ascii="Arial" w:hAnsi="Arial" w:cs="Arial"/>
        </w:rPr>
        <w:t xml:space="preserve"> 124 y hace referencia a los </w:t>
      </w:r>
      <w:r w:rsidR="00D14851" w:rsidRPr="00B92499">
        <w:rPr>
          <w:rFonts w:ascii="Arial" w:hAnsi="Arial" w:cs="Arial"/>
        </w:rPr>
        <w:t>órganos político administrativos</w:t>
      </w:r>
      <w:r w:rsidRPr="00B92499">
        <w:rPr>
          <w:rFonts w:ascii="Arial" w:hAnsi="Arial" w:cs="Arial"/>
        </w:rPr>
        <w:t xml:space="preserve">, </w:t>
      </w:r>
      <w:r w:rsidR="00D14851" w:rsidRPr="00B92499">
        <w:rPr>
          <w:rFonts w:ascii="Arial" w:hAnsi="Arial" w:cs="Arial"/>
        </w:rPr>
        <w:t xml:space="preserve">alcaldías </w:t>
      </w:r>
      <w:r w:rsidRPr="00B92499">
        <w:rPr>
          <w:rFonts w:ascii="Arial" w:hAnsi="Arial" w:cs="Arial"/>
        </w:rPr>
        <w:t xml:space="preserve">o </w:t>
      </w:r>
      <w:r w:rsidR="00D14851" w:rsidRPr="00B92499">
        <w:rPr>
          <w:rFonts w:ascii="Arial" w:hAnsi="Arial" w:cs="Arial"/>
        </w:rPr>
        <w:t>demarcaciones territoriales</w:t>
      </w:r>
      <w:r w:rsidRPr="00B92499">
        <w:rPr>
          <w:rFonts w:ascii="Arial" w:hAnsi="Arial" w:cs="Arial"/>
        </w:rPr>
        <w:t xml:space="preserve">; en </w:t>
      </w:r>
      <w:r w:rsidR="00DD643E" w:rsidRPr="00B92499">
        <w:rPr>
          <w:rFonts w:ascii="Arial" w:hAnsi="Arial" w:cs="Arial"/>
        </w:rPr>
        <w:t xml:space="preserve">esta sección </w:t>
      </w:r>
      <w:r w:rsidRPr="00B92499">
        <w:rPr>
          <w:rFonts w:ascii="Arial" w:hAnsi="Arial" w:cs="Arial"/>
        </w:rPr>
        <w:t xml:space="preserve">se contemplan obligaciones consistentes en publicar los indicadores oficiales de los servicios públicos, el calendario con las actividades culturales, deportivas y recreativas, el calendario trimestral sobre el ejercicio del presupuesto, los programas de ayudas y subsidios, los gastos realizados por concepto de asesorías, el padrón de contralores ciudadanos, información respecto a la recolección de basura, el programa de Seguridad Pública, entre otros. </w:t>
      </w:r>
    </w:p>
    <w:p w14:paraId="0C4E27F8" w14:textId="77777777" w:rsidR="005A0F6E" w:rsidRPr="00B92499" w:rsidRDefault="005A0F6E" w:rsidP="002E7D47">
      <w:pPr>
        <w:autoSpaceDE w:val="0"/>
        <w:autoSpaceDN w:val="0"/>
        <w:adjustRightInd w:val="0"/>
        <w:spacing w:line="360" w:lineRule="auto"/>
        <w:contextualSpacing/>
        <w:jc w:val="both"/>
        <w:rPr>
          <w:rFonts w:ascii="Arial" w:hAnsi="Arial" w:cs="Arial"/>
        </w:rPr>
      </w:pPr>
    </w:p>
    <w:p w14:paraId="2D600280" w14:textId="3918A6A3" w:rsidR="005A0F6E" w:rsidRPr="00B92499" w:rsidRDefault="005A0F6E" w:rsidP="002E7D47">
      <w:pPr>
        <w:autoSpaceDE w:val="0"/>
        <w:autoSpaceDN w:val="0"/>
        <w:adjustRightInd w:val="0"/>
        <w:spacing w:line="360" w:lineRule="auto"/>
        <w:contextualSpacing/>
        <w:jc w:val="both"/>
        <w:rPr>
          <w:rFonts w:ascii="Arial" w:hAnsi="Arial" w:cs="Arial"/>
        </w:rPr>
      </w:pPr>
      <w:r w:rsidRPr="00B92499">
        <w:rPr>
          <w:rFonts w:ascii="Arial" w:hAnsi="Arial" w:cs="Arial"/>
        </w:rPr>
        <w:t xml:space="preserve">La tercera sección se integra por el </w:t>
      </w:r>
      <w:r w:rsidR="008F67E4" w:rsidRPr="00B92499">
        <w:rPr>
          <w:rFonts w:ascii="Arial" w:hAnsi="Arial" w:cs="Arial"/>
        </w:rPr>
        <w:t>artículo</w:t>
      </w:r>
      <w:r w:rsidRPr="00B92499">
        <w:rPr>
          <w:rFonts w:ascii="Arial" w:hAnsi="Arial" w:cs="Arial"/>
        </w:rPr>
        <w:t xml:space="preserve"> 125 y hace referencia al Poder Legislativo</w:t>
      </w:r>
      <w:r w:rsidR="00DD643E" w:rsidRPr="00B92499">
        <w:rPr>
          <w:rFonts w:ascii="Arial" w:hAnsi="Arial" w:cs="Arial"/>
        </w:rPr>
        <w:t xml:space="preserve">; </w:t>
      </w:r>
      <w:r w:rsidRPr="00B92499">
        <w:rPr>
          <w:rFonts w:ascii="Arial" w:hAnsi="Arial" w:cs="Arial"/>
        </w:rPr>
        <w:t xml:space="preserve">en </w:t>
      </w:r>
      <w:r w:rsidR="00DD643E" w:rsidRPr="00B92499">
        <w:rPr>
          <w:rFonts w:ascii="Arial" w:hAnsi="Arial" w:cs="Arial"/>
        </w:rPr>
        <w:t xml:space="preserve">esta </w:t>
      </w:r>
      <w:r w:rsidRPr="00B92499">
        <w:rPr>
          <w:rFonts w:ascii="Arial" w:hAnsi="Arial" w:cs="Arial"/>
        </w:rPr>
        <w:t xml:space="preserve">se contemplan </w:t>
      </w:r>
      <w:r w:rsidR="00DD643E" w:rsidRPr="00B92499">
        <w:rPr>
          <w:rFonts w:ascii="Arial" w:hAnsi="Arial" w:cs="Arial"/>
        </w:rPr>
        <w:t xml:space="preserve">las </w:t>
      </w:r>
      <w:r w:rsidRPr="00B92499">
        <w:rPr>
          <w:rFonts w:ascii="Arial" w:hAnsi="Arial" w:cs="Arial"/>
        </w:rPr>
        <w:t xml:space="preserve">obligaciones consistentes en publicar la ficha técnica por cada Diputado y Diputada, la agenda legislativa, gaceta parlamentaria, el orden del día de las Sesiones del Pleno, el Diario de Debates, las versiones estenográficas, las leyes, decretos y acuerdo aprobados, solicitudes de licencias, contrataciones de asesorías y servicios personales, el informe anual del gasto, el padrón de cabilderos, la lista de los integrantes del Comité de Adquisiciones, la descripción general del poder legislativo, entre otros. </w:t>
      </w:r>
    </w:p>
    <w:p w14:paraId="574CC52F" w14:textId="77777777" w:rsidR="005A0F6E" w:rsidRPr="00B92499" w:rsidRDefault="005A0F6E" w:rsidP="002E7D47">
      <w:pPr>
        <w:autoSpaceDE w:val="0"/>
        <w:autoSpaceDN w:val="0"/>
        <w:adjustRightInd w:val="0"/>
        <w:spacing w:line="360" w:lineRule="auto"/>
        <w:contextualSpacing/>
        <w:jc w:val="both"/>
        <w:rPr>
          <w:rFonts w:ascii="Arial" w:hAnsi="Arial" w:cs="Arial"/>
        </w:rPr>
      </w:pPr>
    </w:p>
    <w:p w14:paraId="3735905D" w14:textId="05B73C1A" w:rsidR="005A0F6E" w:rsidRPr="00B92499" w:rsidRDefault="005A0F6E" w:rsidP="002E7D47">
      <w:pPr>
        <w:autoSpaceDE w:val="0"/>
        <w:autoSpaceDN w:val="0"/>
        <w:adjustRightInd w:val="0"/>
        <w:spacing w:line="360" w:lineRule="auto"/>
        <w:contextualSpacing/>
        <w:jc w:val="both"/>
        <w:rPr>
          <w:rFonts w:ascii="Arial" w:hAnsi="Arial" w:cs="Arial"/>
        </w:rPr>
      </w:pPr>
      <w:r w:rsidRPr="00B92499">
        <w:rPr>
          <w:rFonts w:ascii="Arial" w:hAnsi="Arial" w:cs="Arial"/>
        </w:rPr>
        <w:lastRenderedPageBreak/>
        <w:t xml:space="preserve">La sección cuarta versa sobre </w:t>
      </w:r>
      <w:r w:rsidR="00DD643E" w:rsidRPr="00B92499">
        <w:rPr>
          <w:rFonts w:ascii="Arial" w:hAnsi="Arial" w:cs="Arial"/>
        </w:rPr>
        <w:t>las obligaciones d</w:t>
      </w:r>
      <w:r w:rsidRPr="00B92499">
        <w:rPr>
          <w:rFonts w:ascii="Arial" w:hAnsi="Arial" w:cs="Arial"/>
        </w:rPr>
        <w:t>el Poder Judicial</w:t>
      </w:r>
      <w:r w:rsidR="00DD643E" w:rsidRPr="00B92499">
        <w:rPr>
          <w:rFonts w:ascii="Arial" w:hAnsi="Arial" w:cs="Arial"/>
        </w:rPr>
        <w:t xml:space="preserve"> en materia de transparencia</w:t>
      </w:r>
      <w:r w:rsidRPr="00B92499">
        <w:rPr>
          <w:rFonts w:ascii="Arial" w:hAnsi="Arial" w:cs="Arial"/>
        </w:rPr>
        <w:t>, y se integra por</w:t>
      </w:r>
      <w:r w:rsidR="00DD643E" w:rsidRPr="00B92499">
        <w:rPr>
          <w:rFonts w:ascii="Arial" w:hAnsi="Arial" w:cs="Arial"/>
        </w:rPr>
        <w:t xml:space="preserve"> las disposiciones</w:t>
      </w:r>
      <w:r w:rsidRPr="00B92499">
        <w:rPr>
          <w:rFonts w:ascii="Arial" w:hAnsi="Arial" w:cs="Arial"/>
        </w:rPr>
        <w:t xml:space="preserve"> </w:t>
      </w:r>
      <w:r w:rsidR="00DD643E" w:rsidRPr="00B92499">
        <w:rPr>
          <w:rFonts w:ascii="Arial" w:hAnsi="Arial" w:cs="Arial"/>
        </w:rPr>
        <w:t>d</w:t>
      </w:r>
      <w:r w:rsidRPr="00B92499">
        <w:rPr>
          <w:rFonts w:ascii="Arial" w:hAnsi="Arial" w:cs="Arial"/>
        </w:rPr>
        <w:t xml:space="preserve">el </w:t>
      </w:r>
      <w:r w:rsidR="008F67E4" w:rsidRPr="00B92499">
        <w:rPr>
          <w:rFonts w:ascii="Arial" w:hAnsi="Arial" w:cs="Arial"/>
        </w:rPr>
        <w:t>artículo</w:t>
      </w:r>
      <w:r w:rsidRPr="00B92499">
        <w:rPr>
          <w:rFonts w:ascii="Arial" w:hAnsi="Arial" w:cs="Arial"/>
        </w:rPr>
        <w:t xml:space="preserve"> 126, apartado primero, que </w:t>
      </w:r>
      <w:r w:rsidR="00DD643E" w:rsidRPr="00B92499">
        <w:rPr>
          <w:rFonts w:ascii="Arial" w:hAnsi="Arial" w:cs="Arial"/>
        </w:rPr>
        <w:t xml:space="preserve">refiere </w:t>
      </w:r>
      <w:r w:rsidRPr="00B92499">
        <w:rPr>
          <w:rFonts w:ascii="Arial" w:hAnsi="Arial" w:cs="Arial"/>
        </w:rPr>
        <w:t xml:space="preserve">las obligaciones del Tribunal Superior de Justicia y al Tribunal Contencioso Administrativo de la Ciudad de México y, apartado segundo, que contempla al Consejo de la Judicatura de la Ciudad de México. La información que se mandata publicar </w:t>
      </w:r>
      <w:r w:rsidR="00DD643E" w:rsidRPr="00B92499">
        <w:rPr>
          <w:rFonts w:ascii="Arial" w:hAnsi="Arial" w:cs="Arial"/>
        </w:rPr>
        <w:t>incluye</w:t>
      </w:r>
      <w:r w:rsidRPr="00B92499">
        <w:rPr>
          <w:rFonts w:ascii="Arial" w:hAnsi="Arial" w:cs="Arial"/>
        </w:rPr>
        <w:t xml:space="preserve"> la versión estenográfica de las Sesiones del Pleno, votación de los acuerdo</w:t>
      </w:r>
      <w:r w:rsidR="00D424B6" w:rsidRPr="00B92499">
        <w:rPr>
          <w:rFonts w:ascii="Arial" w:hAnsi="Arial" w:cs="Arial"/>
        </w:rPr>
        <w:t>s</w:t>
      </w:r>
      <w:r w:rsidRPr="00B92499">
        <w:rPr>
          <w:rFonts w:ascii="Arial" w:hAnsi="Arial" w:cs="Arial"/>
        </w:rPr>
        <w:t xml:space="preserve"> sometidos a consideración del Pleno, estadística judicial, las resoluciones y expedientes judi</w:t>
      </w:r>
      <w:r w:rsidR="004B6BFD" w:rsidRPr="00B92499">
        <w:rPr>
          <w:rFonts w:ascii="Arial" w:hAnsi="Arial" w:cs="Arial"/>
        </w:rPr>
        <w:t>ciales y administrativos, carrer</w:t>
      </w:r>
      <w:r w:rsidRPr="00B92499">
        <w:rPr>
          <w:rFonts w:ascii="Arial" w:hAnsi="Arial" w:cs="Arial"/>
        </w:rPr>
        <w:t xml:space="preserve">a judicial, convocatorias, registro de aspirante, inventario de los bienes muebles, el boletín judicial, las versiones públicas de la sentencias, entre otros. </w:t>
      </w:r>
    </w:p>
    <w:p w14:paraId="1CF01608" w14:textId="77777777" w:rsidR="005A0F6E" w:rsidRPr="00B92499" w:rsidRDefault="005A0F6E" w:rsidP="002E7D47">
      <w:pPr>
        <w:autoSpaceDE w:val="0"/>
        <w:autoSpaceDN w:val="0"/>
        <w:adjustRightInd w:val="0"/>
        <w:spacing w:line="360" w:lineRule="auto"/>
        <w:contextualSpacing/>
        <w:jc w:val="both"/>
        <w:rPr>
          <w:rFonts w:ascii="Arial" w:hAnsi="Arial" w:cs="Arial"/>
        </w:rPr>
      </w:pPr>
    </w:p>
    <w:p w14:paraId="4189E701" w14:textId="618966F1" w:rsidR="005A0F6E" w:rsidRPr="00B92499" w:rsidRDefault="005A0F6E" w:rsidP="002E7D47">
      <w:pPr>
        <w:autoSpaceDE w:val="0"/>
        <w:autoSpaceDN w:val="0"/>
        <w:adjustRightInd w:val="0"/>
        <w:spacing w:line="360" w:lineRule="auto"/>
        <w:contextualSpacing/>
        <w:jc w:val="both"/>
        <w:rPr>
          <w:rFonts w:ascii="Arial" w:hAnsi="Arial" w:cs="Arial"/>
        </w:rPr>
      </w:pPr>
      <w:r w:rsidRPr="00B92499">
        <w:rPr>
          <w:rFonts w:ascii="Arial" w:hAnsi="Arial" w:cs="Arial"/>
        </w:rPr>
        <w:t xml:space="preserve">La sección quinta se integra por el </w:t>
      </w:r>
      <w:r w:rsidR="008F67E4" w:rsidRPr="00B92499">
        <w:rPr>
          <w:rFonts w:ascii="Arial" w:hAnsi="Arial" w:cs="Arial"/>
        </w:rPr>
        <w:t>artículo</w:t>
      </w:r>
      <w:r w:rsidRPr="00B92499">
        <w:rPr>
          <w:rFonts w:ascii="Arial" w:hAnsi="Arial" w:cs="Arial"/>
        </w:rPr>
        <w:t xml:space="preserve"> 127 y refiere a la Auditoría Superior de la Ciudad de México, las obligaciones que contempla se refieren al Programa General de Auditoría, los resultados de las auditorías concluidas al ejercicio presupuestal, el avance trimestral en la ejecución de su programa general de auditoría, la información relativa a las solventaciones o aclaraciones de los resultados derivados de las auditorías concluidas, entre otros.</w:t>
      </w:r>
    </w:p>
    <w:p w14:paraId="626FF0BF" w14:textId="77777777" w:rsidR="005A0F6E" w:rsidRPr="00B92499" w:rsidRDefault="005A0F6E" w:rsidP="002E7D47">
      <w:pPr>
        <w:autoSpaceDE w:val="0"/>
        <w:autoSpaceDN w:val="0"/>
        <w:adjustRightInd w:val="0"/>
        <w:spacing w:line="360" w:lineRule="auto"/>
        <w:contextualSpacing/>
        <w:jc w:val="both"/>
        <w:rPr>
          <w:rFonts w:ascii="Arial" w:hAnsi="Arial" w:cs="Arial"/>
        </w:rPr>
      </w:pPr>
    </w:p>
    <w:p w14:paraId="7B73B1FD" w14:textId="3168222F" w:rsidR="005A0F6E" w:rsidRPr="00B92499" w:rsidRDefault="005A0F6E" w:rsidP="002E7D47">
      <w:pPr>
        <w:autoSpaceDE w:val="0"/>
        <w:autoSpaceDN w:val="0"/>
        <w:adjustRightInd w:val="0"/>
        <w:spacing w:line="360" w:lineRule="auto"/>
        <w:contextualSpacing/>
        <w:jc w:val="both"/>
        <w:rPr>
          <w:rFonts w:ascii="Arial" w:hAnsi="Arial" w:cs="Arial"/>
        </w:rPr>
      </w:pPr>
      <w:r w:rsidRPr="00B92499">
        <w:rPr>
          <w:rFonts w:ascii="Arial" w:hAnsi="Arial" w:cs="Arial"/>
        </w:rPr>
        <w:t xml:space="preserve">La sección sexta </w:t>
      </w:r>
      <w:r w:rsidR="00D14851" w:rsidRPr="00B92499">
        <w:rPr>
          <w:rFonts w:ascii="Arial" w:hAnsi="Arial" w:cs="Arial"/>
        </w:rPr>
        <w:t>se integra</w:t>
      </w:r>
      <w:r w:rsidRPr="00B92499">
        <w:rPr>
          <w:rFonts w:ascii="Arial" w:hAnsi="Arial" w:cs="Arial"/>
        </w:rPr>
        <w:t xml:space="preserve"> por </w:t>
      </w:r>
      <w:r w:rsidR="00D14851" w:rsidRPr="00B92499">
        <w:rPr>
          <w:rFonts w:ascii="Arial" w:hAnsi="Arial" w:cs="Arial"/>
        </w:rPr>
        <w:t>las disposiciones d</w:t>
      </w:r>
      <w:r w:rsidRPr="00B92499">
        <w:rPr>
          <w:rFonts w:ascii="Arial" w:hAnsi="Arial" w:cs="Arial"/>
        </w:rPr>
        <w:t xml:space="preserve">el </w:t>
      </w:r>
      <w:r w:rsidR="008F67E4" w:rsidRPr="00B92499">
        <w:rPr>
          <w:rFonts w:ascii="Arial" w:hAnsi="Arial" w:cs="Arial"/>
        </w:rPr>
        <w:t>artículo</w:t>
      </w:r>
      <w:r w:rsidRPr="00B92499">
        <w:rPr>
          <w:rFonts w:ascii="Arial" w:hAnsi="Arial" w:cs="Arial"/>
        </w:rPr>
        <w:t xml:space="preserve"> 128</w:t>
      </w:r>
      <w:r w:rsidR="00D14851" w:rsidRPr="00B92499">
        <w:rPr>
          <w:rFonts w:ascii="Arial" w:hAnsi="Arial" w:cs="Arial"/>
        </w:rPr>
        <w:t>,</w:t>
      </w:r>
      <w:r w:rsidRPr="00B92499">
        <w:rPr>
          <w:rFonts w:ascii="Arial" w:hAnsi="Arial" w:cs="Arial"/>
        </w:rPr>
        <w:t xml:space="preserve"> que hace referencia a las </w:t>
      </w:r>
      <w:r w:rsidR="00D14851" w:rsidRPr="00B92499">
        <w:rPr>
          <w:rFonts w:ascii="Arial" w:hAnsi="Arial" w:cs="Arial"/>
        </w:rPr>
        <w:t>autoridades electorales</w:t>
      </w:r>
      <w:r w:rsidRPr="00B92499">
        <w:rPr>
          <w:rFonts w:ascii="Arial" w:hAnsi="Arial" w:cs="Arial"/>
        </w:rPr>
        <w:t>, y contempla los listados de partidos políticos, asociaciones y agrupaciones políticas, la geografía y cartografía electoral, el registro de candidatos a cargos de elección popular, los montos de financiamiento público por actividades ordinarias, de campaña y específicas, informes entregados a la autoridad electoral sobre el origen, monto y destino de los recursos, los resultados y declaraciones de validez de las elecciones, la información detallada de su estado financiero del uso y manejo de su presupuesto, entre otros.</w:t>
      </w:r>
    </w:p>
    <w:p w14:paraId="2080389D" w14:textId="77777777" w:rsidR="005A0F6E" w:rsidRPr="00B92499" w:rsidRDefault="005A0F6E" w:rsidP="002E7D47">
      <w:pPr>
        <w:autoSpaceDE w:val="0"/>
        <w:autoSpaceDN w:val="0"/>
        <w:adjustRightInd w:val="0"/>
        <w:spacing w:line="360" w:lineRule="auto"/>
        <w:contextualSpacing/>
        <w:jc w:val="both"/>
        <w:rPr>
          <w:rFonts w:ascii="Arial" w:hAnsi="Arial" w:cs="Arial"/>
        </w:rPr>
      </w:pPr>
    </w:p>
    <w:p w14:paraId="7208A2B1" w14:textId="111CF855" w:rsidR="005A0F6E" w:rsidRPr="00B92499" w:rsidRDefault="005A0F6E" w:rsidP="002E7D47">
      <w:pPr>
        <w:autoSpaceDE w:val="0"/>
        <w:autoSpaceDN w:val="0"/>
        <w:adjustRightInd w:val="0"/>
        <w:spacing w:line="360" w:lineRule="auto"/>
        <w:contextualSpacing/>
        <w:jc w:val="both"/>
        <w:rPr>
          <w:rFonts w:ascii="Arial" w:hAnsi="Arial" w:cs="Arial"/>
        </w:rPr>
      </w:pPr>
      <w:r w:rsidRPr="00B92499">
        <w:rPr>
          <w:rFonts w:ascii="Arial" w:hAnsi="Arial" w:cs="Arial"/>
        </w:rPr>
        <w:t xml:space="preserve">La séptima sección se integra por </w:t>
      </w:r>
      <w:r w:rsidR="00D14851" w:rsidRPr="00B92499">
        <w:rPr>
          <w:rFonts w:ascii="Arial" w:hAnsi="Arial" w:cs="Arial"/>
        </w:rPr>
        <w:t xml:space="preserve">las disposiciones contempladas en </w:t>
      </w:r>
      <w:r w:rsidRPr="00B92499">
        <w:rPr>
          <w:rFonts w:ascii="Arial" w:hAnsi="Arial" w:cs="Arial"/>
        </w:rPr>
        <w:t xml:space="preserve">los </w:t>
      </w:r>
      <w:r w:rsidR="008F67E4" w:rsidRPr="00B92499">
        <w:rPr>
          <w:rFonts w:ascii="Arial" w:hAnsi="Arial" w:cs="Arial"/>
        </w:rPr>
        <w:t>artículo</w:t>
      </w:r>
      <w:r w:rsidRPr="00B92499">
        <w:rPr>
          <w:rFonts w:ascii="Arial" w:hAnsi="Arial" w:cs="Arial"/>
        </w:rPr>
        <w:t>s 129, 130 y 131. E</w:t>
      </w:r>
      <w:r w:rsidR="004B6BFD" w:rsidRPr="00B92499">
        <w:rPr>
          <w:rFonts w:ascii="Arial" w:hAnsi="Arial" w:cs="Arial"/>
        </w:rPr>
        <w:t>l</w:t>
      </w:r>
      <w:r w:rsidRPr="00B92499">
        <w:rPr>
          <w:rFonts w:ascii="Arial" w:hAnsi="Arial" w:cs="Arial"/>
        </w:rPr>
        <w:t xml:space="preserve"> </w:t>
      </w:r>
      <w:r w:rsidR="008F67E4" w:rsidRPr="00B92499">
        <w:rPr>
          <w:rFonts w:ascii="Arial" w:hAnsi="Arial" w:cs="Arial"/>
        </w:rPr>
        <w:t>artículo</w:t>
      </w:r>
      <w:r w:rsidRPr="00B92499">
        <w:rPr>
          <w:rFonts w:ascii="Arial" w:hAnsi="Arial" w:cs="Arial"/>
        </w:rPr>
        <w:t xml:space="preserve"> 129 </w:t>
      </w:r>
      <w:r w:rsidR="00D14851" w:rsidRPr="00B92499">
        <w:rPr>
          <w:rFonts w:ascii="Arial" w:hAnsi="Arial" w:cs="Arial"/>
        </w:rPr>
        <w:t xml:space="preserve">refiere </w:t>
      </w:r>
      <w:r w:rsidRPr="00B92499">
        <w:rPr>
          <w:rFonts w:ascii="Arial" w:hAnsi="Arial" w:cs="Arial"/>
        </w:rPr>
        <w:t>a las organizaciones políticas</w:t>
      </w:r>
      <w:r w:rsidR="00D14851" w:rsidRPr="00B92499">
        <w:rPr>
          <w:rFonts w:ascii="Arial" w:hAnsi="Arial" w:cs="Arial"/>
        </w:rPr>
        <w:t>,</w:t>
      </w:r>
      <w:r w:rsidRPr="00B92499">
        <w:rPr>
          <w:rFonts w:ascii="Arial" w:hAnsi="Arial" w:cs="Arial"/>
        </w:rPr>
        <w:t xml:space="preserve"> </w:t>
      </w:r>
      <w:r w:rsidR="00D14851" w:rsidRPr="00B92499">
        <w:rPr>
          <w:rFonts w:ascii="Arial" w:hAnsi="Arial" w:cs="Arial"/>
        </w:rPr>
        <w:t xml:space="preserve">y </w:t>
      </w:r>
      <w:r w:rsidRPr="00B92499">
        <w:rPr>
          <w:rFonts w:ascii="Arial" w:hAnsi="Arial" w:cs="Arial"/>
        </w:rPr>
        <w:t xml:space="preserve">contempla el padrón de afiliados o militantes de los partidos políticos, los acuerdos y resoluciones de los órganos de dirección de los partidos políticos, los convenios de participación </w:t>
      </w:r>
      <w:r w:rsidRPr="00B92499">
        <w:rPr>
          <w:rFonts w:ascii="Arial" w:hAnsi="Arial" w:cs="Arial"/>
        </w:rPr>
        <w:lastRenderedPageBreak/>
        <w:t>entre partidos políticos con organizaciones de la sociedad civil, los montos de las cuotas ordinarias y extraordinarias aportadas por sus militantes así como también los montos autorizados de financiamiento privado, el tabulador de remuneraciones que perciben los integrantes de los órganos y de los demás funcionarios partidistas, informes sobre el gasto del financiamiento público ordinario, entre otros. Por su parte</w:t>
      </w:r>
      <w:r w:rsidR="00D14851" w:rsidRPr="00B92499">
        <w:rPr>
          <w:rFonts w:ascii="Arial" w:hAnsi="Arial" w:cs="Arial"/>
        </w:rPr>
        <w:t>,</w:t>
      </w:r>
      <w:r w:rsidRPr="00B92499">
        <w:rPr>
          <w:rFonts w:ascii="Arial" w:hAnsi="Arial" w:cs="Arial"/>
        </w:rPr>
        <w:t xml:space="preserve"> </w:t>
      </w:r>
      <w:r w:rsidR="00D14851" w:rsidRPr="00B92499">
        <w:rPr>
          <w:rFonts w:ascii="Arial" w:hAnsi="Arial" w:cs="Arial"/>
        </w:rPr>
        <w:t>e</w:t>
      </w:r>
      <w:r w:rsidRPr="00B92499">
        <w:rPr>
          <w:rFonts w:ascii="Arial" w:hAnsi="Arial" w:cs="Arial"/>
        </w:rPr>
        <w:t xml:space="preserve">l </w:t>
      </w:r>
      <w:r w:rsidR="008F67E4" w:rsidRPr="00B92499">
        <w:rPr>
          <w:rFonts w:ascii="Arial" w:hAnsi="Arial" w:cs="Arial"/>
        </w:rPr>
        <w:t>artículo</w:t>
      </w:r>
      <w:r w:rsidRPr="00B92499">
        <w:rPr>
          <w:rFonts w:ascii="Arial" w:hAnsi="Arial" w:cs="Arial"/>
        </w:rPr>
        <w:t xml:space="preserve"> 130 menciona que los partidos políticos deberán mantener actualizada la información que se detalle en la legislación electoral local vigente. </w:t>
      </w:r>
      <w:r w:rsidR="00D14851" w:rsidRPr="00B92499">
        <w:rPr>
          <w:rFonts w:ascii="Arial" w:hAnsi="Arial" w:cs="Arial"/>
        </w:rPr>
        <w:t>E</w:t>
      </w:r>
      <w:r w:rsidRPr="00B92499">
        <w:rPr>
          <w:rFonts w:ascii="Arial" w:hAnsi="Arial" w:cs="Arial"/>
        </w:rPr>
        <w:t xml:space="preserve">l </w:t>
      </w:r>
      <w:r w:rsidR="008F67E4" w:rsidRPr="00B92499">
        <w:rPr>
          <w:rFonts w:ascii="Arial" w:hAnsi="Arial" w:cs="Arial"/>
        </w:rPr>
        <w:t>artículo</w:t>
      </w:r>
      <w:r w:rsidRPr="00B92499">
        <w:rPr>
          <w:rFonts w:ascii="Arial" w:hAnsi="Arial" w:cs="Arial"/>
        </w:rPr>
        <w:t xml:space="preserve"> 131 menciona que</w:t>
      </w:r>
      <w:r w:rsidR="00D14851" w:rsidRPr="00B92499">
        <w:rPr>
          <w:rFonts w:ascii="Arial" w:hAnsi="Arial" w:cs="Arial"/>
        </w:rPr>
        <w:t>,</w:t>
      </w:r>
      <w:r w:rsidRPr="00B92499">
        <w:rPr>
          <w:rFonts w:ascii="Arial" w:hAnsi="Arial" w:cs="Arial"/>
        </w:rPr>
        <w:t xml:space="preserve"> en caso de que los partidos políticos, las agrupaciones políticas y las personas morales constituidas en asociación civil que pretendan postular su candidatura independiente incumplan con las obligaciones establecidas </w:t>
      </w:r>
      <w:r w:rsidR="00D14851" w:rsidRPr="00B92499">
        <w:rPr>
          <w:rFonts w:ascii="Arial" w:hAnsi="Arial" w:cs="Arial"/>
        </w:rPr>
        <w:t>en los artículos anteriormente referidos</w:t>
      </w:r>
      <w:r w:rsidRPr="00B92499">
        <w:rPr>
          <w:rFonts w:ascii="Arial" w:hAnsi="Arial" w:cs="Arial"/>
        </w:rPr>
        <w:t xml:space="preserve">, el Instituto dará vista al </w:t>
      </w:r>
      <w:r w:rsidR="00D14851" w:rsidRPr="00B92499">
        <w:rPr>
          <w:rFonts w:ascii="Arial" w:hAnsi="Arial" w:cs="Arial"/>
        </w:rPr>
        <w:t xml:space="preserve">órgano electoral local </w:t>
      </w:r>
      <w:r w:rsidRPr="00B92499">
        <w:rPr>
          <w:rFonts w:ascii="Arial" w:hAnsi="Arial" w:cs="Arial"/>
        </w:rPr>
        <w:t xml:space="preserve">para que determine las acciones o sanciones procedentes. </w:t>
      </w:r>
    </w:p>
    <w:p w14:paraId="50566154" w14:textId="77777777" w:rsidR="005A0F6E" w:rsidRPr="00B92499" w:rsidRDefault="005A0F6E" w:rsidP="002E7D47">
      <w:pPr>
        <w:autoSpaceDE w:val="0"/>
        <w:autoSpaceDN w:val="0"/>
        <w:adjustRightInd w:val="0"/>
        <w:spacing w:line="360" w:lineRule="auto"/>
        <w:contextualSpacing/>
        <w:jc w:val="both"/>
        <w:rPr>
          <w:rFonts w:ascii="Arial" w:hAnsi="Arial" w:cs="Arial"/>
        </w:rPr>
      </w:pPr>
    </w:p>
    <w:p w14:paraId="1CE0A544" w14:textId="6F70E792" w:rsidR="005A0F6E" w:rsidRPr="00B92499" w:rsidRDefault="005A0F6E" w:rsidP="002E7D47">
      <w:pPr>
        <w:autoSpaceDE w:val="0"/>
        <w:autoSpaceDN w:val="0"/>
        <w:adjustRightInd w:val="0"/>
        <w:spacing w:line="360" w:lineRule="auto"/>
        <w:contextualSpacing/>
        <w:jc w:val="both"/>
        <w:rPr>
          <w:rFonts w:ascii="Arial" w:hAnsi="Arial" w:cs="Arial"/>
        </w:rPr>
      </w:pPr>
      <w:r w:rsidRPr="00B92499">
        <w:rPr>
          <w:rFonts w:ascii="Arial" w:hAnsi="Arial" w:cs="Arial"/>
        </w:rPr>
        <w:t xml:space="preserve">La sección octava se </w:t>
      </w:r>
      <w:r w:rsidR="00D14851" w:rsidRPr="00B92499">
        <w:rPr>
          <w:rFonts w:ascii="Arial" w:hAnsi="Arial" w:cs="Arial"/>
        </w:rPr>
        <w:t xml:space="preserve">basa en el </w:t>
      </w:r>
      <w:r w:rsidR="008F67E4" w:rsidRPr="00B92499">
        <w:rPr>
          <w:rFonts w:ascii="Arial" w:hAnsi="Arial" w:cs="Arial"/>
        </w:rPr>
        <w:t>artículo</w:t>
      </w:r>
      <w:r w:rsidRPr="00B92499">
        <w:rPr>
          <w:rFonts w:ascii="Arial" w:hAnsi="Arial" w:cs="Arial"/>
        </w:rPr>
        <w:t xml:space="preserve"> 132</w:t>
      </w:r>
      <w:r w:rsidR="00D14851" w:rsidRPr="00B92499">
        <w:rPr>
          <w:rFonts w:ascii="Arial" w:hAnsi="Arial" w:cs="Arial"/>
        </w:rPr>
        <w:t xml:space="preserve">, el cual </w:t>
      </w:r>
      <w:r w:rsidRPr="00B92499">
        <w:rPr>
          <w:rFonts w:ascii="Arial" w:hAnsi="Arial" w:cs="Arial"/>
        </w:rPr>
        <w:t xml:space="preserve">refiere a la Comisión de Derechos Humanos; se mandata </w:t>
      </w:r>
      <w:r w:rsidR="00D14851" w:rsidRPr="00B92499">
        <w:rPr>
          <w:rFonts w:ascii="Arial" w:hAnsi="Arial" w:cs="Arial"/>
        </w:rPr>
        <w:t xml:space="preserve">en ese artículo </w:t>
      </w:r>
      <w:r w:rsidRPr="00B92499">
        <w:rPr>
          <w:rFonts w:ascii="Arial" w:hAnsi="Arial" w:cs="Arial"/>
        </w:rPr>
        <w:t>la publicación del listado y versiones públicas de las recomendaciones emitidas, las quejas y denuncias e impugnaciones concluidas, estadísticas sobre las quejas presentadas, acuerdos de conciliación, listado de medi</w:t>
      </w:r>
      <w:r w:rsidR="00327FB1" w:rsidRPr="00B92499">
        <w:rPr>
          <w:rFonts w:ascii="Arial" w:hAnsi="Arial" w:cs="Arial"/>
        </w:rPr>
        <w:t>d</w:t>
      </w:r>
      <w:r w:rsidRPr="00B92499">
        <w:rPr>
          <w:rFonts w:ascii="Arial" w:hAnsi="Arial" w:cs="Arial"/>
        </w:rPr>
        <w:t xml:space="preserve">as precautorias, toda información con la que cuente relacionada con hechos constitutivos de violaciones graves a los derechos humanos, información de acciones y resultados respecto de la defensa, promoción y protección de los derechos humanos, estado que guardan los derechos humanos en el sistema penitenciario, entre otros. </w:t>
      </w:r>
    </w:p>
    <w:p w14:paraId="7130DBB2" w14:textId="77777777" w:rsidR="005A0F6E" w:rsidRPr="00B92499" w:rsidRDefault="005A0F6E" w:rsidP="002E7D47">
      <w:pPr>
        <w:autoSpaceDE w:val="0"/>
        <w:autoSpaceDN w:val="0"/>
        <w:adjustRightInd w:val="0"/>
        <w:spacing w:line="360" w:lineRule="auto"/>
        <w:contextualSpacing/>
        <w:jc w:val="both"/>
        <w:rPr>
          <w:rFonts w:ascii="Arial" w:hAnsi="Arial" w:cs="Arial"/>
        </w:rPr>
      </w:pPr>
    </w:p>
    <w:p w14:paraId="7A692C21" w14:textId="5341E758" w:rsidR="005A0F6E" w:rsidRPr="00B92499" w:rsidRDefault="005A0F6E" w:rsidP="002E7D47">
      <w:pPr>
        <w:autoSpaceDE w:val="0"/>
        <w:autoSpaceDN w:val="0"/>
        <w:adjustRightInd w:val="0"/>
        <w:spacing w:line="360" w:lineRule="auto"/>
        <w:contextualSpacing/>
        <w:jc w:val="both"/>
        <w:rPr>
          <w:rFonts w:ascii="Arial" w:hAnsi="Arial" w:cs="Arial"/>
        </w:rPr>
      </w:pPr>
      <w:r w:rsidRPr="00B92499">
        <w:rPr>
          <w:rFonts w:ascii="Arial" w:hAnsi="Arial" w:cs="Arial"/>
        </w:rPr>
        <w:t xml:space="preserve">La sección novena se conforma por </w:t>
      </w:r>
      <w:r w:rsidR="00D14851" w:rsidRPr="00B92499">
        <w:rPr>
          <w:rFonts w:ascii="Arial" w:hAnsi="Arial" w:cs="Arial"/>
        </w:rPr>
        <w:t>las disposiciones d</w:t>
      </w:r>
      <w:r w:rsidRPr="00B92499">
        <w:rPr>
          <w:rFonts w:ascii="Arial" w:hAnsi="Arial" w:cs="Arial"/>
        </w:rPr>
        <w:t xml:space="preserve">el </w:t>
      </w:r>
      <w:r w:rsidR="008F67E4" w:rsidRPr="00B92499">
        <w:rPr>
          <w:rFonts w:ascii="Arial" w:hAnsi="Arial" w:cs="Arial"/>
        </w:rPr>
        <w:t>artículo</w:t>
      </w:r>
      <w:r w:rsidRPr="00B92499">
        <w:rPr>
          <w:rFonts w:ascii="Arial" w:hAnsi="Arial" w:cs="Arial"/>
        </w:rPr>
        <w:t xml:space="preserve"> 133 y hace referencia al Instituto de Transparencia, Acceso a la Información Pública, Protección de Datos Personales y Rendición de Cuentas de la Ciudad de México</w:t>
      </w:r>
      <w:r w:rsidR="00D14851" w:rsidRPr="00B92499">
        <w:rPr>
          <w:rFonts w:ascii="Arial" w:hAnsi="Arial" w:cs="Arial"/>
        </w:rPr>
        <w:t xml:space="preserve">. En esta sección </w:t>
      </w:r>
      <w:r w:rsidRPr="00B92499">
        <w:rPr>
          <w:rFonts w:ascii="Arial" w:hAnsi="Arial" w:cs="Arial"/>
        </w:rPr>
        <w:t>se contempla que</w:t>
      </w:r>
      <w:r w:rsidR="00D14851" w:rsidRPr="00B92499">
        <w:rPr>
          <w:rFonts w:ascii="Arial" w:hAnsi="Arial" w:cs="Arial"/>
        </w:rPr>
        <w:t>,</w:t>
      </w:r>
      <w:r w:rsidRPr="00B92499">
        <w:rPr>
          <w:rFonts w:ascii="Arial" w:hAnsi="Arial" w:cs="Arial"/>
        </w:rPr>
        <w:t xml:space="preserve"> además de lo señalado en las obligaciones de transparencia comunes, el Instituto deberá poner a disposición del público información referente a la relación de observaciones y resoluciones emitidas y el seguimiento a cada una de ellas, los criterios orientadores que deriven de sus resoluciones, estadísticas e indicadores sobre los medios de impugnación, los </w:t>
      </w:r>
      <w:r w:rsidRPr="00B92499">
        <w:rPr>
          <w:rFonts w:ascii="Arial" w:hAnsi="Arial" w:cs="Arial"/>
        </w:rPr>
        <w:lastRenderedPageBreak/>
        <w:t xml:space="preserve">estudios que apoyan la resolución de los recursos de revisión, estadísticas sobre las solicitudes de información y datos personales, los resultados de la evaluación del cumplimiento de la Ley a los </w:t>
      </w:r>
      <w:r w:rsidR="008710F6" w:rsidRPr="00B92499">
        <w:rPr>
          <w:rFonts w:ascii="Arial" w:hAnsi="Arial" w:cs="Arial"/>
        </w:rPr>
        <w:t>sujeto</w:t>
      </w:r>
      <w:r w:rsidR="00EB5F64" w:rsidRPr="00B92499">
        <w:rPr>
          <w:rFonts w:ascii="Arial" w:hAnsi="Arial" w:cs="Arial"/>
        </w:rPr>
        <w:t xml:space="preserve">s </w:t>
      </w:r>
      <w:r w:rsidR="008710F6" w:rsidRPr="00B92499">
        <w:rPr>
          <w:rFonts w:ascii="Arial" w:hAnsi="Arial" w:cs="Arial"/>
        </w:rPr>
        <w:t>obligado</w:t>
      </w:r>
      <w:r w:rsidR="00EB5F64" w:rsidRPr="00B92499">
        <w:rPr>
          <w:rFonts w:ascii="Arial" w:hAnsi="Arial" w:cs="Arial"/>
        </w:rPr>
        <w:t>s</w:t>
      </w:r>
      <w:r w:rsidRPr="00B92499">
        <w:rPr>
          <w:rFonts w:ascii="Arial" w:hAnsi="Arial" w:cs="Arial"/>
        </w:rPr>
        <w:t xml:space="preserve">, número de quejas, denuncias y recursos de revisión dirigidos a cada uno de los </w:t>
      </w:r>
      <w:r w:rsidR="008710F6" w:rsidRPr="00B92499">
        <w:rPr>
          <w:rFonts w:ascii="Arial" w:hAnsi="Arial" w:cs="Arial"/>
        </w:rPr>
        <w:t>sujeto</w:t>
      </w:r>
      <w:r w:rsidR="00EB5F64" w:rsidRPr="00B92499">
        <w:rPr>
          <w:rFonts w:ascii="Arial" w:hAnsi="Arial" w:cs="Arial"/>
        </w:rPr>
        <w:t xml:space="preserve">s </w:t>
      </w:r>
      <w:r w:rsidR="008710F6" w:rsidRPr="00B92499">
        <w:rPr>
          <w:rFonts w:ascii="Arial" w:hAnsi="Arial" w:cs="Arial"/>
        </w:rPr>
        <w:t>obligado</w:t>
      </w:r>
      <w:r w:rsidR="00EB5F64" w:rsidRPr="00B92499">
        <w:rPr>
          <w:rFonts w:ascii="Arial" w:hAnsi="Arial" w:cs="Arial"/>
        </w:rPr>
        <w:t>s</w:t>
      </w:r>
      <w:r w:rsidRPr="00B92499">
        <w:rPr>
          <w:rFonts w:ascii="Arial" w:hAnsi="Arial" w:cs="Arial"/>
        </w:rPr>
        <w:t>, entre otros</w:t>
      </w:r>
      <w:r w:rsidR="00D14851" w:rsidRPr="00B92499">
        <w:rPr>
          <w:rFonts w:ascii="Arial" w:hAnsi="Arial" w:cs="Arial"/>
        </w:rPr>
        <w:t xml:space="preserve"> elementos</w:t>
      </w:r>
      <w:r w:rsidRPr="00B92499">
        <w:rPr>
          <w:rFonts w:ascii="Arial" w:hAnsi="Arial" w:cs="Arial"/>
        </w:rPr>
        <w:t>.</w:t>
      </w:r>
    </w:p>
    <w:p w14:paraId="2FCEE08E" w14:textId="77777777" w:rsidR="005A0F6E" w:rsidRPr="00B92499" w:rsidRDefault="005A0F6E" w:rsidP="002E7D47">
      <w:pPr>
        <w:autoSpaceDE w:val="0"/>
        <w:autoSpaceDN w:val="0"/>
        <w:adjustRightInd w:val="0"/>
        <w:spacing w:line="360" w:lineRule="auto"/>
        <w:contextualSpacing/>
        <w:jc w:val="both"/>
        <w:rPr>
          <w:rFonts w:ascii="Arial" w:hAnsi="Arial" w:cs="Arial"/>
        </w:rPr>
      </w:pPr>
    </w:p>
    <w:p w14:paraId="2E897716" w14:textId="58E464FC" w:rsidR="005A0F6E" w:rsidRPr="00B92499" w:rsidRDefault="005A0F6E" w:rsidP="002E7D47">
      <w:pPr>
        <w:autoSpaceDE w:val="0"/>
        <w:autoSpaceDN w:val="0"/>
        <w:adjustRightInd w:val="0"/>
        <w:spacing w:line="360" w:lineRule="auto"/>
        <w:contextualSpacing/>
        <w:jc w:val="both"/>
        <w:rPr>
          <w:rFonts w:ascii="Arial" w:hAnsi="Arial" w:cs="Arial"/>
        </w:rPr>
      </w:pPr>
      <w:r w:rsidRPr="00B92499">
        <w:rPr>
          <w:rFonts w:ascii="Arial" w:hAnsi="Arial" w:cs="Arial"/>
        </w:rPr>
        <w:t xml:space="preserve">La sección décima </w:t>
      </w:r>
      <w:r w:rsidR="00D14851" w:rsidRPr="00B92499">
        <w:rPr>
          <w:rFonts w:ascii="Arial" w:hAnsi="Arial" w:cs="Arial"/>
        </w:rPr>
        <w:t>se integra con los elementos previstos por el</w:t>
      </w:r>
      <w:r w:rsidRPr="00B92499">
        <w:rPr>
          <w:rFonts w:ascii="Arial" w:hAnsi="Arial" w:cs="Arial"/>
        </w:rPr>
        <w:t xml:space="preserve"> </w:t>
      </w:r>
      <w:r w:rsidR="008F67E4" w:rsidRPr="00B92499">
        <w:rPr>
          <w:rFonts w:ascii="Arial" w:hAnsi="Arial" w:cs="Arial"/>
        </w:rPr>
        <w:t>artículo</w:t>
      </w:r>
      <w:r w:rsidRPr="00B92499">
        <w:rPr>
          <w:rFonts w:ascii="Arial" w:hAnsi="Arial" w:cs="Arial"/>
        </w:rPr>
        <w:t xml:space="preserve"> 134</w:t>
      </w:r>
      <w:r w:rsidR="00D14851" w:rsidRPr="00B92499">
        <w:rPr>
          <w:rFonts w:ascii="Arial" w:hAnsi="Arial" w:cs="Arial"/>
        </w:rPr>
        <w:t xml:space="preserve">, mismo que refiere </w:t>
      </w:r>
      <w:r w:rsidRPr="00B92499">
        <w:rPr>
          <w:rFonts w:ascii="Arial" w:hAnsi="Arial" w:cs="Arial"/>
        </w:rPr>
        <w:t xml:space="preserve">a la Universidad </w:t>
      </w:r>
      <w:r w:rsidR="00D14851" w:rsidRPr="00B92499">
        <w:rPr>
          <w:rFonts w:ascii="Arial" w:hAnsi="Arial" w:cs="Arial"/>
        </w:rPr>
        <w:t xml:space="preserve">Autónoma </w:t>
      </w:r>
      <w:r w:rsidRPr="00B92499">
        <w:rPr>
          <w:rFonts w:ascii="Arial" w:hAnsi="Arial" w:cs="Arial"/>
        </w:rPr>
        <w:t>de la Ciudad de México</w:t>
      </w:r>
      <w:r w:rsidR="00D14851" w:rsidRPr="00B92499">
        <w:rPr>
          <w:rFonts w:ascii="Arial" w:hAnsi="Arial" w:cs="Arial"/>
        </w:rPr>
        <w:t>. E</w:t>
      </w:r>
      <w:r w:rsidRPr="00B92499">
        <w:rPr>
          <w:rFonts w:ascii="Arial" w:hAnsi="Arial" w:cs="Arial"/>
        </w:rPr>
        <w:t>n esta sección se mandata la publicación de los planes y programas de estudio, los procedimientos de admisión, indicadores de resultados, lista de profesores con licencia, remuneración de los profesores, listados de becas y apoyos, evaluación del cuerpo docente, calendario del ciclo escolar, entre otros</w:t>
      </w:r>
      <w:r w:rsidR="00D14851" w:rsidRPr="00B92499">
        <w:rPr>
          <w:rFonts w:ascii="Arial" w:hAnsi="Arial" w:cs="Arial"/>
        </w:rPr>
        <w:t xml:space="preserve"> aspectos</w:t>
      </w:r>
      <w:r w:rsidRPr="00B92499">
        <w:rPr>
          <w:rFonts w:ascii="Arial" w:hAnsi="Arial" w:cs="Arial"/>
        </w:rPr>
        <w:t xml:space="preserve">. </w:t>
      </w:r>
    </w:p>
    <w:p w14:paraId="6AAA561D" w14:textId="77777777" w:rsidR="005A0F6E" w:rsidRPr="00B92499" w:rsidRDefault="005A0F6E" w:rsidP="002E7D47">
      <w:pPr>
        <w:autoSpaceDE w:val="0"/>
        <w:autoSpaceDN w:val="0"/>
        <w:adjustRightInd w:val="0"/>
        <w:spacing w:line="360" w:lineRule="auto"/>
        <w:contextualSpacing/>
        <w:jc w:val="both"/>
        <w:rPr>
          <w:rFonts w:ascii="Arial" w:hAnsi="Arial" w:cs="Arial"/>
        </w:rPr>
      </w:pPr>
    </w:p>
    <w:p w14:paraId="7B15BAC3" w14:textId="318EC64C" w:rsidR="005A0F6E" w:rsidRPr="00B92499" w:rsidRDefault="005A0F6E" w:rsidP="002E7D47">
      <w:pPr>
        <w:autoSpaceDE w:val="0"/>
        <w:autoSpaceDN w:val="0"/>
        <w:adjustRightInd w:val="0"/>
        <w:spacing w:line="360" w:lineRule="auto"/>
        <w:contextualSpacing/>
        <w:jc w:val="both"/>
        <w:rPr>
          <w:rFonts w:ascii="Arial" w:hAnsi="Arial" w:cs="Arial"/>
        </w:rPr>
      </w:pPr>
      <w:r w:rsidRPr="00B92499">
        <w:rPr>
          <w:rFonts w:ascii="Arial" w:hAnsi="Arial" w:cs="Arial"/>
        </w:rPr>
        <w:t xml:space="preserve">La sección </w:t>
      </w:r>
      <w:r w:rsidR="00D14851" w:rsidRPr="00B92499">
        <w:rPr>
          <w:rFonts w:ascii="Arial" w:hAnsi="Arial" w:cs="Arial"/>
        </w:rPr>
        <w:t>decimo</w:t>
      </w:r>
      <w:r w:rsidRPr="00B92499">
        <w:rPr>
          <w:rFonts w:ascii="Arial" w:hAnsi="Arial" w:cs="Arial"/>
        </w:rPr>
        <w:t xml:space="preserve">primera se conforma por </w:t>
      </w:r>
      <w:r w:rsidR="00D14851" w:rsidRPr="00B92499">
        <w:rPr>
          <w:rFonts w:ascii="Arial" w:hAnsi="Arial" w:cs="Arial"/>
        </w:rPr>
        <w:t xml:space="preserve">las disposiciones previstas en </w:t>
      </w:r>
      <w:r w:rsidRPr="00B92499">
        <w:rPr>
          <w:rFonts w:ascii="Arial" w:hAnsi="Arial" w:cs="Arial"/>
        </w:rPr>
        <w:t xml:space="preserve">los </w:t>
      </w:r>
      <w:r w:rsidR="008F67E4" w:rsidRPr="00B92499">
        <w:rPr>
          <w:rFonts w:ascii="Arial" w:hAnsi="Arial" w:cs="Arial"/>
        </w:rPr>
        <w:t>artículo</w:t>
      </w:r>
      <w:r w:rsidRPr="00B92499">
        <w:rPr>
          <w:rFonts w:ascii="Arial" w:hAnsi="Arial" w:cs="Arial"/>
        </w:rPr>
        <w:t xml:space="preserve">s 135 y 136, los cuales </w:t>
      </w:r>
      <w:r w:rsidR="00D14851" w:rsidRPr="00B92499">
        <w:rPr>
          <w:rFonts w:ascii="Arial" w:hAnsi="Arial" w:cs="Arial"/>
        </w:rPr>
        <w:t xml:space="preserve">refieren </w:t>
      </w:r>
      <w:r w:rsidRPr="00B92499">
        <w:rPr>
          <w:rFonts w:ascii="Arial" w:hAnsi="Arial" w:cs="Arial"/>
        </w:rPr>
        <w:t xml:space="preserve">a los Fideicomisos, Fondos Públicos y </w:t>
      </w:r>
      <w:r w:rsidR="00D14851" w:rsidRPr="00B92499">
        <w:rPr>
          <w:rFonts w:ascii="Arial" w:hAnsi="Arial" w:cs="Arial"/>
        </w:rPr>
        <w:t>otros análogos</w:t>
      </w:r>
      <w:r w:rsidRPr="00B92499">
        <w:rPr>
          <w:rFonts w:ascii="Arial" w:hAnsi="Arial" w:cs="Arial"/>
        </w:rPr>
        <w:t>. En el 135 se contempla el nombre de la persona servidora pública y de la persona física o moral que represente al fideicomitente, al fiduciario y al fideicomisario, la unidad administrativa responsable del fideicomiso, monto total, el uso y destino del patrimonio fideicomitido, el padrón de beneficiarios en su caso, los contratos de obras, adquisiciones y servicios que involucren recursos públicos de fideicomiso, reglas de operación y normatividad interna del fideicomiso o fondo público, impacto social derivado del cumplimiento de las acciones que realiza el fideicomiso o fondo público, entre otros.</w:t>
      </w:r>
      <w:r w:rsidR="00D14851" w:rsidRPr="00B92499">
        <w:rPr>
          <w:rFonts w:ascii="Arial" w:hAnsi="Arial" w:cs="Arial"/>
        </w:rPr>
        <w:t xml:space="preserve"> </w:t>
      </w:r>
      <w:r w:rsidRPr="00B92499">
        <w:rPr>
          <w:rFonts w:ascii="Arial" w:hAnsi="Arial" w:cs="Arial"/>
        </w:rPr>
        <w:t>Por otra parte</w:t>
      </w:r>
      <w:r w:rsidR="00D424B6" w:rsidRPr="00B92499">
        <w:rPr>
          <w:rFonts w:ascii="Arial" w:hAnsi="Arial" w:cs="Arial"/>
        </w:rPr>
        <w:t>,</w:t>
      </w:r>
      <w:r w:rsidRPr="00B92499">
        <w:rPr>
          <w:rFonts w:ascii="Arial" w:hAnsi="Arial" w:cs="Arial"/>
        </w:rPr>
        <w:t xml:space="preserve"> el </w:t>
      </w:r>
      <w:r w:rsidR="008F67E4" w:rsidRPr="00B92499">
        <w:rPr>
          <w:rFonts w:ascii="Arial" w:hAnsi="Arial" w:cs="Arial"/>
        </w:rPr>
        <w:t>artículo</w:t>
      </w:r>
      <w:r w:rsidRPr="00B92499">
        <w:rPr>
          <w:rFonts w:ascii="Arial" w:hAnsi="Arial" w:cs="Arial"/>
        </w:rPr>
        <w:t xml:space="preserve"> 136 indica que con relación a los contratos de mandato y otros actos jurídicos con los cuales los </w:t>
      </w:r>
      <w:r w:rsidR="008710F6" w:rsidRPr="00B92499">
        <w:rPr>
          <w:rFonts w:ascii="Arial" w:hAnsi="Arial" w:cs="Arial"/>
        </w:rPr>
        <w:t>sujeto</w:t>
      </w:r>
      <w:r w:rsidR="00EB5F64" w:rsidRPr="00B92499">
        <w:rPr>
          <w:rFonts w:ascii="Arial" w:hAnsi="Arial" w:cs="Arial"/>
        </w:rPr>
        <w:t xml:space="preserve">s </w:t>
      </w:r>
      <w:r w:rsidR="008710F6" w:rsidRPr="00B92499">
        <w:rPr>
          <w:rFonts w:ascii="Arial" w:hAnsi="Arial" w:cs="Arial"/>
        </w:rPr>
        <w:t>obligado</w:t>
      </w:r>
      <w:r w:rsidR="00EB5F64" w:rsidRPr="00B92499">
        <w:rPr>
          <w:rFonts w:ascii="Arial" w:hAnsi="Arial" w:cs="Arial"/>
        </w:rPr>
        <w:t>s</w:t>
      </w:r>
      <w:r w:rsidRPr="00B92499">
        <w:rPr>
          <w:rFonts w:ascii="Arial" w:hAnsi="Arial" w:cs="Arial"/>
        </w:rPr>
        <w:t xml:space="preserve"> otorguen representación jurídica, los </w:t>
      </w:r>
      <w:r w:rsidR="008710F6" w:rsidRPr="00B92499">
        <w:rPr>
          <w:rFonts w:ascii="Arial" w:hAnsi="Arial" w:cs="Arial"/>
        </w:rPr>
        <w:t>sujeto</w:t>
      </w:r>
      <w:r w:rsidR="00EB5F64" w:rsidRPr="00B92499">
        <w:rPr>
          <w:rFonts w:ascii="Arial" w:hAnsi="Arial" w:cs="Arial"/>
        </w:rPr>
        <w:t xml:space="preserve">s </w:t>
      </w:r>
      <w:r w:rsidR="008710F6" w:rsidRPr="00B92499">
        <w:rPr>
          <w:rFonts w:ascii="Arial" w:hAnsi="Arial" w:cs="Arial"/>
        </w:rPr>
        <w:t>obligado</w:t>
      </w:r>
      <w:r w:rsidR="00EB5F64" w:rsidRPr="00B92499">
        <w:rPr>
          <w:rFonts w:ascii="Arial" w:hAnsi="Arial" w:cs="Arial"/>
        </w:rPr>
        <w:t>s</w:t>
      </w:r>
      <w:r w:rsidRPr="00B92499">
        <w:rPr>
          <w:rFonts w:ascii="Arial" w:hAnsi="Arial" w:cs="Arial"/>
        </w:rPr>
        <w:t xml:space="preserve"> deberán mantener actualizada y para su consulta directa, cualquier tipo de instrucciones que el mandante exprese al mandatario o cualquier tipo de instrucciones relacionadas con el ejercicio de la facultad de representar, otorgada mediante otro acto jurídico.</w:t>
      </w:r>
    </w:p>
    <w:p w14:paraId="0BAAC1D4" w14:textId="77777777" w:rsidR="005A0F6E" w:rsidRPr="00B92499" w:rsidRDefault="005A0F6E" w:rsidP="002E7D47">
      <w:pPr>
        <w:autoSpaceDE w:val="0"/>
        <w:autoSpaceDN w:val="0"/>
        <w:adjustRightInd w:val="0"/>
        <w:spacing w:line="360" w:lineRule="auto"/>
        <w:contextualSpacing/>
        <w:jc w:val="both"/>
        <w:rPr>
          <w:rFonts w:ascii="Arial" w:hAnsi="Arial" w:cs="Arial"/>
        </w:rPr>
      </w:pPr>
    </w:p>
    <w:p w14:paraId="30DAA694" w14:textId="4DBFCB61" w:rsidR="005A0F6E" w:rsidRPr="00B92499" w:rsidRDefault="005A0F6E" w:rsidP="002E7D47">
      <w:pPr>
        <w:autoSpaceDE w:val="0"/>
        <w:autoSpaceDN w:val="0"/>
        <w:adjustRightInd w:val="0"/>
        <w:spacing w:line="360" w:lineRule="auto"/>
        <w:contextualSpacing/>
        <w:jc w:val="both"/>
        <w:rPr>
          <w:rFonts w:ascii="Arial" w:hAnsi="Arial" w:cs="Arial"/>
        </w:rPr>
      </w:pPr>
      <w:r w:rsidRPr="00B92499">
        <w:rPr>
          <w:rFonts w:ascii="Arial" w:hAnsi="Arial" w:cs="Arial"/>
        </w:rPr>
        <w:t>La sección d</w:t>
      </w:r>
      <w:r w:rsidR="00D14851" w:rsidRPr="00B92499">
        <w:rPr>
          <w:rFonts w:ascii="Arial" w:hAnsi="Arial" w:cs="Arial"/>
        </w:rPr>
        <w:t>e</w:t>
      </w:r>
      <w:r w:rsidRPr="00B92499">
        <w:rPr>
          <w:rFonts w:ascii="Arial" w:hAnsi="Arial" w:cs="Arial"/>
        </w:rPr>
        <w:t xml:space="preserve">cimosegunda se conforma por el </w:t>
      </w:r>
      <w:r w:rsidR="008F67E4" w:rsidRPr="00B92499">
        <w:rPr>
          <w:rFonts w:ascii="Arial" w:hAnsi="Arial" w:cs="Arial"/>
        </w:rPr>
        <w:t>artículo</w:t>
      </w:r>
      <w:r w:rsidRPr="00B92499">
        <w:rPr>
          <w:rFonts w:ascii="Arial" w:hAnsi="Arial" w:cs="Arial"/>
        </w:rPr>
        <w:t xml:space="preserve"> 137 y hace referencia a la Junta Local de Conciliación y Arbitraje, en ésta se contemplan obligaciones </w:t>
      </w:r>
      <w:r w:rsidRPr="00B92499">
        <w:rPr>
          <w:rFonts w:ascii="Arial" w:hAnsi="Arial" w:cs="Arial"/>
        </w:rPr>
        <w:lastRenderedPageBreak/>
        <w:t xml:space="preserve">consistentes en publicar la relación de contratos colectivos de trabajo, los documentos de registro de los sindicatos. </w:t>
      </w:r>
    </w:p>
    <w:p w14:paraId="4F3536F5" w14:textId="77777777" w:rsidR="005A0F6E" w:rsidRPr="00B92499" w:rsidRDefault="005A0F6E" w:rsidP="002E7D47">
      <w:pPr>
        <w:autoSpaceDE w:val="0"/>
        <w:autoSpaceDN w:val="0"/>
        <w:adjustRightInd w:val="0"/>
        <w:spacing w:line="360" w:lineRule="auto"/>
        <w:contextualSpacing/>
        <w:jc w:val="both"/>
        <w:rPr>
          <w:rFonts w:ascii="Arial" w:hAnsi="Arial" w:cs="Arial"/>
        </w:rPr>
      </w:pPr>
    </w:p>
    <w:p w14:paraId="478A41E0" w14:textId="209FAE9E" w:rsidR="005A0F6E" w:rsidRPr="00B92499" w:rsidRDefault="005A0F6E" w:rsidP="002E7D47">
      <w:pPr>
        <w:autoSpaceDE w:val="0"/>
        <w:autoSpaceDN w:val="0"/>
        <w:adjustRightInd w:val="0"/>
        <w:spacing w:line="360" w:lineRule="auto"/>
        <w:contextualSpacing/>
        <w:jc w:val="both"/>
        <w:rPr>
          <w:rFonts w:ascii="Arial" w:hAnsi="Arial" w:cs="Arial"/>
        </w:rPr>
      </w:pPr>
      <w:r w:rsidRPr="00B92499">
        <w:rPr>
          <w:rFonts w:ascii="Arial" w:hAnsi="Arial" w:cs="Arial"/>
        </w:rPr>
        <w:t xml:space="preserve">La sección </w:t>
      </w:r>
      <w:r w:rsidR="00D14851" w:rsidRPr="00B92499">
        <w:rPr>
          <w:rFonts w:ascii="Arial" w:hAnsi="Arial" w:cs="Arial"/>
        </w:rPr>
        <w:t>decimo</w:t>
      </w:r>
      <w:r w:rsidRPr="00B92499">
        <w:rPr>
          <w:rFonts w:ascii="Arial" w:hAnsi="Arial" w:cs="Arial"/>
        </w:rPr>
        <w:t xml:space="preserve">tercera hace referencia a los Sindicatos y se integra por </w:t>
      </w:r>
      <w:r w:rsidR="00D14851" w:rsidRPr="00B92499">
        <w:rPr>
          <w:rFonts w:ascii="Arial" w:hAnsi="Arial" w:cs="Arial"/>
        </w:rPr>
        <w:t xml:space="preserve">las disposiciones previstas en </w:t>
      </w:r>
      <w:r w:rsidRPr="00B92499">
        <w:rPr>
          <w:rFonts w:ascii="Arial" w:hAnsi="Arial" w:cs="Arial"/>
        </w:rPr>
        <w:t xml:space="preserve">el </w:t>
      </w:r>
      <w:r w:rsidR="008F67E4" w:rsidRPr="00B92499">
        <w:rPr>
          <w:rFonts w:ascii="Arial" w:hAnsi="Arial" w:cs="Arial"/>
        </w:rPr>
        <w:t>artículo</w:t>
      </w:r>
      <w:r w:rsidRPr="00B92499">
        <w:rPr>
          <w:rFonts w:ascii="Arial" w:hAnsi="Arial" w:cs="Arial"/>
        </w:rPr>
        <w:t xml:space="preserve"> 138, el cual mandata la publicación de los contratos y convenios entre sindicatos y autoridades, el directorio del Comité Ejecutivo, el padrón de socios o agremiados y la relación detallada de los servicios de los recursos públicos económicos, en especie, bienes o donativos que reciban y el informe detallado del ejercicio y destino final de los recursos públicos que ejerzan. </w:t>
      </w:r>
    </w:p>
    <w:p w14:paraId="1E0E054B" w14:textId="77777777" w:rsidR="005A0F6E" w:rsidRPr="00B92499" w:rsidRDefault="005A0F6E" w:rsidP="002E7D47">
      <w:pPr>
        <w:autoSpaceDE w:val="0"/>
        <w:autoSpaceDN w:val="0"/>
        <w:adjustRightInd w:val="0"/>
        <w:spacing w:line="360" w:lineRule="auto"/>
        <w:contextualSpacing/>
        <w:jc w:val="both"/>
        <w:rPr>
          <w:rFonts w:ascii="Arial" w:hAnsi="Arial" w:cs="Arial"/>
        </w:rPr>
      </w:pPr>
    </w:p>
    <w:p w14:paraId="1AEDDCB3" w14:textId="28FAA8A2" w:rsidR="005A0F6E" w:rsidRPr="00B92499" w:rsidRDefault="005A0F6E" w:rsidP="002E7D47">
      <w:pPr>
        <w:pStyle w:val="Ttulo2"/>
        <w:contextualSpacing/>
        <w:rPr>
          <w:rFonts w:ascii="Arial" w:hAnsi="Arial" w:cs="Arial"/>
          <w:b/>
          <w:color w:val="auto"/>
          <w:sz w:val="24"/>
        </w:rPr>
      </w:pPr>
      <w:bookmarkStart w:id="6" w:name="_Toc23252964"/>
      <w:r w:rsidRPr="00B92499">
        <w:rPr>
          <w:rFonts w:ascii="Arial" w:hAnsi="Arial" w:cs="Arial"/>
          <w:b/>
          <w:color w:val="auto"/>
          <w:sz w:val="24"/>
        </w:rPr>
        <w:t xml:space="preserve">Disposiciones Particulares de la Ley </w:t>
      </w:r>
      <w:r w:rsidR="00D14851" w:rsidRPr="00B92499">
        <w:rPr>
          <w:rFonts w:ascii="Arial" w:hAnsi="Arial" w:cs="Arial"/>
          <w:b/>
          <w:color w:val="auto"/>
          <w:sz w:val="24"/>
        </w:rPr>
        <w:t xml:space="preserve">local </w:t>
      </w:r>
      <w:r w:rsidRPr="00B92499">
        <w:rPr>
          <w:rFonts w:ascii="Arial" w:hAnsi="Arial" w:cs="Arial"/>
          <w:b/>
          <w:color w:val="auto"/>
          <w:sz w:val="24"/>
        </w:rPr>
        <w:t>de Transparencia</w:t>
      </w:r>
      <w:bookmarkEnd w:id="6"/>
    </w:p>
    <w:p w14:paraId="32387953" w14:textId="77777777" w:rsidR="005A0F6E" w:rsidRPr="00B92499" w:rsidRDefault="005A0F6E" w:rsidP="002E7D47">
      <w:pPr>
        <w:autoSpaceDE w:val="0"/>
        <w:autoSpaceDN w:val="0"/>
        <w:adjustRightInd w:val="0"/>
        <w:spacing w:line="360" w:lineRule="auto"/>
        <w:contextualSpacing/>
        <w:jc w:val="both"/>
        <w:rPr>
          <w:rFonts w:ascii="Arial" w:hAnsi="Arial" w:cs="Arial"/>
          <w:b/>
        </w:rPr>
      </w:pPr>
    </w:p>
    <w:p w14:paraId="3B9324C4" w14:textId="0C486AD7" w:rsidR="005A0F6E" w:rsidRPr="00B92499" w:rsidRDefault="005A0F6E" w:rsidP="002E7D47">
      <w:pPr>
        <w:autoSpaceDE w:val="0"/>
        <w:autoSpaceDN w:val="0"/>
        <w:adjustRightInd w:val="0"/>
        <w:spacing w:line="360" w:lineRule="auto"/>
        <w:contextualSpacing/>
        <w:jc w:val="both"/>
        <w:rPr>
          <w:rFonts w:ascii="Arial" w:hAnsi="Arial" w:cs="Arial"/>
        </w:rPr>
      </w:pPr>
      <w:r w:rsidRPr="00B92499">
        <w:rPr>
          <w:rFonts w:ascii="Arial" w:hAnsi="Arial" w:cs="Arial"/>
        </w:rPr>
        <w:t>Las disposiciones particulares son aquellas obligaciones que hacen referencia a la publicación de información complementaria a las obligaciones comunes y específicas. Estas disposiciones se integran por los</w:t>
      </w:r>
      <w:r w:rsidR="00D14851" w:rsidRPr="00B92499">
        <w:rPr>
          <w:rFonts w:ascii="Arial" w:hAnsi="Arial" w:cs="Arial"/>
        </w:rPr>
        <w:t xml:space="preserve"> preceptos contemplados en los </w:t>
      </w:r>
      <w:r w:rsidRPr="00B92499">
        <w:rPr>
          <w:rFonts w:ascii="Arial" w:hAnsi="Arial" w:cs="Arial"/>
        </w:rPr>
        <w:t xml:space="preserve">siguientes </w:t>
      </w:r>
      <w:r w:rsidR="008F67E4" w:rsidRPr="00B92499">
        <w:rPr>
          <w:rFonts w:ascii="Arial" w:hAnsi="Arial" w:cs="Arial"/>
        </w:rPr>
        <w:t>artículo</w:t>
      </w:r>
      <w:r w:rsidRPr="00B92499">
        <w:rPr>
          <w:rFonts w:ascii="Arial" w:hAnsi="Arial" w:cs="Arial"/>
        </w:rPr>
        <w:t>s</w:t>
      </w:r>
      <w:r w:rsidR="00D14851" w:rsidRPr="00B92499">
        <w:rPr>
          <w:rFonts w:ascii="Arial" w:hAnsi="Arial" w:cs="Arial"/>
        </w:rPr>
        <w:t xml:space="preserve"> de la norma referida</w:t>
      </w:r>
      <w:r w:rsidRPr="00B92499">
        <w:rPr>
          <w:rFonts w:ascii="Arial" w:hAnsi="Arial" w:cs="Arial"/>
        </w:rPr>
        <w:t xml:space="preserve">: </w:t>
      </w:r>
    </w:p>
    <w:p w14:paraId="16F65536" w14:textId="77777777" w:rsidR="005A0F6E" w:rsidRPr="00B92499" w:rsidRDefault="005A0F6E" w:rsidP="002E7D47">
      <w:pPr>
        <w:autoSpaceDE w:val="0"/>
        <w:autoSpaceDN w:val="0"/>
        <w:adjustRightInd w:val="0"/>
        <w:spacing w:line="360" w:lineRule="auto"/>
        <w:contextualSpacing/>
        <w:jc w:val="both"/>
        <w:rPr>
          <w:rFonts w:ascii="Arial" w:hAnsi="Arial" w:cs="Arial"/>
        </w:rPr>
      </w:pPr>
    </w:p>
    <w:p w14:paraId="032FC293" w14:textId="64B124E8" w:rsidR="005A0F6E" w:rsidRPr="00B92499" w:rsidRDefault="009D7771" w:rsidP="002E7D47">
      <w:pPr>
        <w:autoSpaceDE w:val="0"/>
        <w:autoSpaceDN w:val="0"/>
        <w:adjustRightInd w:val="0"/>
        <w:spacing w:line="360" w:lineRule="auto"/>
        <w:contextualSpacing/>
        <w:jc w:val="both"/>
        <w:rPr>
          <w:rFonts w:ascii="Arial" w:hAnsi="Arial" w:cs="Arial"/>
        </w:rPr>
      </w:pPr>
      <w:r w:rsidRPr="00B92499">
        <w:rPr>
          <w:rFonts w:ascii="Arial" w:hAnsi="Arial" w:cs="Arial"/>
        </w:rPr>
        <w:t>Artículo</w:t>
      </w:r>
      <w:r w:rsidR="00265035" w:rsidRPr="00B92499">
        <w:rPr>
          <w:rFonts w:ascii="Arial" w:hAnsi="Arial" w:cs="Arial"/>
        </w:rPr>
        <w:t>s</w:t>
      </w:r>
      <w:r w:rsidR="005A0F6E" w:rsidRPr="00B92499">
        <w:rPr>
          <w:rFonts w:ascii="Arial" w:hAnsi="Arial" w:cs="Arial"/>
        </w:rPr>
        <w:t xml:space="preserve"> 141 y 142</w:t>
      </w:r>
      <w:r w:rsidR="00265035" w:rsidRPr="00B92499">
        <w:rPr>
          <w:rFonts w:ascii="Arial" w:hAnsi="Arial" w:cs="Arial"/>
        </w:rPr>
        <w:t>,</w:t>
      </w:r>
      <w:r w:rsidR="005A0F6E" w:rsidRPr="00B92499">
        <w:rPr>
          <w:rFonts w:ascii="Arial" w:hAnsi="Arial" w:cs="Arial"/>
        </w:rPr>
        <w:t xml:space="preserve"> que hacen referencia a los resultados de las convocatorias a concurso o licitación de obras públicas, adquisiciones, arrendamientos, concesiones y prestación de servicios. </w:t>
      </w:r>
    </w:p>
    <w:p w14:paraId="5A483F97" w14:textId="77777777" w:rsidR="005A0F6E" w:rsidRPr="00B92499" w:rsidRDefault="005A0F6E" w:rsidP="002E7D47">
      <w:pPr>
        <w:autoSpaceDE w:val="0"/>
        <w:autoSpaceDN w:val="0"/>
        <w:adjustRightInd w:val="0"/>
        <w:spacing w:line="360" w:lineRule="auto"/>
        <w:contextualSpacing/>
        <w:jc w:val="both"/>
        <w:rPr>
          <w:rFonts w:ascii="Arial" w:hAnsi="Arial" w:cs="Arial"/>
        </w:rPr>
      </w:pPr>
    </w:p>
    <w:p w14:paraId="20BC7AEC" w14:textId="51376E08" w:rsidR="005A0F6E" w:rsidRPr="00B92499" w:rsidRDefault="009D7771" w:rsidP="002E7D47">
      <w:pPr>
        <w:autoSpaceDE w:val="0"/>
        <w:autoSpaceDN w:val="0"/>
        <w:adjustRightInd w:val="0"/>
        <w:spacing w:line="360" w:lineRule="auto"/>
        <w:contextualSpacing/>
        <w:jc w:val="both"/>
        <w:rPr>
          <w:rFonts w:ascii="Arial" w:hAnsi="Arial" w:cs="Arial"/>
        </w:rPr>
      </w:pPr>
      <w:r w:rsidRPr="00B92499">
        <w:rPr>
          <w:rFonts w:ascii="Arial" w:hAnsi="Arial" w:cs="Arial"/>
        </w:rPr>
        <w:t>Artículo</w:t>
      </w:r>
      <w:r w:rsidR="005A0F6E" w:rsidRPr="00B92499">
        <w:rPr>
          <w:rFonts w:ascii="Arial" w:hAnsi="Arial" w:cs="Arial"/>
        </w:rPr>
        <w:t xml:space="preserve"> 143</w:t>
      </w:r>
      <w:r w:rsidR="00265035" w:rsidRPr="00B92499">
        <w:rPr>
          <w:rFonts w:ascii="Arial" w:hAnsi="Arial" w:cs="Arial"/>
        </w:rPr>
        <w:t>,</w:t>
      </w:r>
      <w:r w:rsidR="005A0F6E" w:rsidRPr="00B92499">
        <w:rPr>
          <w:rFonts w:ascii="Arial" w:hAnsi="Arial" w:cs="Arial"/>
        </w:rPr>
        <w:t xml:space="preserve"> el cual versa </w:t>
      </w:r>
      <w:r w:rsidR="00265035" w:rsidRPr="00B92499">
        <w:rPr>
          <w:rFonts w:ascii="Arial" w:hAnsi="Arial" w:cs="Arial"/>
        </w:rPr>
        <w:t>sobre</w:t>
      </w:r>
      <w:r w:rsidR="005A0F6E" w:rsidRPr="00B92499">
        <w:rPr>
          <w:rFonts w:ascii="Arial" w:hAnsi="Arial" w:cs="Arial"/>
        </w:rPr>
        <w:t xml:space="preserve"> la información que brinden los </w:t>
      </w:r>
      <w:r w:rsidR="008710F6" w:rsidRPr="00B92499">
        <w:rPr>
          <w:rFonts w:ascii="Arial" w:hAnsi="Arial" w:cs="Arial"/>
        </w:rPr>
        <w:t>sujeto</w:t>
      </w:r>
      <w:r w:rsidR="00EB5F64" w:rsidRPr="00B92499">
        <w:rPr>
          <w:rFonts w:ascii="Arial" w:hAnsi="Arial" w:cs="Arial"/>
        </w:rPr>
        <w:t xml:space="preserve">s </w:t>
      </w:r>
      <w:r w:rsidR="008710F6" w:rsidRPr="00B92499">
        <w:rPr>
          <w:rFonts w:ascii="Arial" w:hAnsi="Arial" w:cs="Arial"/>
        </w:rPr>
        <w:t>obligado</w:t>
      </w:r>
      <w:r w:rsidR="00EB5F64" w:rsidRPr="00B92499">
        <w:rPr>
          <w:rFonts w:ascii="Arial" w:hAnsi="Arial" w:cs="Arial"/>
        </w:rPr>
        <w:t>s</w:t>
      </w:r>
      <w:r w:rsidR="005A0F6E" w:rsidRPr="00B92499">
        <w:rPr>
          <w:rFonts w:ascii="Arial" w:hAnsi="Arial" w:cs="Arial"/>
        </w:rPr>
        <w:t xml:space="preserve">, </w:t>
      </w:r>
      <w:r w:rsidR="00D424B6" w:rsidRPr="00B92499">
        <w:rPr>
          <w:rFonts w:ascii="Arial" w:hAnsi="Arial" w:cs="Arial"/>
        </w:rPr>
        <w:t>en relación con</w:t>
      </w:r>
      <w:r w:rsidR="005A0F6E" w:rsidRPr="00B92499">
        <w:rPr>
          <w:rFonts w:ascii="Arial" w:hAnsi="Arial" w:cs="Arial"/>
        </w:rPr>
        <w:t xml:space="preserve"> la ejecución de obra pública por invitación restringida. </w:t>
      </w:r>
    </w:p>
    <w:p w14:paraId="79C46BE6" w14:textId="77777777" w:rsidR="005A0F6E" w:rsidRPr="00B92499" w:rsidRDefault="005A0F6E" w:rsidP="002E7D47">
      <w:pPr>
        <w:autoSpaceDE w:val="0"/>
        <w:autoSpaceDN w:val="0"/>
        <w:adjustRightInd w:val="0"/>
        <w:spacing w:line="360" w:lineRule="auto"/>
        <w:contextualSpacing/>
        <w:jc w:val="both"/>
        <w:rPr>
          <w:rFonts w:ascii="Arial" w:hAnsi="Arial" w:cs="Arial"/>
        </w:rPr>
      </w:pPr>
    </w:p>
    <w:p w14:paraId="7F6C5149" w14:textId="31FE13DE" w:rsidR="005A0F6E" w:rsidRPr="00B92499" w:rsidRDefault="009D7771" w:rsidP="002E7D47">
      <w:pPr>
        <w:autoSpaceDE w:val="0"/>
        <w:autoSpaceDN w:val="0"/>
        <w:adjustRightInd w:val="0"/>
        <w:spacing w:line="360" w:lineRule="auto"/>
        <w:contextualSpacing/>
        <w:jc w:val="both"/>
        <w:rPr>
          <w:rFonts w:ascii="Arial" w:hAnsi="Arial" w:cs="Arial"/>
        </w:rPr>
      </w:pPr>
      <w:r w:rsidRPr="00B92499">
        <w:rPr>
          <w:rFonts w:ascii="Arial" w:hAnsi="Arial" w:cs="Arial"/>
        </w:rPr>
        <w:t>Artículo</w:t>
      </w:r>
      <w:r w:rsidR="005A0F6E" w:rsidRPr="00B92499">
        <w:rPr>
          <w:rFonts w:ascii="Arial" w:hAnsi="Arial" w:cs="Arial"/>
        </w:rPr>
        <w:t xml:space="preserve"> 144</w:t>
      </w:r>
      <w:r w:rsidR="00265035" w:rsidRPr="00B92499">
        <w:rPr>
          <w:rFonts w:ascii="Arial" w:hAnsi="Arial" w:cs="Arial"/>
        </w:rPr>
        <w:t>,</w:t>
      </w:r>
      <w:r w:rsidR="005A0F6E" w:rsidRPr="00B92499">
        <w:rPr>
          <w:rFonts w:ascii="Arial" w:hAnsi="Arial" w:cs="Arial"/>
        </w:rPr>
        <w:t xml:space="preserve"> el cual mandata que toda la información sea publicada en formatos abiertos y accesibles.</w:t>
      </w:r>
    </w:p>
    <w:p w14:paraId="79774BBC" w14:textId="77777777" w:rsidR="005A0F6E" w:rsidRPr="00B92499" w:rsidRDefault="005A0F6E" w:rsidP="002E7D47">
      <w:pPr>
        <w:autoSpaceDE w:val="0"/>
        <w:autoSpaceDN w:val="0"/>
        <w:adjustRightInd w:val="0"/>
        <w:spacing w:line="360" w:lineRule="auto"/>
        <w:contextualSpacing/>
        <w:jc w:val="both"/>
        <w:rPr>
          <w:rFonts w:ascii="Arial" w:hAnsi="Arial" w:cs="Arial"/>
        </w:rPr>
      </w:pPr>
    </w:p>
    <w:p w14:paraId="70A172FD" w14:textId="0A030C5D" w:rsidR="005A0F6E" w:rsidRPr="00B92499" w:rsidRDefault="009D7771" w:rsidP="002E7D47">
      <w:pPr>
        <w:autoSpaceDE w:val="0"/>
        <w:autoSpaceDN w:val="0"/>
        <w:adjustRightInd w:val="0"/>
        <w:spacing w:line="360" w:lineRule="auto"/>
        <w:contextualSpacing/>
        <w:jc w:val="both"/>
        <w:rPr>
          <w:rFonts w:ascii="Arial" w:hAnsi="Arial" w:cs="Arial"/>
        </w:rPr>
      </w:pPr>
      <w:r w:rsidRPr="00B92499">
        <w:rPr>
          <w:rFonts w:ascii="Arial" w:hAnsi="Arial" w:cs="Arial"/>
        </w:rPr>
        <w:t>Artículo</w:t>
      </w:r>
      <w:r w:rsidR="005A0F6E" w:rsidRPr="00B92499">
        <w:rPr>
          <w:rFonts w:ascii="Arial" w:hAnsi="Arial" w:cs="Arial"/>
        </w:rPr>
        <w:t xml:space="preserve"> 145</w:t>
      </w:r>
      <w:r w:rsidR="00265035" w:rsidRPr="00B92499">
        <w:rPr>
          <w:rFonts w:ascii="Arial" w:hAnsi="Arial" w:cs="Arial"/>
        </w:rPr>
        <w:t>,</w:t>
      </w:r>
      <w:r w:rsidR="005A0F6E" w:rsidRPr="00B92499">
        <w:rPr>
          <w:rFonts w:ascii="Arial" w:hAnsi="Arial" w:cs="Arial"/>
        </w:rPr>
        <w:t xml:space="preserve"> que establece que todos los </w:t>
      </w:r>
      <w:r w:rsidR="008710F6" w:rsidRPr="00B92499">
        <w:rPr>
          <w:rFonts w:ascii="Arial" w:hAnsi="Arial" w:cs="Arial"/>
        </w:rPr>
        <w:t>sujeto</w:t>
      </w:r>
      <w:r w:rsidR="00EB5F64" w:rsidRPr="00B92499">
        <w:rPr>
          <w:rFonts w:ascii="Arial" w:hAnsi="Arial" w:cs="Arial"/>
        </w:rPr>
        <w:t xml:space="preserve">s </w:t>
      </w:r>
      <w:r w:rsidR="008710F6" w:rsidRPr="00B92499">
        <w:rPr>
          <w:rFonts w:ascii="Arial" w:hAnsi="Arial" w:cs="Arial"/>
        </w:rPr>
        <w:t>obligado</w:t>
      </w:r>
      <w:r w:rsidR="00EB5F64" w:rsidRPr="00B92499">
        <w:rPr>
          <w:rFonts w:ascii="Arial" w:hAnsi="Arial" w:cs="Arial"/>
        </w:rPr>
        <w:t>s</w:t>
      </w:r>
      <w:r w:rsidR="005A0F6E" w:rsidRPr="00B92499">
        <w:rPr>
          <w:rFonts w:ascii="Arial" w:hAnsi="Arial" w:cs="Arial"/>
        </w:rPr>
        <w:t xml:space="preserve"> deberán</w:t>
      </w:r>
      <w:r w:rsidR="00327FB1" w:rsidRPr="00B92499">
        <w:rPr>
          <w:rFonts w:ascii="Arial" w:hAnsi="Arial" w:cs="Arial"/>
        </w:rPr>
        <w:t xml:space="preserve"> </w:t>
      </w:r>
      <w:r w:rsidR="005A0F6E" w:rsidRPr="00B92499">
        <w:rPr>
          <w:rFonts w:ascii="Arial" w:hAnsi="Arial" w:cs="Arial"/>
        </w:rPr>
        <w:t>tener un acceso directo dentro de su Portal Institucional a sus obligaciones de transparencia.</w:t>
      </w:r>
    </w:p>
    <w:p w14:paraId="7CC55250" w14:textId="77777777" w:rsidR="005A0F6E" w:rsidRPr="00B92499" w:rsidRDefault="005A0F6E" w:rsidP="002E7D47">
      <w:pPr>
        <w:autoSpaceDE w:val="0"/>
        <w:autoSpaceDN w:val="0"/>
        <w:adjustRightInd w:val="0"/>
        <w:spacing w:line="360" w:lineRule="auto"/>
        <w:contextualSpacing/>
        <w:jc w:val="both"/>
        <w:rPr>
          <w:rFonts w:ascii="Arial" w:hAnsi="Arial" w:cs="Arial"/>
        </w:rPr>
      </w:pPr>
    </w:p>
    <w:p w14:paraId="38F3B163" w14:textId="000990C2" w:rsidR="005A0F6E" w:rsidRPr="00B92499" w:rsidRDefault="009D7771" w:rsidP="002E7D47">
      <w:pPr>
        <w:autoSpaceDE w:val="0"/>
        <w:autoSpaceDN w:val="0"/>
        <w:adjustRightInd w:val="0"/>
        <w:spacing w:line="360" w:lineRule="auto"/>
        <w:contextualSpacing/>
        <w:jc w:val="both"/>
        <w:rPr>
          <w:rFonts w:ascii="Arial" w:hAnsi="Arial" w:cs="Arial"/>
        </w:rPr>
      </w:pPr>
      <w:r w:rsidRPr="00B92499">
        <w:rPr>
          <w:rFonts w:ascii="Arial" w:hAnsi="Arial" w:cs="Arial"/>
        </w:rPr>
        <w:lastRenderedPageBreak/>
        <w:t>Artículo</w:t>
      </w:r>
      <w:r w:rsidR="005A0F6E" w:rsidRPr="00B92499">
        <w:rPr>
          <w:rFonts w:ascii="Arial" w:hAnsi="Arial" w:cs="Arial"/>
        </w:rPr>
        <w:t xml:space="preserve"> 146</w:t>
      </w:r>
      <w:r w:rsidR="00265035" w:rsidRPr="00B92499">
        <w:rPr>
          <w:rFonts w:ascii="Arial" w:hAnsi="Arial" w:cs="Arial"/>
        </w:rPr>
        <w:t>,</w:t>
      </w:r>
      <w:r w:rsidR="005A0F6E" w:rsidRPr="00B92499">
        <w:rPr>
          <w:rFonts w:ascii="Arial" w:hAnsi="Arial" w:cs="Arial"/>
        </w:rPr>
        <w:t xml:space="preserve"> el cual mandata la publicación de su calendario de actualización de las obligaciones de transparencia. </w:t>
      </w:r>
    </w:p>
    <w:p w14:paraId="77E8F336" w14:textId="77777777" w:rsidR="005A0F6E" w:rsidRPr="00B92499" w:rsidRDefault="005A0F6E" w:rsidP="002E7D47">
      <w:pPr>
        <w:autoSpaceDE w:val="0"/>
        <w:autoSpaceDN w:val="0"/>
        <w:adjustRightInd w:val="0"/>
        <w:spacing w:line="360" w:lineRule="auto"/>
        <w:contextualSpacing/>
        <w:jc w:val="both"/>
        <w:rPr>
          <w:rFonts w:ascii="Arial" w:hAnsi="Arial" w:cs="Arial"/>
        </w:rPr>
      </w:pPr>
    </w:p>
    <w:p w14:paraId="3EC74D10" w14:textId="55502E35" w:rsidR="00552574" w:rsidRPr="00B92499" w:rsidRDefault="009D7771" w:rsidP="00552574">
      <w:pPr>
        <w:autoSpaceDE w:val="0"/>
        <w:autoSpaceDN w:val="0"/>
        <w:adjustRightInd w:val="0"/>
        <w:spacing w:line="360" w:lineRule="auto"/>
        <w:contextualSpacing/>
        <w:jc w:val="both"/>
        <w:rPr>
          <w:rFonts w:ascii="Arial" w:hAnsi="Arial" w:cs="Arial"/>
        </w:rPr>
      </w:pPr>
      <w:r w:rsidRPr="00B92499">
        <w:rPr>
          <w:rFonts w:ascii="Arial" w:hAnsi="Arial" w:cs="Arial"/>
        </w:rPr>
        <w:t>Artículo</w:t>
      </w:r>
      <w:r w:rsidR="005A0F6E" w:rsidRPr="00B92499">
        <w:rPr>
          <w:rFonts w:ascii="Arial" w:hAnsi="Arial" w:cs="Arial"/>
        </w:rPr>
        <w:t xml:space="preserve"> 147</w:t>
      </w:r>
      <w:r w:rsidR="00265035" w:rsidRPr="00B92499">
        <w:rPr>
          <w:rFonts w:ascii="Arial" w:hAnsi="Arial" w:cs="Arial"/>
        </w:rPr>
        <w:t>, que</w:t>
      </w:r>
      <w:r w:rsidR="005A0F6E" w:rsidRPr="00B92499">
        <w:rPr>
          <w:rFonts w:ascii="Arial" w:hAnsi="Arial" w:cs="Arial"/>
        </w:rPr>
        <w:t xml:space="preserve"> señala que toda persona moral, organizaciones de la sociedad civil o sindicato que reciba recursos públicos deberá proporcionar a los </w:t>
      </w:r>
      <w:r w:rsidR="008710F6" w:rsidRPr="00B92499">
        <w:rPr>
          <w:rFonts w:ascii="Arial" w:hAnsi="Arial" w:cs="Arial"/>
        </w:rPr>
        <w:t>sujeto</w:t>
      </w:r>
      <w:r w:rsidR="00EB5F64" w:rsidRPr="00B92499">
        <w:rPr>
          <w:rFonts w:ascii="Arial" w:hAnsi="Arial" w:cs="Arial"/>
        </w:rPr>
        <w:t xml:space="preserve">s </w:t>
      </w:r>
      <w:r w:rsidR="008710F6" w:rsidRPr="00B92499">
        <w:rPr>
          <w:rFonts w:ascii="Arial" w:hAnsi="Arial" w:cs="Arial"/>
        </w:rPr>
        <w:t>obligado</w:t>
      </w:r>
      <w:r w:rsidR="00EB5F64" w:rsidRPr="00B92499">
        <w:rPr>
          <w:rFonts w:ascii="Arial" w:hAnsi="Arial" w:cs="Arial"/>
        </w:rPr>
        <w:t>s</w:t>
      </w:r>
      <w:r w:rsidR="005A0F6E" w:rsidRPr="00B92499">
        <w:rPr>
          <w:rFonts w:ascii="Arial" w:hAnsi="Arial" w:cs="Arial"/>
        </w:rPr>
        <w:t xml:space="preserve"> de los que reciban la información relativa al uso, destino y actividades q</w:t>
      </w:r>
      <w:r w:rsidR="00552574" w:rsidRPr="00B92499">
        <w:rPr>
          <w:rFonts w:ascii="Arial" w:hAnsi="Arial" w:cs="Arial"/>
        </w:rPr>
        <w:t>ue realicen con tales recursos.</w:t>
      </w:r>
    </w:p>
    <w:p w14:paraId="7EE42EC2" w14:textId="77777777" w:rsidR="00552574" w:rsidRPr="00B92499" w:rsidRDefault="00552574" w:rsidP="00552574">
      <w:pPr>
        <w:autoSpaceDE w:val="0"/>
        <w:autoSpaceDN w:val="0"/>
        <w:adjustRightInd w:val="0"/>
        <w:spacing w:line="360" w:lineRule="auto"/>
        <w:contextualSpacing/>
        <w:jc w:val="both"/>
        <w:rPr>
          <w:rFonts w:ascii="Arial" w:hAnsi="Arial" w:cs="Arial"/>
        </w:rPr>
      </w:pPr>
    </w:p>
    <w:p w14:paraId="12E2C16A" w14:textId="77777777" w:rsidR="00D424B6" w:rsidRPr="00B92499" w:rsidRDefault="00D424B6">
      <w:pPr>
        <w:spacing w:after="160" w:line="259" w:lineRule="auto"/>
        <w:rPr>
          <w:rFonts w:ascii="Arial" w:eastAsiaTheme="majorEastAsia" w:hAnsi="Arial" w:cs="Arial"/>
          <w:b/>
          <w:szCs w:val="32"/>
          <w:lang w:eastAsia="en-US"/>
        </w:rPr>
      </w:pPr>
      <w:r w:rsidRPr="00B92499">
        <w:rPr>
          <w:rFonts w:ascii="Arial" w:hAnsi="Arial" w:cs="Arial"/>
          <w:b/>
        </w:rPr>
        <w:br w:type="page"/>
      </w:r>
    </w:p>
    <w:p w14:paraId="66AD6BCE" w14:textId="6CB8461B" w:rsidR="00C9398D" w:rsidRPr="00B92499" w:rsidRDefault="00552574" w:rsidP="00C9398D">
      <w:pPr>
        <w:pStyle w:val="Ttulo1"/>
        <w:jc w:val="both"/>
        <w:rPr>
          <w:rFonts w:ascii="Arial" w:hAnsi="Arial" w:cs="Arial"/>
          <w:b/>
          <w:color w:val="auto"/>
          <w:sz w:val="24"/>
        </w:rPr>
      </w:pPr>
      <w:bookmarkStart w:id="7" w:name="_Toc23252965"/>
      <w:r w:rsidRPr="00B92499">
        <w:rPr>
          <w:rFonts w:ascii="Arial" w:hAnsi="Arial" w:cs="Arial"/>
          <w:b/>
          <w:color w:val="auto"/>
          <w:sz w:val="24"/>
        </w:rPr>
        <w:lastRenderedPageBreak/>
        <w:t>RESULTADOS GLOBALES</w:t>
      </w:r>
      <w:r w:rsidR="00C9398D" w:rsidRPr="00B92499">
        <w:rPr>
          <w:rFonts w:ascii="Arial" w:hAnsi="Arial" w:cs="Arial"/>
          <w:b/>
          <w:color w:val="auto"/>
          <w:sz w:val="24"/>
        </w:rPr>
        <w:t xml:space="preserve"> DE LA EVALUACIÓN DEL CUMPLIMIENTO DE OBLIGACIONES DE TRANSPARENCIA SOBRE LA INFORMACIÓN DEL PRIMER SEMESTRE DEL AÑO 2019 POR PARTE DE 35 SUJETOS OBLIGADOS DE RECIENTE INCORPORACIÓN AL PADRÓN</w:t>
      </w:r>
      <w:bookmarkEnd w:id="7"/>
    </w:p>
    <w:p w14:paraId="2DC4819F" w14:textId="77777777" w:rsidR="00C9398D" w:rsidRPr="00B92499" w:rsidRDefault="00C9398D" w:rsidP="00C9398D">
      <w:pPr>
        <w:rPr>
          <w:lang w:val="es-ES_tradnl" w:eastAsia="en-US"/>
        </w:rPr>
      </w:pPr>
    </w:p>
    <w:p w14:paraId="6F3633D6" w14:textId="77777777" w:rsidR="00552574" w:rsidRPr="00B92499" w:rsidRDefault="00552574" w:rsidP="00552574">
      <w:pPr>
        <w:autoSpaceDE w:val="0"/>
        <w:autoSpaceDN w:val="0"/>
        <w:adjustRightInd w:val="0"/>
        <w:spacing w:line="360" w:lineRule="auto"/>
        <w:contextualSpacing/>
        <w:jc w:val="center"/>
        <w:rPr>
          <w:rFonts w:ascii="Arial" w:hAnsi="Arial" w:cs="Arial"/>
          <w:b/>
        </w:rPr>
      </w:pPr>
    </w:p>
    <w:p w14:paraId="2CCF9491" w14:textId="238A3EB4" w:rsidR="00C9398D" w:rsidRPr="00B92499" w:rsidRDefault="00C9398D" w:rsidP="00C9398D">
      <w:pPr>
        <w:autoSpaceDE w:val="0"/>
        <w:autoSpaceDN w:val="0"/>
        <w:adjustRightInd w:val="0"/>
        <w:spacing w:line="360" w:lineRule="auto"/>
        <w:contextualSpacing/>
        <w:jc w:val="both"/>
        <w:rPr>
          <w:rFonts w:ascii="Arial" w:hAnsi="Arial" w:cs="Arial"/>
        </w:rPr>
      </w:pPr>
      <w:r w:rsidRPr="00B92499">
        <w:rPr>
          <w:rFonts w:ascii="Arial" w:hAnsi="Arial" w:cs="Arial"/>
        </w:rPr>
        <w:t>En la segunda evaluación vinculante del año 2019, correspondiente al primer semestre del año en curso, realizada por el Instituto de Transparencia, Acceso a la Información Pública, Protección de Datos Personales y Rendición de Cuentas de la Ciudad de México (INFO), los 35 sujetos obligados que fueron incorporados al Padrón durante el primer trimestre del año en curso cumplieron, en promedio, con 85.38% de sus obligaciones de transparencia que tiene</w:t>
      </w:r>
      <w:r w:rsidR="00114E33" w:rsidRPr="00B92499">
        <w:rPr>
          <w:rFonts w:ascii="Arial" w:hAnsi="Arial" w:cs="Arial"/>
        </w:rPr>
        <w:t>n</w:t>
      </w:r>
      <w:r w:rsidRPr="00B92499">
        <w:rPr>
          <w:rFonts w:ascii="Arial" w:hAnsi="Arial" w:cs="Arial"/>
        </w:rPr>
        <w:t xml:space="preserve"> que publicar por ley en sus portales institucionales y la Plataforma Nacional</w:t>
      </w:r>
      <w:r w:rsidR="00CE5B2E" w:rsidRPr="00B92499">
        <w:rPr>
          <w:rFonts w:ascii="Arial" w:hAnsi="Arial" w:cs="Arial"/>
        </w:rPr>
        <w:t xml:space="preserve"> de Transparencia.</w:t>
      </w:r>
      <w:r w:rsidRPr="00B92499">
        <w:rPr>
          <w:rFonts w:ascii="Arial" w:hAnsi="Arial" w:cs="Arial"/>
        </w:rPr>
        <w:t xml:space="preserve"> </w:t>
      </w:r>
    </w:p>
    <w:p w14:paraId="32834376" w14:textId="77777777" w:rsidR="00C9398D" w:rsidRPr="00B92499" w:rsidRDefault="00C9398D" w:rsidP="00C9398D">
      <w:pPr>
        <w:autoSpaceDE w:val="0"/>
        <w:autoSpaceDN w:val="0"/>
        <w:adjustRightInd w:val="0"/>
        <w:spacing w:line="360" w:lineRule="auto"/>
        <w:contextualSpacing/>
        <w:jc w:val="both"/>
        <w:rPr>
          <w:rFonts w:ascii="Arial" w:hAnsi="Arial" w:cs="Arial"/>
        </w:rPr>
      </w:pPr>
    </w:p>
    <w:p w14:paraId="70BFD5F6" w14:textId="77777777" w:rsidR="00C9398D" w:rsidRPr="00B92499" w:rsidRDefault="00C9398D" w:rsidP="00C9398D">
      <w:pPr>
        <w:autoSpaceDE w:val="0"/>
        <w:autoSpaceDN w:val="0"/>
        <w:adjustRightInd w:val="0"/>
        <w:spacing w:line="360" w:lineRule="auto"/>
        <w:contextualSpacing/>
        <w:jc w:val="both"/>
        <w:rPr>
          <w:rFonts w:ascii="Arial" w:hAnsi="Arial" w:cs="Arial"/>
        </w:rPr>
      </w:pPr>
      <w:r w:rsidRPr="00B92499">
        <w:rPr>
          <w:rFonts w:ascii="Arial" w:hAnsi="Arial" w:cs="Arial"/>
        </w:rPr>
        <w:t>Los 35 sujetos obligados evaluados se integran por: 8</w:t>
      </w:r>
      <w:r w:rsidRPr="00B92499">
        <w:rPr>
          <w:rStyle w:val="Refdenotaalpie"/>
          <w:rFonts w:ascii="Arial" w:hAnsi="Arial" w:cs="Arial"/>
        </w:rPr>
        <w:footnoteReference w:id="2"/>
      </w:r>
      <w:r w:rsidRPr="00B92499">
        <w:rPr>
          <w:rFonts w:ascii="Arial" w:hAnsi="Arial" w:cs="Arial"/>
        </w:rPr>
        <w:t xml:space="preserve"> sujetos pertenecientes a la Administración Central, 8</w:t>
      </w:r>
      <w:r w:rsidRPr="00B92499">
        <w:rPr>
          <w:rStyle w:val="Refdenotaalpie"/>
          <w:rFonts w:ascii="Arial" w:hAnsi="Arial" w:cs="Arial"/>
        </w:rPr>
        <w:footnoteReference w:id="3"/>
      </w:r>
      <w:r w:rsidRPr="00B92499">
        <w:rPr>
          <w:rFonts w:ascii="Arial" w:hAnsi="Arial" w:cs="Arial"/>
        </w:rPr>
        <w:t xml:space="preserve"> al ámbito de Órganos Desconcentrados, Fondos y Fideicomisos, 16</w:t>
      </w:r>
      <w:r w:rsidRPr="00B92499">
        <w:rPr>
          <w:rStyle w:val="Refdenotaalpie"/>
          <w:rFonts w:ascii="Arial" w:hAnsi="Arial" w:cs="Arial"/>
        </w:rPr>
        <w:footnoteReference w:id="4"/>
      </w:r>
      <w:r w:rsidRPr="00B92499">
        <w:rPr>
          <w:rFonts w:ascii="Arial" w:hAnsi="Arial" w:cs="Arial"/>
        </w:rPr>
        <w:t xml:space="preserve"> a las Alcaldías, 1</w:t>
      </w:r>
      <w:r w:rsidRPr="00B92499">
        <w:rPr>
          <w:rStyle w:val="Refdenotaalpie"/>
          <w:rFonts w:ascii="Arial" w:hAnsi="Arial" w:cs="Arial"/>
        </w:rPr>
        <w:footnoteReference w:id="5"/>
      </w:r>
      <w:r w:rsidRPr="00B92499">
        <w:rPr>
          <w:rFonts w:ascii="Arial" w:hAnsi="Arial" w:cs="Arial"/>
        </w:rPr>
        <w:t xml:space="preserve"> sujeto obligado del Poder Legislativo, 1</w:t>
      </w:r>
      <w:r w:rsidRPr="00B92499">
        <w:rPr>
          <w:rStyle w:val="Refdenotaalpie"/>
          <w:rFonts w:ascii="Arial" w:hAnsi="Arial" w:cs="Arial"/>
        </w:rPr>
        <w:footnoteReference w:id="6"/>
      </w:r>
      <w:r w:rsidRPr="00B92499">
        <w:rPr>
          <w:rFonts w:ascii="Arial" w:hAnsi="Arial" w:cs="Arial"/>
        </w:rPr>
        <w:t xml:space="preserve"> de los Órganos Autónomos y 1</w:t>
      </w:r>
      <w:r w:rsidRPr="00B92499">
        <w:rPr>
          <w:rStyle w:val="Refdenotaalpie"/>
          <w:rFonts w:ascii="Arial" w:hAnsi="Arial" w:cs="Arial"/>
        </w:rPr>
        <w:footnoteReference w:id="7"/>
      </w:r>
      <w:r w:rsidRPr="00B92499">
        <w:rPr>
          <w:rFonts w:ascii="Arial" w:hAnsi="Arial" w:cs="Arial"/>
        </w:rPr>
        <w:t xml:space="preserve"> de Sindicatos. </w:t>
      </w:r>
    </w:p>
    <w:p w14:paraId="0A80453E" w14:textId="77777777" w:rsidR="00C9398D" w:rsidRPr="00B92499" w:rsidRDefault="00C9398D" w:rsidP="00C9398D">
      <w:pPr>
        <w:autoSpaceDE w:val="0"/>
        <w:autoSpaceDN w:val="0"/>
        <w:adjustRightInd w:val="0"/>
        <w:spacing w:line="360" w:lineRule="auto"/>
        <w:contextualSpacing/>
        <w:jc w:val="both"/>
        <w:rPr>
          <w:rFonts w:ascii="Arial" w:hAnsi="Arial" w:cs="Arial"/>
        </w:rPr>
      </w:pPr>
    </w:p>
    <w:p w14:paraId="75ED0D33" w14:textId="77777777" w:rsidR="00C9398D" w:rsidRPr="00B92499" w:rsidRDefault="00C9398D" w:rsidP="00C9398D">
      <w:pPr>
        <w:autoSpaceDE w:val="0"/>
        <w:autoSpaceDN w:val="0"/>
        <w:adjustRightInd w:val="0"/>
        <w:spacing w:line="360" w:lineRule="auto"/>
        <w:contextualSpacing/>
        <w:jc w:val="both"/>
        <w:rPr>
          <w:rFonts w:ascii="Arial" w:hAnsi="Arial" w:cs="Arial"/>
        </w:rPr>
      </w:pPr>
      <w:r w:rsidRPr="00B92499">
        <w:rPr>
          <w:rFonts w:ascii="Arial" w:hAnsi="Arial" w:cs="Arial"/>
        </w:rPr>
        <w:t xml:space="preserve">La metodología de la Evaluación se compone por el </w:t>
      </w:r>
      <w:r w:rsidRPr="00B92499">
        <w:rPr>
          <w:rFonts w:ascii="Arial" w:hAnsi="Arial" w:cs="Arial"/>
          <w:b/>
        </w:rPr>
        <w:t>Índice General de Cumplimiento de Obligaciones de Transparencia (IGOT)</w:t>
      </w:r>
      <w:r w:rsidRPr="00B92499">
        <w:rPr>
          <w:rFonts w:ascii="Arial" w:hAnsi="Arial" w:cs="Arial"/>
        </w:rPr>
        <w:t xml:space="preserve">, el cual contiene el resultado numérico de la evaluación correspondiente. Dicho índice se construye al sumar el </w:t>
      </w:r>
      <w:r w:rsidRPr="00B92499">
        <w:rPr>
          <w:rFonts w:ascii="Arial" w:hAnsi="Arial" w:cs="Arial"/>
          <w:b/>
        </w:rPr>
        <w:t>Índice de Cumplimiento de Obligaciones de Transparencia del Portal de Internet (ICOT-PT) y el de la Plataforma Nacional de Transparencia (ICOT-PNT)</w:t>
      </w:r>
      <w:r w:rsidRPr="00B92499">
        <w:rPr>
          <w:rFonts w:ascii="Arial" w:hAnsi="Arial" w:cs="Arial"/>
        </w:rPr>
        <w:t xml:space="preserve">. En específico, tanto el ICOT-PT como el ICOT-PNT se integran con los </w:t>
      </w:r>
      <w:r w:rsidRPr="00B92499">
        <w:rPr>
          <w:rFonts w:ascii="Arial" w:hAnsi="Arial" w:cs="Arial"/>
        </w:rPr>
        <w:lastRenderedPageBreak/>
        <w:t xml:space="preserve">resultados de la evaluación del cumplimiento de las </w:t>
      </w:r>
      <w:r w:rsidRPr="00B92499">
        <w:rPr>
          <w:rFonts w:ascii="Arial" w:hAnsi="Arial" w:cs="Arial"/>
          <w:b/>
        </w:rPr>
        <w:t>obligaciones comunes</w:t>
      </w:r>
      <w:r w:rsidRPr="00B92499">
        <w:rPr>
          <w:rFonts w:ascii="Arial" w:hAnsi="Arial" w:cs="Arial"/>
        </w:rPr>
        <w:t xml:space="preserve"> referidas en los artículos 121 y 122; las </w:t>
      </w:r>
      <w:r w:rsidRPr="00B92499">
        <w:rPr>
          <w:rFonts w:ascii="Arial" w:hAnsi="Arial" w:cs="Arial"/>
          <w:b/>
        </w:rPr>
        <w:t>obligaciones específicas</w:t>
      </w:r>
      <w:r w:rsidRPr="00B92499">
        <w:rPr>
          <w:rFonts w:ascii="Arial" w:hAnsi="Arial" w:cs="Arial"/>
        </w:rPr>
        <w:t xml:space="preserve"> consistentes en los artículos 123 al 140, y las </w:t>
      </w:r>
      <w:r w:rsidRPr="00B92499">
        <w:rPr>
          <w:rFonts w:ascii="Arial" w:hAnsi="Arial" w:cs="Arial"/>
          <w:b/>
        </w:rPr>
        <w:t>disposiciones particulares</w:t>
      </w:r>
      <w:r w:rsidRPr="00B92499">
        <w:rPr>
          <w:rFonts w:ascii="Arial" w:hAnsi="Arial" w:cs="Arial"/>
        </w:rPr>
        <w:t xml:space="preserve"> contempladas en los artículos 143 al 147, todos de la Ley de Transparencia local.</w:t>
      </w:r>
    </w:p>
    <w:p w14:paraId="222047C7" w14:textId="77777777" w:rsidR="00C9398D" w:rsidRPr="00B92499" w:rsidRDefault="00C9398D" w:rsidP="00C9398D">
      <w:pPr>
        <w:autoSpaceDE w:val="0"/>
        <w:autoSpaceDN w:val="0"/>
        <w:adjustRightInd w:val="0"/>
        <w:spacing w:line="360" w:lineRule="auto"/>
        <w:contextualSpacing/>
        <w:jc w:val="both"/>
        <w:rPr>
          <w:rFonts w:ascii="Arial" w:hAnsi="Arial" w:cs="Arial"/>
        </w:rPr>
      </w:pPr>
    </w:p>
    <w:p w14:paraId="4B6E66A6" w14:textId="02F42C8F" w:rsidR="00C9398D" w:rsidRPr="00B92499" w:rsidRDefault="00C9398D" w:rsidP="00C9398D">
      <w:pPr>
        <w:autoSpaceDE w:val="0"/>
        <w:autoSpaceDN w:val="0"/>
        <w:adjustRightInd w:val="0"/>
        <w:spacing w:line="360" w:lineRule="auto"/>
        <w:contextualSpacing/>
        <w:jc w:val="both"/>
        <w:rPr>
          <w:rFonts w:ascii="Arial" w:hAnsi="Arial" w:cs="Arial"/>
        </w:rPr>
      </w:pPr>
      <w:r w:rsidRPr="00B92499">
        <w:rPr>
          <w:rFonts w:ascii="Arial" w:hAnsi="Arial" w:cs="Arial"/>
        </w:rPr>
        <w:t>En esta evaluación se observó que 7 sujetos cumplieron con el 100% de las obligaciones señaladas las por las disposiciones comunes, específicas y particulares de la Ley de Transparencia Local (artículos 121 a 147):</w:t>
      </w:r>
    </w:p>
    <w:p w14:paraId="6C5E285D" w14:textId="77777777" w:rsidR="00F93DEA" w:rsidRPr="00B92499" w:rsidRDefault="00F93DEA" w:rsidP="00C9398D">
      <w:pPr>
        <w:autoSpaceDE w:val="0"/>
        <w:autoSpaceDN w:val="0"/>
        <w:adjustRightInd w:val="0"/>
        <w:spacing w:line="360" w:lineRule="auto"/>
        <w:contextualSpacing/>
        <w:jc w:val="both"/>
        <w:rPr>
          <w:rFonts w:ascii="Arial" w:hAnsi="Arial" w:cs="Arial"/>
        </w:rPr>
      </w:pPr>
    </w:p>
    <w:p w14:paraId="6564C179" w14:textId="35374AE0" w:rsidR="00C9398D" w:rsidRPr="00B92499" w:rsidRDefault="00C9398D" w:rsidP="009F64B5">
      <w:pPr>
        <w:pStyle w:val="Prrafodelista"/>
        <w:numPr>
          <w:ilvl w:val="0"/>
          <w:numId w:val="21"/>
        </w:numPr>
        <w:autoSpaceDE w:val="0"/>
        <w:autoSpaceDN w:val="0"/>
        <w:adjustRightInd w:val="0"/>
        <w:spacing w:line="360" w:lineRule="auto"/>
        <w:jc w:val="both"/>
        <w:rPr>
          <w:rFonts w:ascii="Arial" w:hAnsi="Arial" w:cs="Arial"/>
          <w:sz w:val="24"/>
          <w:szCs w:val="24"/>
        </w:rPr>
      </w:pPr>
      <w:r w:rsidRPr="00B92499">
        <w:rPr>
          <w:rFonts w:ascii="Arial" w:hAnsi="Arial" w:cs="Arial"/>
          <w:sz w:val="24"/>
          <w:szCs w:val="24"/>
        </w:rPr>
        <w:t>Secretaría de Administración y Finanzas</w:t>
      </w:r>
      <w:r w:rsidR="005D21D2" w:rsidRPr="00B92499">
        <w:rPr>
          <w:rFonts w:ascii="Arial" w:hAnsi="Arial" w:cs="Arial"/>
          <w:sz w:val="24"/>
          <w:szCs w:val="24"/>
        </w:rPr>
        <w:t>;</w:t>
      </w:r>
    </w:p>
    <w:p w14:paraId="655F309F" w14:textId="302999C8" w:rsidR="00C9398D" w:rsidRPr="00B92499" w:rsidRDefault="00C9398D" w:rsidP="009F64B5">
      <w:pPr>
        <w:pStyle w:val="Prrafodelista"/>
        <w:numPr>
          <w:ilvl w:val="0"/>
          <w:numId w:val="21"/>
        </w:numPr>
        <w:autoSpaceDE w:val="0"/>
        <w:autoSpaceDN w:val="0"/>
        <w:adjustRightInd w:val="0"/>
        <w:spacing w:line="360" w:lineRule="auto"/>
        <w:jc w:val="both"/>
        <w:rPr>
          <w:rFonts w:ascii="Arial" w:hAnsi="Arial" w:cs="Arial"/>
          <w:sz w:val="24"/>
          <w:szCs w:val="24"/>
        </w:rPr>
      </w:pPr>
      <w:r w:rsidRPr="00B92499">
        <w:rPr>
          <w:rFonts w:ascii="Arial" w:hAnsi="Arial" w:cs="Arial"/>
          <w:sz w:val="24"/>
          <w:szCs w:val="24"/>
        </w:rPr>
        <w:t>Secretaría de la Contraloría General</w:t>
      </w:r>
      <w:r w:rsidR="005D21D2" w:rsidRPr="00B92499">
        <w:rPr>
          <w:rFonts w:ascii="Arial" w:hAnsi="Arial" w:cs="Arial"/>
          <w:sz w:val="24"/>
          <w:szCs w:val="24"/>
        </w:rPr>
        <w:t>;</w:t>
      </w:r>
    </w:p>
    <w:p w14:paraId="0FD932A9" w14:textId="46FD597C" w:rsidR="00C9398D" w:rsidRPr="00B92499" w:rsidRDefault="00C9398D" w:rsidP="009F64B5">
      <w:pPr>
        <w:pStyle w:val="Prrafodelista"/>
        <w:numPr>
          <w:ilvl w:val="0"/>
          <w:numId w:val="21"/>
        </w:numPr>
        <w:autoSpaceDE w:val="0"/>
        <w:autoSpaceDN w:val="0"/>
        <w:adjustRightInd w:val="0"/>
        <w:spacing w:line="360" w:lineRule="auto"/>
        <w:jc w:val="both"/>
        <w:rPr>
          <w:rFonts w:ascii="Arial" w:hAnsi="Arial" w:cs="Arial"/>
          <w:sz w:val="24"/>
          <w:szCs w:val="24"/>
        </w:rPr>
      </w:pPr>
      <w:r w:rsidRPr="00B92499">
        <w:rPr>
          <w:rFonts w:ascii="Arial" w:hAnsi="Arial" w:cs="Arial"/>
          <w:sz w:val="24"/>
          <w:szCs w:val="24"/>
        </w:rPr>
        <w:t>Secretaría de Seguridad Ciudadana</w:t>
      </w:r>
      <w:r w:rsidR="005D21D2" w:rsidRPr="00B92499">
        <w:rPr>
          <w:rFonts w:ascii="Arial" w:hAnsi="Arial" w:cs="Arial"/>
          <w:sz w:val="24"/>
          <w:szCs w:val="24"/>
        </w:rPr>
        <w:t>;</w:t>
      </w:r>
    </w:p>
    <w:p w14:paraId="1A792A47" w14:textId="4D853909" w:rsidR="00C9398D" w:rsidRPr="00B92499" w:rsidRDefault="00C9398D" w:rsidP="009F64B5">
      <w:pPr>
        <w:pStyle w:val="Prrafodelista"/>
        <w:numPr>
          <w:ilvl w:val="0"/>
          <w:numId w:val="21"/>
        </w:numPr>
        <w:autoSpaceDE w:val="0"/>
        <w:autoSpaceDN w:val="0"/>
        <w:adjustRightInd w:val="0"/>
        <w:spacing w:line="360" w:lineRule="auto"/>
        <w:jc w:val="both"/>
        <w:rPr>
          <w:rFonts w:ascii="Arial" w:hAnsi="Arial" w:cs="Arial"/>
          <w:sz w:val="24"/>
          <w:szCs w:val="24"/>
        </w:rPr>
      </w:pPr>
      <w:r w:rsidRPr="00B92499">
        <w:rPr>
          <w:rFonts w:ascii="Arial" w:hAnsi="Arial" w:cs="Arial"/>
          <w:sz w:val="24"/>
          <w:szCs w:val="24"/>
        </w:rPr>
        <w:t>Secretaría de Inclusión y Bienestar Social</w:t>
      </w:r>
      <w:r w:rsidR="005D21D2" w:rsidRPr="00B92499">
        <w:rPr>
          <w:rFonts w:ascii="Arial" w:hAnsi="Arial" w:cs="Arial"/>
          <w:sz w:val="24"/>
          <w:szCs w:val="24"/>
        </w:rPr>
        <w:t>;</w:t>
      </w:r>
    </w:p>
    <w:p w14:paraId="3557B811" w14:textId="49BCA2C4" w:rsidR="00C9398D" w:rsidRPr="00B92499" w:rsidRDefault="00C9398D" w:rsidP="009F64B5">
      <w:pPr>
        <w:pStyle w:val="Prrafodelista"/>
        <w:numPr>
          <w:ilvl w:val="0"/>
          <w:numId w:val="21"/>
        </w:numPr>
        <w:autoSpaceDE w:val="0"/>
        <w:autoSpaceDN w:val="0"/>
        <w:adjustRightInd w:val="0"/>
        <w:spacing w:line="360" w:lineRule="auto"/>
        <w:jc w:val="both"/>
        <w:rPr>
          <w:rFonts w:ascii="Arial" w:hAnsi="Arial" w:cs="Arial"/>
          <w:sz w:val="24"/>
          <w:szCs w:val="24"/>
        </w:rPr>
      </w:pPr>
      <w:r w:rsidRPr="00B92499">
        <w:rPr>
          <w:rFonts w:ascii="Arial" w:hAnsi="Arial" w:cs="Arial"/>
          <w:sz w:val="24"/>
          <w:szCs w:val="24"/>
        </w:rPr>
        <w:t>Agencia Digital de Innovación Pública de la Ciudad de México</w:t>
      </w:r>
      <w:r w:rsidR="005D21D2" w:rsidRPr="00B92499">
        <w:rPr>
          <w:rFonts w:ascii="Arial" w:hAnsi="Arial" w:cs="Arial"/>
          <w:sz w:val="24"/>
          <w:szCs w:val="24"/>
        </w:rPr>
        <w:t>;</w:t>
      </w:r>
    </w:p>
    <w:p w14:paraId="013D2897" w14:textId="77777777" w:rsidR="00C9398D" w:rsidRPr="00B92499" w:rsidRDefault="00C9398D" w:rsidP="009F64B5">
      <w:pPr>
        <w:pStyle w:val="Prrafodelista"/>
        <w:numPr>
          <w:ilvl w:val="0"/>
          <w:numId w:val="21"/>
        </w:numPr>
        <w:autoSpaceDE w:val="0"/>
        <w:autoSpaceDN w:val="0"/>
        <w:adjustRightInd w:val="0"/>
        <w:spacing w:line="360" w:lineRule="auto"/>
        <w:jc w:val="both"/>
        <w:rPr>
          <w:rFonts w:ascii="Arial" w:hAnsi="Arial" w:cs="Arial"/>
          <w:sz w:val="24"/>
          <w:szCs w:val="24"/>
        </w:rPr>
      </w:pPr>
      <w:r w:rsidRPr="00B92499">
        <w:rPr>
          <w:rFonts w:ascii="Arial" w:hAnsi="Arial" w:cs="Arial"/>
          <w:sz w:val="24"/>
          <w:szCs w:val="24"/>
        </w:rPr>
        <w:t xml:space="preserve">Alcaldía La Magdalena Contreras, y </w:t>
      </w:r>
    </w:p>
    <w:p w14:paraId="224AD61D" w14:textId="733F5D63" w:rsidR="00C9398D" w:rsidRPr="00B92499" w:rsidRDefault="00C9398D" w:rsidP="009F64B5">
      <w:pPr>
        <w:pStyle w:val="Prrafodelista"/>
        <w:numPr>
          <w:ilvl w:val="0"/>
          <w:numId w:val="21"/>
        </w:numPr>
        <w:autoSpaceDE w:val="0"/>
        <w:autoSpaceDN w:val="0"/>
        <w:adjustRightInd w:val="0"/>
        <w:spacing w:line="360" w:lineRule="auto"/>
        <w:jc w:val="both"/>
        <w:rPr>
          <w:rFonts w:ascii="Arial" w:hAnsi="Arial" w:cs="Arial"/>
          <w:sz w:val="24"/>
          <w:szCs w:val="24"/>
        </w:rPr>
      </w:pPr>
      <w:r w:rsidRPr="00B92499">
        <w:rPr>
          <w:rFonts w:ascii="Arial" w:hAnsi="Arial" w:cs="Arial"/>
          <w:sz w:val="24"/>
          <w:szCs w:val="24"/>
        </w:rPr>
        <w:t>Alcaldía Miguel Hidalgo.</w:t>
      </w:r>
    </w:p>
    <w:p w14:paraId="60EE9B92" w14:textId="77777777" w:rsidR="00F93DEA" w:rsidRPr="00B92499" w:rsidRDefault="00F93DEA" w:rsidP="00F93DEA">
      <w:pPr>
        <w:pStyle w:val="Prrafodelista"/>
        <w:autoSpaceDE w:val="0"/>
        <w:autoSpaceDN w:val="0"/>
        <w:adjustRightInd w:val="0"/>
        <w:spacing w:line="360" w:lineRule="auto"/>
        <w:jc w:val="both"/>
        <w:rPr>
          <w:rFonts w:ascii="Arial" w:hAnsi="Arial" w:cs="Arial"/>
          <w:sz w:val="24"/>
          <w:szCs w:val="24"/>
        </w:rPr>
      </w:pPr>
    </w:p>
    <w:p w14:paraId="2C04E54A" w14:textId="77777777" w:rsidR="00C9398D" w:rsidRPr="00B92499" w:rsidRDefault="00C9398D" w:rsidP="00C9398D">
      <w:pPr>
        <w:autoSpaceDE w:val="0"/>
        <w:autoSpaceDN w:val="0"/>
        <w:adjustRightInd w:val="0"/>
        <w:spacing w:line="360" w:lineRule="auto"/>
        <w:contextualSpacing/>
        <w:jc w:val="both"/>
        <w:rPr>
          <w:rFonts w:ascii="Arial" w:hAnsi="Arial" w:cs="Arial"/>
        </w:rPr>
      </w:pPr>
      <w:r w:rsidRPr="00B92499">
        <w:rPr>
          <w:rFonts w:ascii="Arial" w:hAnsi="Arial" w:cs="Arial"/>
        </w:rPr>
        <w:t xml:space="preserve">Los 25 sujetos obligados que cumplieron parcialmente (IGOT mayor a 60%) se integran de la siguiente forma: 4 de la Administración Pública Centralizada, 4 del ámbito de Organismos Desconcentrados, Descentralizados, Paraestatales y Auxiliares, 14 Alcaldías, 1 sujeto obligado perteneciente al Poder Legislativo, 1 Órgano Autónomo, y 1 Sindicato. </w:t>
      </w:r>
    </w:p>
    <w:p w14:paraId="52DD0330" w14:textId="77777777" w:rsidR="00C9398D" w:rsidRPr="00B92499" w:rsidRDefault="00C9398D" w:rsidP="00C9398D">
      <w:pPr>
        <w:autoSpaceDE w:val="0"/>
        <w:autoSpaceDN w:val="0"/>
        <w:adjustRightInd w:val="0"/>
        <w:spacing w:line="360" w:lineRule="auto"/>
        <w:contextualSpacing/>
        <w:jc w:val="both"/>
        <w:rPr>
          <w:rFonts w:ascii="Arial" w:hAnsi="Arial" w:cs="Arial"/>
        </w:rPr>
      </w:pPr>
    </w:p>
    <w:p w14:paraId="03D02C95" w14:textId="75C98C4E" w:rsidR="00C9398D" w:rsidRPr="00B92499" w:rsidRDefault="00C9398D" w:rsidP="00C9398D">
      <w:pPr>
        <w:autoSpaceDE w:val="0"/>
        <w:autoSpaceDN w:val="0"/>
        <w:adjustRightInd w:val="0"/>
        <w:spacing w:line="360" w:lineRule="auto"/>
        <w:contextualSpacing/>
        <w:jc w:val="both"/>
        <w:rPr>
          <w:rFonts w:ascii="Arial" w:hAnsi="Arial" w:cs="Arial"/>
        </w:rPr>
      </w:pPr>
      <w:r w:rsidRPr="00B92499">
        <w:rPr>
          <w:rFonts w:ascii="Arial" w:hAnsi="Arial" w:cs="Arial"/>
        </w:rPr>
        <w:t xml:space="preserve">Tres sujetos obligados incumplieron parcialmente (IGOT de </w:t>
      </w:r>
      <w:r w:rsidR="00A64325" w:rsidRPr="00B92499">
        <w:rPr>
          <w:rFonts w:ascii="Arial" w:hAnsi="Arial" w:cs="Arial"/>
        </w:rPr>
        <w:t>59</w:t>
      </w:r>
      <w:r w:rsidR="00C41BA1" w:rsidRPr="00B92499">
        <w:rPr>
          <w:rFonts w:ascii="Arial" w:hAnsi="Arial" w:cs="Arial"/>
        </w:rPr>
        <w:t>.99</w:t>
      </w:r>
      <w:r w:rsidRPr="00B92499">
        <w:rPr>
          <w:rFonts w:ascii="Arial" w:hAnsi="Arial" w:cs="Arial"/>
        </w:rPr>
        <w:t>% o inferior). Estos</w:t>
      </w:r>
      <w:r w:rsidR="000D67A7" w:rsidRPr="00B92499">
        <w:rPr>
          <w:rFonts w:ascii="Arial" w:hAnsi="Arial" w:cs="Arial"/>
        </w:rPr>
        <w:t xml:space="preserve"> 3 </w:t>
      </w:r>
      <w:r w:rsidRPr="00B92499">
        <w:rPr>
          <w:rFonts w:ascii="Arial" w:hAnsi="Arial" w:cs="Arial"/>
        </w:rPr>
        <w:t>sujetos forman parte del conjunto de Organismos Desconcentrados, Descentralizados, Paraestatales y Auxiliares.</w:t>
      </w:r>
    </w:p>
    <w:p w14:paraId="644B0DB8" w14:textId="77777777" w:rsidR="00C9398D" w:rsidRPr="00B92499" w:rsidRDefault="00C9398D" w:rsidP="00C9398D">
      <w:pPr>
        <w:spacing w:line="360" w:lineRule="auto"/>
        <w:contextualSpacing/>
        <w:jc w:val="both"/>
        <w:rPr>
          <w:rFonts w:ascii="Arial" w:hAnsi="Arial" w:cs="Arial"/>
        </w:rPr>
      </w:pPr>
    </w:p>
    <w:p w14:paraId="2E5A3186" w14:textId="09CBD608" w:rsidR="00C9398D" w:rsidRPr="00B92499" w:rsidRDefault="00C9398D" w:rsidP="00C9398D">
      <w:pPr>
        <w:spacing w:line="360" w:lineRule="auto"/>
        <w:contextualSpacing/>
        <w:jc w:val="both"/>
        <w:rPr>
          <w:rFonts w:ascii="Arial" w:hAnsi="Arial" w:cs="Arial"/>
        </w:rPr>
      </w:pPr>
      <w:r w:rsidRPr="00B92499">
        <w:rPr>
          <w:rFonts w:ascii="Arial" w:hAnsi="Arial" w:cs="Arial"/>
        </w:rPr>
        <w:t>Por ámbito</w:t>
      </w:r>
      <w:r w:rsidR="00A64325" w:rsidRPr="00B92499">
        <w:rPr>
          <w:rFonts w:ascii="Arial" w:hAnsi="Arial" w:cs="Arial"/>
        </w:rPr>
        <w:t xml:space="preserve"> e </w:t>
      </w:r>
      <w:r w:rsidRPr="00B92499">
        <w:rPr>
          <w:rFonts w:ascii="Arial" w:hAnsi="Arial" w:cs="Arial"/>
        </w:rPr>
        <w:t>l promedio de cumplimento se observó de la siguiente manera: 96.24% para el Órgano Autónomo, 96.23% para la Administración Central, 95.03% para el Poder Legislativo, 87.89% para las Demarcaciones Políticas, 87.20% para el Sindicato y 66.72% para los Órganos Desconcentrados, Fondos y Fideicomisos.</w:t>
      </w:r>
    </w:p>
    <w:p w14:paraId="552AA7D0" w14:textId="77777777" w:rsidR="00C9398D" w:rsidRPr="00B92499" w:rsidRDefault="00C9398D" w:rsidP="00C9398D">
      <w:pPr>
        <w:spacing w:line="360" w:lineRule="auto"/>
        <w:contextualSpacing/>
        <w:jc w:val="both"/>
        <w:rPr>
          <w:rFonts w:ascii="Arial" w:hAnsi="Arial" w:cs="Arial"/>
        </w:rPr>
      </w:pPr>
    </w:p>
    <w:p w14:paraId="6074B100" w14:textId="7F748B23" w:rsidR="00C9398D" w:rsidRPr="00B92499" w:rsidRDefault="00C9398D" w:rsidP="00C9398D">
      <w:pPr>
        <w:spacing w:line="360" w:lineRule="auto"/>
        <w:contextualSpacing/>
        <w:jc w:val="both"/>
        <w:rPr>
          <w:rFonts w:ascii="Arial" w:hAnsi="Arial" w:cs="Arial"/>
        </w:rPr>
      </w:pPr>
      <w:r w:rsidRPr="00B92499">
        <w:rPr>
          <w:rFonts w:ascii="Arial" w:hAnsi="Arial" w:cs="Arial"/>
        </w:rPr>
        <w:t xml:space="preserve">Esta evaluación vinculante 2019 identificó que, </w:t>
      </w:r>
      <w:r w:rsidR="005D21D2" w:rsidRPr="00B92499">
        <w:rPr>
          <w:rFonts w:ascii="Arial" w:hAnsi="Arial" w:cs="Arial"/>
        </w:rPr>
        <w:t xml:space="preserve">el </w:t>
      </w:r>
      <w:r w:rsidRPr="00B92499">
        <w:rPr>
          <w:rFonts w:ascii="Arial" w:hAnsi="Arial" w:cs="Arial"/>
        </w:rPr>
        <w:t xml:space="preserve">IGOT </w:t>
      </w:r>
      <w:r w:rsidR="005D21D2" w:rsidRPr="00B92499">
        <w:rPr>
          <w:rFonts w:ascii="Arial" w:hAnsi="Arial" w:cs="Arial"/>
        </w:rPr>
        <w:t xml:space="preserve">de la </w:t>
      </w:r>
      <w:r w:rsidRPr="00B92499">
        <w:rPr>
          <w:rFonts w:ascii="Arial" w:hAnsi="Arial" w:cs="Arial"/>
        </w:rPr>
        <w:t xml:space="preserve">Ciudad en México (85.38%), el 1.91% pertenece a notas aclaratorias y el 83.48% a información publicada en la Plataforma Nacional y en los portales institucionales. A través de las notas aclaratorias los sujetos obligados explican la ausencia de información. </w:t>
      </w:r>
    </w:p>
    <w:p w14:paraId="77B7300D" w14:textId="77777777" w:rsidR="00C9398D" w:rsidRPr="00B92499" w:rsidRDefault="00C9398D" w:rsidP="00C9398D">
      <w:pPr>
        <w:spacing w:line="360" w:lineRule="auto"/>
        <w:contextualSpacing/>
        <w:jc w:val="both"/>
        <w:rPr>
          <w:rFonts w:ascii="Arial" w:hAnsi="Arial" w:cs="Arial"/>
        </w:rPr>
      </w:pPr>
    </w:p>
    <w:p w14:paraId="49BB67DF" w14:textId="77777777" w:rsidR="00C9398D" w:rsidRPr="00B92499" w:rsidRDefault="00C9398D" w:rsidP="00C9398D">
      <w:pPr>
        <w:spacing w:line="360" w:lineRule="auto"/>
        <w:contextualSpacing/>
        <w:jc w:val="both"/>
        <w:rPr>
          <w:rFonts w:ascii="Arial" w:hAnsi="Arial" w:cs="Arial"/>
        </w:rPr>
      </w:pPr>
      <w:r w:rsidRPr="00B92499">
        <w:rPr>
          <w:rFonts w:ascii="Arial" w:hAnsi="Arial" w:cs="Arial"/>
        </w:rPr>
        <w:t xml:space="preserve">En este contexto, el promedio equivalente a notas aclaratorias por ámbito corresponde al 1.24% de la Administración Central, 1.17% de Órganos Desconcentrados, 2.34% de Alcaldías, 3.9% del Poder Legislativo, 4.4% sobre Órganos Autónomos y 1.6% de Sindicatos. </w:t>
      </w:r>
    </w:p>
    <w:p w14:paraId="358CA74F" w14:textId="77777777" w:rsidR="00C9398D" w:rsidRPr="00B92499" w:rsidRDefault="00C9398D" w:rsidP="00C9398D">
      <w:pPr>
        <w:spacing w:line="360" w:lineRule="auto"/>
        <w:contextualSpacing/>
        <w:jc w:val="both"/>
        <w:rPr>
          <w:rFonts w:ascii="Arial" w:hAnsi="Arial" w:cs="Arial"/>
        </w:rPr>
      </w:pPr>
    </w:p>
    <w:p w14:paraId="6FFB5E9C" w14:textId="77777777" w:rsidR="00C9398D" w:rsidRPr="00B92499" w:rsidRDefault="00C9398D" w:rsidP="00C9398D">
      <w:pPr>
        <w:spacing w:line="360" w:lineRule="auto"/>
        <w:contextualSpacing/>
        <w:jc w:val="both"/>
        <w:rPr>
          <w:rFonts w:ascii="Arial" w:hAnsi="Arial" w:cs="Arial"/>
        </w:rPr>
      </w:pPr>
      <w:r w:rsidRPr="00B92499">
        <w:rPr>
          <w:rFonts w:ascii="Arial" w:hAnsi="Arial" w:cs="Arial"/>
        </w:rPr>
        <w:t>Los resultados anteriormente expuestos se presentan en las siguientes tabla y gráfica:</w:t>
      </w:r>
    </w:p>
    <w:p w14:paraId="19696981" w14:textId="77777777" w:rsidR="00C9398D" w:rsidRPr="00B92499" w:rsidRDefault="00C9398D" w:rsidP="00C9398D">
      <w:pPr>
        <w:spacing w:line="360" w:lineRule="auto"/>
        <w:contextualSpacing/>
        <w:jc w:val="center"/>
        <w:rPr>
          <w:rFonts w:ascii="Arial" w:hAnsi="Arial" w:cs="Arial"/>
          <w:sz w:val="20"/>
          <w:szCs w:val="20"/>
        </w:rPr>
      </w:pPr>
    </w:p>
    <w:tbl>
      <w:tblPr>
        <w:tblW w:w="8918" w:type="dxa"/>
        <w:tblInd w:w="75" w:type="dxa"/>
        <w:tblCellMar>
          <w:left w:w="70" w:type="dxa"/>
          <w:right w:w="70" w:type="dxa"/>
        </w:tblCellMar>
        <w:tblLook w:val="04A0" w:firstRow="1" w:lastRow="0" w:firstColumn="1" w:lastColumn="0" w:noHBand="0" w:noVBand="1"/>
      </w:tblPr>
      <w:tblGrid>
        <w:gridCol w:w="1819"/>
        <w:gridCol w:w="1085"/>
        <w:gridCol w:w="1474"/>
        <w:gridCol w:w="1474"/>
        <w:gridCol w:w="1618"/>
        <w:gridCol w:w="1618"/>
      </w:tblGrid>
      <w:tr w:rsidR="00C9398D" w:rsidRPr="00B92499" w14:paraId="57938D7A" w14:textId="77777777" w:rsidTr="00F93DEA">
        <w:trPr>
          <w:trHeight w:val="14"/>
          <w:tblHeader/>
        </w:trPr>
        <w:tc>
          <w:tcPr>
            <w:tcW w:w="8918"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14:paraId="7C0143D0" w14:textId="77777777" w:rsidR="00C9398D" w:rsidRPr="00B92499" w:rsidRDefault="00C9398D" w:rsidP="00CF534F">
            <w:pPr>
              <w:jc w:val="center"/>
              <w:rPr>
                <w:rFonts w:ascii="Arial" w:hAnsi="Arial" w:cs="Arial"/>
                <w:b/>
                <w:bCs/>
                <w:color w:val="000000"/>
                <w:sz w:val="20"/>
                <w:szCs w:val="20"/>
              </w:rPr>
            </w:pPr>
            <w:r w:rsidRPr="00B92499">
              <w:rPr>
                <w:rFonts w:ascii="Arial" w:hAnsi="Arial" w:cs="Arial"/>
                <w:b/>
                <w:bCs/>
                <w:color w:val="000000"/>
                <w:sz w:val="20"/>
                <w:szCs w:val="20"/>
              </w:rPr>
              <w:t>Rubros de cumplimiento de los sujetos obligados de la Ciudad de México</w:t>
            </w:r>
          </w:p>
        </w:tc>
      </w:tr>
      <w:tr w:rsidR="00C9398D" w:rsidRPr="00B92499" w14:paraId="5E38A157" w14:textId="77777777" w:rsidTr="00F93DEA">
        <w:trPr>
          <w:trHeight w:val="14"/>
          <w:tblHeader/>
        </w:trPr>
        <w:tc>
          <w:tcPr>
            <w:tcW w:w="0" w:type="auto"/>
            <w:tcBorders>
              <w:top w:val="nil"/>
              <w:left w:val="single" w:sz="4" w:space="0" w:color="auto"/>
              <w:bottom w:val="single" w:sz="4" w:space="0" w:color="auto"/>
              <w:right w:val="single" w:sz="4" w:space="0" w:color="auto"/>
            </w:tcBorders>
            <w:shd w:val="clear" w:color="000000" w:fill="33CCCC"/>
            <w:vAlign w:val="center"/>
            <w:hideMark/>
          </w:tcPr>
          <w:p w14:paraId="52A77888" w14:textId="77777777" w:rsidR="00C9398D" w:rsidRPr="00B92499" w:rsidRDefault="00C9398D" w:rsidP="00CF534F">
            <w:pPr>
              <w:jc w:val="center"/>
              <w:rPr>
                <w:rFonts w:ascii="Arial" w:hAnsi="Arial" w:cs="Arial"/>
                <w:b/>
                <w:bCs/>
                <w:color w:val="000000"/>
                <w:sz w:val="20"/>
                <w:szCs w:val="20"/>
              </w:rPr>
            </w:pPr>
            <w:r w:rsidRPr="00B92499">
              <w:rPr>
                <w:rFonts w:ascii="Arial" w:hAnsi="Arial" w:cs="Arial"/>
                <w:b/>
                <w:bCs/>
                <w:color w:val="000000"/>
                <w:sz w:val="20"/>
                <w:szCs w:val="20"/>
              </w:rPr>
              <w:t>Ámbito</w:t>
            </w:r>
          </w:p>
        </w:tc>
        <w:tc>
          <w:tcPr>
            <w:tcW w:w="1207" w:type="dxa"/>
            <w:tcBorders>
              <w:top w:val="nil"/>
              <w:left w:val="nil"/>
              <w:bottom w:val="single" w:sz="4" w:space="0" w:color="auto"/>
              <w:right w:val="single" w:sz="4" w:space="0" w:color="auto"/>
            </w:tcBorders>
            <w:shd w:val="clear" w:color="000000" w:fill="33CCCC"/>
            <w:vAlign w:val="center"/>
            <w:hideMark/>
          </w:tcPr>
          <w:p w14:paraId="7DC7D2DE" w14:textId="77777777" w:rsidR="00C9398D" w:rsidRPr="00B92499" w:rsidRDefault="00C9398D" w:rsidP="00CF534F">
            <w:pPr>
              <w:jc w:val="center"/>
              <w:rPr>
                <w:rFonts w:ascii="Arial" w:hAnsi="Arial" w:cs="Arial"/>
                <w:b/>
                <w:bCs/>
                <w:color w:val="000000"/>
                <w:sz w:val="20"/>
                <w:szCs w:val="20"/>
              </w:rPr>
            </w:pPr>
            <w:r w:rsidRPr="00B92499">
              <w:rPr>
                <w:rFonts w:ascii="Arial" w:hAnsi="Arial" w:cs="Arial"/>
                <w:b/>
                <w:bCs/>
                <w:color w:val="000000"/>
                <w:sz w:val="20"/>
                <w:szCs w:val="20"/>
              </w:rPr>
              <w:t>Número total de sujetos obligados</w:t>
            </w:r>
          </w:p>
        </w:tc>
        <w:tc>
          <w:tcPr>
            <w:tcW w:w="1420" w:type="dxa"/>
            <w:tcBorders>
              <w:top w:val="nil"/>
              <w:left w:val="nil"/>
              <w:bottom w:val="single" w:sz="4" w:space="0" w:color="auto"/>
              <w:right w:val="single" w:sz="4" w:space="0" w:color="auto"/>
            </w:tcBorders>
            <w:shd w:val="clear" w:color="000000" w:fill="33CCCC"/>
            <w:vAlign w:val="center"/>
            <w:hideMark/>
          </w:tcPr>
          <w:p w14:paraId="75F18A34" w14:textId="77777777" w:rsidR="00C9398D" w:rsidRPr="00B92499" w:rsidRDefault="00C9398D" w:rsidP="00CF534F">
            <w:pPr>
              <w:jc w:val="center"/>
              <w:rPr>
                <w:rFonts w:ascii="Arial" w:hAnsi="Arial" w:cs="Arial"/>
                <w:b/>
                <w:bCs/>
                <w:color w:val="000000"/>
                <w:sz w:val="20"/>
                <w:szCs w:val="20"/>
              </w:rPr>
            </w:pPr>
            <w:r w:rsidRPr="00B92499">
              <w:rPr>
                <w:rFonts w:ascii="Arial" w:hAnsi="Arial" w:cs="Arial"/>
                <w:b/>
                <w:bCs/>
                <w:color w:val="000000"/>
                <w:sz w:val="20"/>
                <w:szCs w:val="20"/>
              </w:rPr>
              <w:t>Cumplimiento total</w:t>
            </w:r>
          </w:p>
          <w:p w14:paraId="4E4FDAF6" w14:textId="77777777" w:rsidR="00C9398D" w:rsidRPr="00B92499" w:rsidRDefault="00C9398D" w:rsidP="00CF534F">
            <w:pPr>
              <w:jc w:val="center"/>
              <w:rPr>
                <w:rFonts w:ascii="Arial" w:hAnsi="Arial" w:cs="Arial"/>
                <w:b/>
                <w:bCs/>
                <w:color w:val="000000"/>
                <w:sz w:val="20"/>
                <w:szCs w:val="20"/>
              </w:rPr>
            </w:pPr>
            <w:r w:rsidRPr="00B92499">
              <w:rPr>
                <w:rFonts w:ascii="Arial" w:hAnsi="Arial" w:cs="Arial"/>
                <w:b/>
                <w:bCs/>
                <w:color w:val="000000"/>
                <w:sz w:val="20"/>
                <w:szCs w:val="20"/>
              </w:rPr>
              <w:t>(100 puntos)</w:t>
            </w:r>
          </w:p>
        </w:tc>
        <w:tc>
          <w:tcPr>
            <w:tcW w:w="0" w:type="auto"/>
            <w:tcBorders>
              <w:top w:val="nil"/>
              <w:left w:val="nil"/>
              <w:bottom w:val="single" w:sz="4" w:space="0" w:color="auto"/>
              <w:right w:val="single" w:sz="4" w:space="0" w:color="auto"/>
            </w:tcBorders>
            <w:shd w:val="clear" w:color="000000" w:fill="33CCCC"/>
            <w:vAlign w:val="center"/>
            <w:hideMark/>
          </w:tcPr>
          <w:p w14:paraId="688FE2C3" w14:textId="77777777" w:rsidR="00C9398D" w:rsidRPr="00B92499" w:rsidRDefault="00C9398D" w:rsidP="00CF534F">
            <w:pPr>
              <w:jc w:val="center"/>
              <w:rPr>
                <w:rFonts w:ascii="Arial" w:hAnsi="Arial" w:cs="Arial"/>
                <w:b/>
                <w:bCs/>
                <w:color w:val="000000"/>
                <w:sz w:val="20"/>
                <w:szCs w:val="20"/>
              </w:rPr>
            </w:pPr>
            <w:r w:rsidRPr="00B92499">
              <w:rPr>
                <w:rFonts w:ascii="Arial" w:hAnsi="Arial" w:cs="Arial"/>
                <w:b/>
                <w:bCs/>
                <w:color w:val="000000"/>
                <w:sz w:val="20"/>
                <w:szCs w:val="20"/>
              </w:rPr>
              <w:t>Cumplimiento parcial (</w:t>
            </w:r>
          </w:p>
          <w:p w14:paraId="72FB330C" w14:textId="77777777" w:rsidR="00C9398D" w:rsidRPr="00B92499" w:rsidRDefault="00C9398D" w:rsidP="00CF534F">
            <w:pPr>
              <w:jc w:val="center"/>
              <w:rPr>
                <w:rFonts w:ascii="Arial" w:hAnsi="Arial" w:cs="Arial"/>
                <w:b/>
                <w:bCs/>
                <w:color w:val="000000"/>
                <w:sz w:val="20"/>
                <w:szCs w:val="20"/>
              </w:rPr>
            </w:pPr>
            <w:r w:rsidRPr="00B92499">
              <w:rPr>
                <w:rFonts w:ascii="Arial" w:hAnsi="Arial" w:cs="Arial"/>
                <w:b/>
                <w:bCs/>
                <w:color w:val="000000"/>
                <w:sz w:val="20"/>
                <w:szCs w:val="20"/>
              </w:rPr>
              <w:t>60 a 99.99 puntos)</w:t>
            </w:r>
          </w:p>
        </w:tc>
        <w:tc>
          <w:tcPr>
            <w:tcW w:w="0" w:type="auto"/>
            <w:tcBorders>
              <w:top w:val="nil"/>
              <w:left w:val="nil"/>
              <w:bottom w:val="single" w:sz="4" w:space="0" w:color="auto"/>
              <w:right w:val="single" w:sz="4" w:space="0" w:color="auto"/>
            </w:tcBorders>
            <w:shd w:val="clear" w:color="000000" w:fill="33CCCC"/>
            <w:vAlign w:val="center"/>
            <w:hideMark/>
          </w:tcPr>
          <w:p w14:paraId="29E235E4" w14:textId="77777777" w:rsidR="00C9398D" w:rsidRPr="00B92499" w:rsidRDefault="00C9398D" w:rsidP="00CF534F">
            <w:pPr>
              <w:jc w:val="center"/>
              <w:rPr>
                <w:rFonts w:ascii="Arial" w:hAnsi="Arial" w:cs="Arial"/>
                <w:b/>
                <w:bCs/>
                <w:color w:val="000000"/>
                <w:sz w:val="20"/>
                <w:szCs w:val="20"/>
              </w:rPr>
            </w:pPr>
            <w:r w:rsidRPr="00B92499">
              <w:rPr>
                <w:rFonts w:ascii="Arial" w:hAnsi="Arial" w:cs="Arial"/>
                <w:b/>
                <w:bCs/>
                <w:color w:val="000000"/>
                <w:sz w:val="20"/>
                <w:szCs w:val="20"/>
              </w:rPr>
              <w:t>Incumplimiento parcial</w:t>
            </w:r>
          </w:p>
          <w:p w14:paraId="663A4045" w14:textId="77777777" w:rsidR="00C9398D" w:rsidRPr="00B92499" w:rsidRDefault="00C9398D" w:rsidP="00CF534F">
            <w:pPr>
              <w:jc w:val="center"/>
              <w:rPr>
                <w:rFonts w:ascii="Arial" w:hAnsi="Arial" w:cs="Arial"/>
                <w:b/>
                <w:bCs/>
                <w:color w:val="000000"/>
                <w:sz w:val="20"/>
                <w:szCs w:val="20"/>
              </w:rPr>
            </w:pPr>
            <w:r w:rsidRPr="00B92499">
              <w:rPr>
                <w:rFonts w:ascii="Arial" w:hAnsi="Arial" w:cs="Arial"/>
                <w:b/>
                <w:bCs/>
                <w:color w:val="000000"/>
                <w:sz w:val="20"/>
                <w:szCs w:val="20"/>
              </w:rPr>
              <w:t>(1 a 59.99 puntos)</w:t>
            </w:r>
          </w:p>
        </w:tc>
        <w:tc>
          <w:tcPr>
            <w:tcW w:w="0" w:type="auto"/>
            <w:tcBorders>
              <w:top w:val="nil"/>
              <w:left w:val="nil"/>
              <w:bottom w:val="single" w:sz="4" w:space="0" w:color="auto"/>
              <w:right w:val="single" w:sz="4" w:space="0" w:color="auto"/>
            </w:tcBorders>
            <w:shd w:val="clear" w:color="000000" w:fill="33CCCC"/>
            <w:vAlign w:val="center"/>
            <w:hideMark/>
          </w:tcPr>
          <w:p w14:paraId="63C08C1A" w14:textId="77777777" w:rsidR="00C9398D" w:rsidRPr="00B92499" w:rsidRDefault="00C9398D" w:rsidP="00CF534F">
            <w:pPr>
              <w:jc w:val="center"/>
              <w:rPr>
                <w:rFonts w:ascii="Arial" w:hAnsi="Arial" w:cs="Arial"/>
                <w:b/>
                <w:bCs/>
                <w:color w:val="000000"/>
                <w:sz w:val="20"/>
                <w:szCs w:val="20"/>
              </w:rPr>
            </w:pPr>
            <w:r w:rsidRPr="00B92499">
              <w:rPr>
                <w:rFonts w:ascii="Arial" w:hAnsi="Arial" w:cs="Arial"/>
                <w:b/>
                <w:bCs/>
                <w:color w:val="000000"/>
                <w:sz w:val="20"/>
                <w:szCs w:val="20"/>
              </w:rPr>
              <w:t>Incumplimiento total</w:t>
            </w:r>
          </w:p>
          <w:p w14:paraId="6CCBB701" w14:textId="77777777" w:rsidR="00C9398D" w:rsidRPr="00B92499" w:rsidRDefault="00C9398D" w:rsidP="00CF534F">
            <w:pPr>
              <w:jc w:val="center"/>
              <w:rPr>
                <w:rFonts w:ascii="Arial" w:hAnsi="Arial" w:cs="Arial"/>
                <w:b/>
                <w:bCs/>
                <w:color w:val="000000"/>
                <w:sz w:val="20"/>
                <w:szCs w:val="20"/>
              </w:rPr>
            </w:pPr>
            <w:r w:rsidRPr="00B92499">
              <w:rPr>
                <w:rFonts w:ascii="Arial" w:hAnsi="Arial" w:cs="Arial"/>
                <w:b/>
                <w:bCs/>
                <w:color w:val="000000"/>
                <w:sz w:val="20"/>
                <w:szCs w:val="20"/>
              </w:rPr>
              <w:t>(0 puntos)</w:t>
            </w:r>
          </w:p>
        </w:tc>
      </w:tr>
      <w:tr w:rsidR="00C9398D" w:rsidRPr="00B92499" w14:paraId="2EC226AF" w14:textId="77777777" w:rsidTr="00F93DEA">
        <w:trPr>
          <w:trHeight w:val="397"/>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D9269BC" w14:textId="77777777" w:rsidR="00C9398D" w:rsidRPr="00B92499" w:rsidRDefault="00C9398D" w:rsidP="00CF534F">
            <w:pPr>
              <w:jc w:val="center"/>
              <w:rPr>
                <w:rFonts w:ascii="Arial" w:hAnsi="Arial" w:cs="Arial"/>
                <w:b/>
                <w:bCs/>
                <w:color w:val="000000"/>
                <w:sz w:val="20"/>
                <w:szCs w:val="20"/>
              </w:rPr>
            </w:pPr>
            <w:r w:rsidRPr="00B92499">
              <w:rPr>
                <w:rFonts w:ascii="Arial" w:hAnsi="Arial" w:cs="Arial"/>
                <w:b/>
                <w:bCs/>
                <w:color w:val="000000"/>
                <w:sz w:val="20"/>
                <w:szCs w:val="20"/>
              </w:rPr>
              <w:t>Administración Pública Centralizada</w:t>
            </w:r>
          </w:p>
        </w:tc>
        <w:tc>
          <w:tcPr>
            <w:tcW w:w="1207" w:type="dxa"/>
            <w:tcBorders>
              <w:top w:val="nil"/>
              <w:left w:val="nil"/>
              <w:bottom w:val="single" w:sz="4" w:space="0" w:color="auto"/>
              <w:right w:val="single" w:sz="4" w:space="0" w:color="auto"/>
            </w:tcBorders>
            <w:shd w:val="clear" w:color="000000" w:fill="FFFFFF"/>
            <w:vAlign w:val="center"/>
            <w:hideMark/>
          </w:tcPr>
          <w:p w14:paraId="34EF370D" w14:textId="77777777" w:rsidR="00C9398D" w:rsidRPr="00B92499" w:rsidRDefault="00C9398D" w:rsidP="00CF534F">
            <w:pPr>
              <w:jc w:val="center"/>
              <w:rPr>
                <w:rFonts w:ascii="Arial" w:hAnsi="Arial" w:cs="Arial"/>
                <w:b/>
                <w:bCs/>
                <w:color w:val="000000"/>
                <w:sz w:val="20"/>
                <w:szCs w:val="20"/>
              </w:rPr>
            </w:pPr>
            <w:r w:rsidRPr="00B92499">
              <w:rPr>
                <w:rFonts w:ascii="Arial" w:hAnsi="Arial" w:cs="Arial"/>
                <w:b/>
                <w:bCs/>
                <w:color w:val="000000"/>
                <w:sz w:val="20"/>
                <w:szCs w:val="20"/>
              </w:rPr>
              <w:t>8</w:t>
            </w:r>
          </w:p>
        </w:tc>
        <w:tc>
          <w:tcPr>
            <w:tcW w:w="1420" w:type="dxa"/>
            <w:tcBorders>
              <w:top w:val="nil"/>
              <w:left w:val="nil"/>
              <w:bottom w:val="single" w:sz="4" w:space="0" w:color="auto"/>
              <w:right w:val="single" w:sz="4" w:space="0" w:color="auto"/>
            </w:tcBorders>
            <w:shd w:val="clear" w:color="auto" w:fill="auto"/>
            <w:vAlign w:val="center"/>
            <w:hideMark/>
          </w:tcPr>
          <w:p w14:paraId="581FBAD3" w14:textId="77777777" w:rsidR="00C9398D" w:rsidRPr="00B92499" w:rsidRDefault="00C9398D" w:rsidP="00CF534F">
            <w:pPr>
              <w:jc w:val="center"/>
              <w:rPr>
                <w:rFonts w:ascii="Arial" w:hAnsi="Arial" w:cs="Arial"/>
                <w:color w:val="000000"/>
                <w:sz w:val="20"/>
                <w:szCs w:val="20"/>
              </w:rPr>
            </w:pPr>
            <w:r w:rsidRPr="00B92499">
              <w:rPr>
                <w:rFonts w:ascii="Arial" w:hAnsi="Arial" w:cs="Arial"/>
                <w:color w:val="000000"/>
                <w:sz w:val="20"/>
                <w:szCs w:val="20"/>
              </w:rPr>
              <w:t>4</w:t>
            </w:r>
          </w:p>
        </w:tc>
        <w:tc>
          <w:tcPr>
            <w:tcW w:w="0" w:type="auto"/>
            <w:tcBorders>
              <w:top w:val="nil"/>
              <w:left w:val="nil"/>
              <w:bottom w:val="single" w:sz="4" w:space="0" w:color="auto"/>
              <w:right w:val="single" w:sz="4" w:space="0" w:color="auto"/>
            </w:tcBorders>
            <w:shd w:val="clear" w:color="auto" w:fill="auto"/>
            <w:vAlign w:val="center"/>
            <w:hideMark/>
          </w:tcPr>
          <w:p w14:paraId="544F06F8" w14:textId="77777777" w:rsidR="00C9398D" w:rsidRPr="00B92499" w:rsidRDefault="00C9398D" w:rsidP="00CF534F">
            <w:pPr>
              <w:jc w:val="center"/>
              <w:rPr>
                <w:rFonts w:ascii="Arial" w:hAnsi="Arial" w:cs="Arial"/>
                <w:color w:val="000000"/>
                <w:sz w:val="20"/>
                <w:szCs w:val="20"/>
              </w:rPr>
            </w:pPr>
            <w:r w:rsidRPr="00B92499">
              <w:rPr>
                <w:rFonts w:ascii="Arial" w:hAnsi="Arial" w:cs="Arial"/>
                <w:color w:val="000000"/>
                <w:sz w:val="20"/>
                <w:szCs w:val="20"/>
              </w:rPr>
              <w:t>4</w:t>
            </w:r>
          </w:p>
        </w:tc>
        <w:tc>
          <w:tcPr>
            <w:tcW w:w="0" w:type="auto"/>
            <w:tcBorders>
              <w:top w:val="nil"/>
              <w:left w:val="nil"/>
              <w:bottom w:val="single" w:sz="4" w:space="0" w:color="auto"/>
              <w:right w:val="single" w:sz="4" w:space="0" w:color="auto"/>
            </w:tcBorders>
            <w:shd w:val="clear" w:color="auto" w:fill="auto"/>
            <w:vAlign w:val="center"/>
            <w:hideMark/>
          </w:tcPr>
          <w:p w14:paraId="76CB3B85" w14:textId="77777777" w:rsidR="00C9398D" w:rsidRPr="00B92499" w:rsidRDefault="00C9398D" w:rsidP="00CF534F">
            <w:pPr>
              <w:jc w:val="center"/>
              <w:rPr>
                <w:rFonts w:ascii="Arial" w:hAnsi="Arial" w:cs="Arial"/>
                <w:color w:val="000000"/>
                <w:sz w:val="20"/>
                <w:szCs w:val="20"/>
              </w:rPr>
            </w:pPr>
            <w:r w:rsidRPr="00B92499">
              <w:rPr>
                <w:rFonts w:ascii="Arial" w:hAnsi="Arial" w:cs="Arial"/>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6DB75EF1" w14:textId="77777777" w:rsidR="00C9398D" w:rsidRPr="00B92499" w:rsidRDefault="00C9398D" w:rsidP="00CF534F">
            <w:pPr>
              <w:jc w:val="center"/>
              <w:rPr>
                <w:rFonts w:ascii="Arial" w:hAnsi="Arial" w:cs="Arial"/>
                <w:color w:val="000000"/>
                <w:sz w:val="20"/>
                <w:szCs w:val="20"/>
              </w:rPr>
            </w:pPr>
            <w:r w:rsidRPr="00B92499">
              <w:rPr>
                <w:rFonts w:ascii="Arial" w:hAnsi="Arial" w:cs="Arial"/>
                <w:color w:val="000000"/>
                <w:sz w:val="20"/>
                <w:szCs w:val="20"/>
              </w:rPr>
              <w:t>0</w:t>
            </w:r>
          </w:p>
        </w:tc>
      </w:tr>
      <w:tr w:rsidR="00C9398D" w:rsidRPr="00B92499" w14:paraId="239AF53B" w14:textId="77777777" w:rsidTr="00F93DEA">
        <w:trPr>
          <w:trHeight w:val="458"/>
        </w:trPr>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14:paraId="6952C709" w14:textId="77777777" w:rsidR="00C9398D" w:rsidRPr="00B92499" w:rsidRDefault="00C9398D" w:rsidP="00CF534F">
            <w:pPr>
              <w:jc w:val="center"/>
              <w:rPr>
                <w:rFonts w:ascii="Arial" w:hAnsi="Arial" w:cs="Arial"/>
                <w:b/>
                <w:bCs/>
                <w:color w:val="000000"/>
                <w:sz w:val="20"/>
                <w:szCs w:val="20"/>
              </w:rPr>
            </w:pPr>
            <w:r w:rsidRPr="00B92499">
              <w:rPr>
                <w:rFonts w:ascii="Arial" w:hAnsi="Arial" w:cs="Arial"/>
                <w:b/>
                <w:bCs/>
                <w:color w:val="000000"/>
                <w:sz w:val="20"/>
                <w:szCs w:val="20"/>
              </w:rPr>
              <w:t>Órganos Desconcentrados</w:t>
            </w:r>
          </w:p>
        </w:tc>
        <w:tc>
          <w:tcPr>
            <w:tcW w:w="1207" w:type="dxa"/>
            <w:vMerge w:val="restart"/>
            <w:tcBorders>
              <w:top w:val="nil"/>
              <w:left w:val="single" w:sz="4" w:space="0" w:color="auto"/>
              <w:bottom w:val="single" w:sz="4" w:space="0" w:color="auto"/>
              <w:right w:val="single" w:sz="4" w:space="0" w:color="auto"/>
            </w:tcBorders>
            <w:shd w:val="clear" w:color="000000" w:fill="FFFFFF"/>
            <w:vAlign w:val="center"/>
            <w:hideMark/>
          </w:tcPr>
          <w:p w14:paraId="27AA9EB4" w14:textId="77777777" w:rsidR="00C9398D" w:rsidRPr="00B92499" w:rsidRDefault="00C9398D" w:rsidP="00CF534F">
            <w:pPr>
              <w:jc w:val="center"/>
              <w:rPr>
                <w:rFonts w:ascii="Arial" w:hAnsi="Arial" w:cs="Arial"/>
                <w:b/>
                <w:bCs/>
                <w:color w:val="000000"/>
                <w:sz w:val="20"/>
                <w:szCs w:val="20"/>
              </w:rPr>
            </w:pPr>
            <w:r w:rsidRPr="00B92499">
              <w:rPr>
                <w:rFonts w:ascii="Arial" w:hAnsi="Arial" w:cs="Arial"/>
                <w:b/>
                <w:bCs/>
                <w:color w:val="000000"/>
                <w:sz w:val="20"/>
                <w:szCs w:val="20"/>
              </w:rPr>
              <w:t>8</w:t>
            </w:r>
          </w:p>
        </w:tc>
        <w:tc>
          <w:tcPr>
            <w:tcW w:w="1420" w:type="dxa"/>
            <w:vMerge w:val="restart"/>
            <w:tcBorders>
              <w:top w:val="nil"/>
              <w:left w:val="single" w:sz="4" w:space="0" w:color="auto"/>
              <w:bottom w:val="single" w:sz="4" w:space="0" w:color="auto"/>
              <w:right w:val="single" w:sz="4" w:space="0" w:color="auto"/>
            </w:tcBorders>
            <w:shd w:val="clear" w:color="auto" w:fill="auto"/>
            <w:vAlign w:val="center"/>
            <w:hideMark/>
          </w:tcPr>
          <w:p w14:paraId="57973196" w14:textId="77777777" w:rsidR="00C9398D" w:rsidRPr="00B92499" w:rsidRDefault="00C9398D" w:rsidP="00CF534F">
            <w:pPr>
              <w:jc w:val="center"/>
              <w:rPr>
                <w:rFonts w:ascii="Arial" w:hAnsi="Arial" w:cs="Arial"/>
                <w:color w:val="000000"/>
                <w:sz w:val="20"/>
                <w:szCs w:val="20"/>
              </w:rPr>
            </w:pPr>
            <w:r w:rsidRPr="00B92499">
              <w:rPr>
                <w:rFonts w:ascii="Arial" w:hAnsi="Arial" w:cs="Arial"/>
                <w:color w:val="000000"/>
                <w:sz w:val="20"/>
                <w:szCs w:val="20"/>
              </w:rPr>
              <w:t>1</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E562B4C" w14:textId="77777777" w:rsidR="00C9398D" w:rsidRPr="00B92499" w:rsidRDefault="00C9398D" w:rsidP="00CF534F">
            <w:pPr>
              <w:jc w:val="center"/>
              <w:rPr>
                <w:rFonts w:ascii="Arial" w:hAnsi="Arial" w:cs="Arial"/>
                <w:color w:val="000000"/>
                <w:sz w:val="20"/>
                <w:szCs w:val="20"/>
              </w:rPr>
            </w:pPr>
            <w:r w:rsidRPr="00B92499">
              <w:rPr>
                <w:rFonts w:ascii="Arial" w:hAnsi="Arial" w:cs="Arial"/>
                <w:color w:val="000000"/>
                <w:sz w:val="20"/>
                <w:szCs w:val="20"/>
              </w:rPr>
              <w:t>4</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AC7DA5A" w14:textId="77777777" w:rsidR="00C9398D" w:rsidRPr="00B92499" w:rsidRDefault="00C9398D" w:rsidP="00CF534F">
            <w:pPr>
              <w:jc w:val="center"/>
              <w:rPr>
                <w:rFonts w:ascii="Arial" w:hAnsi="Arial" w:cs="Arial"/>
                <w:color w:val="000000"/>
                <w:sz w:val="20"/>
                <w:szCs w:val="20"/>
              </w:rPr>
            </w:pPr>
            <w:r w:rsidRPr="00B92499">
              <w:rPr>
                <w:rFonts w:ascii="Arial" w:hAnsi="Arial" w:cs="Arial"/>
                <w:color w:val="000000"/>
                <w:sz w:val="20"/>
                <w:szCs w:val="20"/>
              </w:rPr>
              <w:t>3</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0107D12" w14:textId="77777777" w:rsidR="00C9398D" w:rsidRPr="00B92499" w:rsidRDefault="00C9398D" w:rsidP="00CF534F">
            <w:pPr>
              <w:jc w:val="center"/>
              <w:rPr>
                <w:rFonts w:ascii="Arial" w:hAnsi="Arial" w:cs="Arial"/>
                <w:color w:val="000000"/>
                <w:sz w:val="20"/>
                <w:szCs w:val="20"/>
              </w:rPr>
            </w:pPr>
            <w:r w:rsidRPr="00B92499">
              <w:rPr>
                <w:rFonts w:ascii="Arial" w:hAnsi="Arial" w:cs="Arial"/>
                <w:color w:val="000000"/>
                <w:sz w:val="20"/>
                <w:szCs w:val="20"/>
              </w:rPr>
              <w:t>0</w:t>
            </w:r>
          </w:p>
        </w:tc>
      </w:tr>
      <w:tr w:rsidR="00C9398D" w:rsidRPr="00B92499" w14:paraId="3ABFE398" w14:textId="77777777" w:rsidTr="00F93DEA">
        <w:trPr>
          <w:trHeight w:val="458"/>
        </w:trPr>
        <w:tc>
          <w:tcPr>
            <w:tcW w:w="0" w:type="auto"/>
            <w:vMerge/>
            <w:tcBorders>
              <w:top w:val="nil"/>
              <w:left w:val="single" w:sz="4" w:space="0" w:color="auto"/>
              <w:bottom w:val="single" w:sz="4" w:space="0" w:color="auto"/>
              <w:right w:val="single" w:sz="4" w:space="0" w:color="auto"/>
            </w:tcBorders>
            <w:vAlign w:val="center"/>
            <w:hideMark/>
          </w:tcPr>
          <w:p w14:paraId="0ABE9C2C" w14:textId="77777777" w:rsidR="00C9398D" w:rsidRPr="00B92499" w:rsidRDefault="00C9398D" w:rsidP="00CF534F">
            <w:pPr>
              <w:jc w:val="center"/>
              <w:rPr>
                <w:rFonts w:ascii="Arial" w:hAnsi="Arial" w:cs="Arial"/>
                <w:b/>
                <w:bCs/>
                <w:color w:val="000000"/>
                <w:sz w:val="20"/>
                <w:szCs w:val="20"/>
              </w:rPr>
            </w:pPr>
          </w:p>
        </w:tc>
        <w:tc>
          <w:tcPr>
            <w:tcW w:w="1207" w:type="dxa"/>
            <w:vMerge/>
            <w:tcBorders>
              <w:top w:val="nil"/>
              <w:left w:val="single" w:sz="4" w:space="0" w:color="auto"/>
              <w:bottom w:val="single" w:sz="4" w:space="0" w:color="auto"/>
              <w:right w:val="single" w:sz="4" w:space="0" w:color="auto"/>
            </w:tcBorders>
            <w:vAlign w:val="center"/>
            <w:hideMark/>
          </w:tcPr>
          <w:p w14:paraId="4D79FF41" w14:textId="77777777" w:rsidR="00C9398D" w:rsidRPr="00B92499" w:rsidRDefault="00C9398D" w:rsidP="00CF534F">
            <w:pPr>
              <w:jc w:val="center"/>
              <w:rPr>
                <w:rFonts w:ascii="Arial" w:hAnsi="Arial" w:cs="Arial"/>
                <w:b/>
                <w:bCs/>
                <w:color w:val="000000"/>
                <w:sz w:val="20"/>
                <w:szCs w:val="20"/>
              </w:rPr>
            </w:pPr>
          </w:p>
        </w:tc>
        <w:tc>
          <w:tcPr>
            <w:tcW w:w="1420" w:type="dxa"/>
            <w:vMerge/>
            <w:tcBorders>
              <w:top w:val="nil"/>
              <w:left w:val="single" w:sz="4" w:space="0" w:color="auto"/>
              <w:bottom w:val="single" w:sz="4" w:space="0" w:color="auto"/>
              <w:right w:val="single" w:sz="4" w:space="0" w:color="auto"/>
            </w:tcBorders>
            <w:vAlign w:val="center"/>
            <w:hideMark/>
          </w:tcPr>
          <w:p w14:paraId="5C422E16" w14:textId="77777777" w:rsidR="00C9398D" w:rsidRPr="00B92499" w:rsidRDefault="00C9398D" w:rsidP="00CF534F">
            <w:pPr>
              <w:jc w:val="center"/>
              <w:rPr>
                <w:rFonts w:ascii="Arial" w:hAnsi="Arial" w:cs="Arial"/>
                <w:color w:val="00000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14:paraId="71EEFB26" w14:textId="77777777" w:rsidR="00C9398D" w:rsidRPr="00B92499" w:rsidRDefault="00C9398D" w:rsidP="00CF534F">
            <w:pPr>
              <w:jc w:val="center"/>
              <w:rPr>
                <w:rFonts w:ascii="Arial" w:hAnsi="Arial" w:cs="Arial"/>
                <w:color w:val="00000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14:paraId="7825D5FD" w14:textId="77777777" w:rsidR="00C9398D" w:rsidRPr="00B92499" w:rsidRDefault="00C9398D" w:rsidP="00CF534F">
            <w:pPr>
              <w:jc w:val="center"/>
              <w:rPr>
                <w:rFonts w:ascii="Arial" w:hAnsi="Arial" w:cs="Arial"/>
                <w:color w:val="00000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14:paraId="5E8F4E68" w14:textId="77777777" w:rsidR="00C9398D" w:rsidRPr="00B92499" w:rsidRDefault="00C9398D" w:rsidP="00CF534F">
            <w:pPr>
              <w:jc w:val="center"/>
              <w:rPr>
                <w:rFonts w:ascii="Arial" w:hAnsi="Arial" w:cs="Arial"/>
                <w:color w:val="000000"/>
                <w:sz w:val="20"/>
                <w:szCs w:val="20"/>
              </w:rPr>
            </w:pPr>
          </w:p>
        </w:tc>
      </w:tr>
      <w:tr w:rsidR="00C9398D" w:rsidRPr="00B92499" w14:paraId="6F467D0E" w14:textId="77777777" w:rsidTr="00F93DEA">
        <w:trPr>
          <w:trHeight w:val="397"/>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E8B02B3" w14:textId="77777777" w:rsidR="00C9398D" w:rsidRPr="00B92499" w:rsidRDefault="00C9398D" w:rsidP="00CF534F">
            <w:pPr>
              <w:jc w:val="center"/>
              <w:rPr>
                <w:rFonts w:ascii="Arial" w:hAnsi="Arial" w:cs="Arial"/>
                <w:b/>
                <w:bCs/>
                <w:color w:val="000000"/>
                <w:sz w:val="20"/>
                <w:szCs w:val="20"/>
              </w:rPr>
            </w:pPr>
            <w:r w:rsidRPr="00B92499">
              <w:rPr>
                <w:rFonts w:ascii="Arial" w:hAnsi="Arial" w:cs="Arial"/>
                <w:b/>
                <w:bCs/>
                <w:color w:val="000000"/>
                <w:sz w:val="20"/>
                <w:szCs w:val="20"/>
              </w:rPr>
              <w:t>Alcaldías</w:t>
            </w:r>
          </w:p>
        </w:tc>
        <w:tc>
          <w:tcPr>
            <w:tcW w:w="1207" w:type="dxa"/>
            <w:tcBorders>
              <w:top w:val="nil"/>
              <w:left w:val="nil"/>
              <w:bottom w:val="single" w:sz="4" w:space="0" w:color="auto"/>
              <w:right w:val="single" w:sz="4" w:space="0" w:color="auto"/>
            </w:tcBorders>
            <w:shd w:val="clear" w:color="000000" w:fill="FFFFFF"/>
            <w:vAlign w:val="center"/>
            <w:hideMark/>
          </w:tcPr>
          <w:p w14:paraId="65F38DFA" w14:textId="77777777" w:rsidR="00C9398D" w:rsidRPr="00B92499" w:rsidRDefault="00C9398D" w:rsidP="00CF534F">
            <w:pPr>
              <w:jc w:val="center"/>
              <w:rPr>
                <w:rFonts w:ascii="Arial" w:hAnsi="Arial" w:cs="Arial"/>
                <w:b/>
                <w:bCs/>
                <w:color w:val="000000"/>
                <w:sz w:val="20"/>
                <w:szCs w:val="20"/>
              </w:rPr>
            </w:pPr>
            <w:r w:rsidRPr="00B92499">
              <w:rPr>
                <w:rFonts w:ascii="Arial" w:hAnsi="Arial" w:cs="Arial"/>
                <w:b/>
                <w:bCs/>
                <w:color w:val="000000"/>
                <w:sz w:val="20"/>
                <w:szCs w:val="20"/>
              </w:rPr>
              <w:t>16</w:t>
            </w:r>
          </w:p>
        </w:tc>
        <w:tc>
          <w:tcPr>
            <w:tcW w:w="1420" w:type="dxa"/>
            <w:tcBorders>
              <w:top w:val="nil"/>
              <w:left w:val="nil"/>
              <w:bottom w:val="single" w:sz="4" w:space="0" w:color="auto"/>
              <w:right w:val="single" w:sz="4" w:space="0" w:color="auto"/>
            </w:tcBorders>
            <w:shd w:val="clear" w:color="auto" w:fill="auto"/>
            <w:vAlign w:val="center"/>
            <w:hideMark/>
          </w:tcPr>
          <w:p w14:paraId="4B9AA0E3" w14:textId="77777777" w:rsidR="00C9398D" w:rsidRPr="00B92499" w:rsidRDefault="00C9398D" w:rsidP="00CF534F">
            <w:pPr>
              <w:jc w:val="center"/>
              <w:rPr>
                <w:rFonts w:ascii="Arial" w:hAnsi="Arial" w:cs="Arial"/>
                <w:color w:val="000000"/>
                <w:sz w:val="20"/>
                <w:szCs w:val="20"/>
              </w:rPr>
            </w:pPr>
            <w:r w:rsidRPr="00B92499">
              <w:rPr>
                <w:rFonts w:ascii="Arial" w:hAnsi="Arial" w:cs="Arial"/>
                <w:color w:val="000000"/>
                <w:sz w:val="20"/>
                <w:szCs w:val="20"/>
              </w:rPr>
              <w:t>2</w:t>
            </w:r>
          </w:p>
        </w:tc>
        <w:tc>
          <w:tcPr>
            <w:tcW w:w="0" w:type="auto"/>
            <w:tcBorders>
              <w:top w:val="nil"/>
              <w:left w:val="nil"/>
              <w:bottom w:val="single" w:sz="4" w:space="0" w:color="auto"/>
              <w:right w:val="single" w:sz="4" w:space="0" w:color="auto"/>
            </w:tcBorders>
            <w:shd w:val="clear" w:color="auto" w:fill="auto"/>
            <w:vAlign w:val="center"/>
            <w:hideMark/>
          </w:tcPr>
          <w:p w14:paraId="061B01FB" w14:textId="77777777" w:rsidR="00C9398D" w:rsidRPr="00B92499" w:rsidRDefault="00C9398D" w:rsidP="00CF534F">
            <w:pPr>
              <w:jc w:val="center"/>
              <w:rPr>
                <w:rFonts w:ascii="Arial" w:hAnsi="Arial" w:cs="Arial"/>
                <w:color w:val="000000"/>
                <w:sz w:val="20"/>
                <w:szCs w:val="20"/>
              </w:rPr>
            </w:pPr>
            <w:r w:rsidRPr="00B92499">
              <w:rPr>
                <w:rFonts w:ascii="Arial" w:hAnsi="Arial" w:cs="Arial"/>
                <w:color w:val="000000"/>
                <w:sz w:val="20"/>
                <w:szCs w:val="20"/>
              </w:rPr>
              <w:t>14</w:t>
            </w:r>
          </w:p>
        </w:tc>
        <w:tc>
          <w:tcPr>
            <w:tcW w:w="0" w:type="auto"/>
            <w:tcBorders>
              <w:top w:val="nil"/>
              <w:left w:val="nil"/>
              <w:bottom w:val="single" w:sz="4" w:space="0" w:color="auto"/>
              <w:right w:val="single" w:sz="4" w:space="0" w:color="auto"/>
            </w:tcBorders>
            <w:shd w:val="clear" w:color="auto" w:fill="auto"/>
            <w:vAlign w:val="center"/>
            <w:hideMark/>
          </w:tcPr>
          <w:p w14:paraId="5527A1AB" w14:textId="77777777" w:rsidR="00C9398D" w:rsidRPr="00B92499" w:rsidRDefault="00C9398D" w:rsidP="00CF534F">
            <w:pPr>
              <w:jc w:val="center"/>
              <w:rPr>
                <w:rFonts w:ascii="Arial" w:hAnsi="Arial" w:cs="Arial"/>
                <w:color w:val="000000"/>
                <w:sz w:val="20"/>
                <w:szCs w:val="20"/>
              </w:rPr>
            </w:pPr>
            <w:r w:rsidRPr="00B92499">
              <w:rPr>
                <w:rFonts w:ascii="Arial" w:hAnsi="Arial" w:cs="Arial"/>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6C7212C2" w14:textId="77777777" w:rsidR="00C9398D" w:rsidRPr="00B92499" w:rsidRDefault="00C9398D" w:rsidP="00CF534F">
            <w:pPr>
              <w:jc w:val="center"/>
              <w:rPr>
                <w:rFonts w:ascii="Arial" w:hAnsi="Arial" w:cs="Arial"/>
                <w:color w:val="000000"/>
                <w:sz w:val="20"/>
                <w:szCs w:val="20"/>
              </w:rPr>
            </w:pPr>
            <w:r w:rsidRPr="00B92499">
              <w:rPr>
                <w:rFonts w:ascii="Arial" w:hAnsi="Arial" w:cs="Arial"/>
                <w:color w:val="000000"/>
                <w:sz w:val="20"/>
                <w:szCs w:val="20"/>
              </w:rPr>
              <w:t>0</w:t>
            </w:r>
          </w:p>
        </w:tc>
      </w:tr>
      <w:tr w:rsidR="00C9398D" w:rsidRPr="00B92499" w14:paraId="08598690" w14:textId="77777777" w:rsidTr="00F93DEA">
        <w:trPr>
          <w:trHeight w:val="397"/>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E388788" w14:textId="77777777" w:rsidR="00C9398D" w:rsidRPr="00B92499" w:rsidRDefault="00C9398D" w:rsidP="00CF534F">
            <w:pPr>
              <w:jc w:val="center"/>
              <w:rPr>
                <w:rFonts w:ascii="Arial" w:hAnsi="Arial" w:cs="Arial"/>
                <w:b/>
                <w:bCs/>
                <w:color w:val="000000"/>
                <w:sz w:val="20"/>
                <w:szCs w:val="20"/>
              </w:rPr>
            </w:pPr>
            <w:r w:rsidRPr="00B92499">
              <w:rPr>
                <w:rFonts w:ascii="Arial" w:hAnsi="Arial" w:cs="Arial"/>
                <w:b/>
                <w:bCs/>
                <w:color w:val="000000"/>
                <w:sz w:val="20"/>
                <w:szCs w:val="20"/>
              </w:rPr>
              <w:t>Poder Legislativo</w:t>
            </w:r>
          </w:p>
        </w:tc>
        <w:tc>
          <w:tcPr>
            <w:tcW w:w="1207" w:type="dxa"/>
            <w:tcBorders>
              <w:top w:val="nil"/>
              <w:left w:val="nil"/>
              <w:bottom w:val="single" w:sz="4" w:space="0" w:color="auto"/>
              <w:right w:val="single" w:sz="4" w:space="0" w:color="auto"/>
            </w:tcBorders>
            <w:shd w:val="clear" w:color="000000" w:fill="FFFFFF"/>
            <w:vAlign w:val="center"/>
            <w:hideMark/>
          </w:tcPr>
          <w:p w14:paraId="59B45993" w14:textId="77777777" w:rsidR="00C9398D" w:rsidRPr="00B92499" w:rsidRDefault="00C9398D" w:rsidP="00CF534F">
            <w:pPr>
              <w:jc w:val="center"/>
              <w:rPr>
                <w:rFonts w:ascii="Arial" w:hAnsi="Arial" w:cs="Arial"/>
                <w:b/>
                <w:bCs/>
                <w:color w:val="000000"/>
                <w:sz w:val="20"/>
                <w:szCs w:val="20"/>
              </w:rPr>
            </w:pPr>
            <w:r w:rsidRPr="00B92499">
              <w:rPr>
                <w:rFonts w:ascii="Arial" w:hAnsi="Arial" w:cs="Arial"/>
                <w:b/>
                <w:bCs/>
                <w:color w:val="000000"/>
                <w:sz w:val="20"/>
                <w:szCs w:val="20"/>
              </w:rPr>
              <w:t>1</w:t>
            </w:r>
          </w:p>
        </w:tc>
        <w:tc>
          <w:tcPr>
            <w:tcW w:w="1420" w:type="dxa"/>
            <w:tcBorders>
              <w:top w:val="nil"/>
              <w:left w:val="nil"/>
              <w:bottom w:val="single" w:sz="4" w:space="0" w:color="auto"/>
              <w:right w:val="single" w:sz="4" w:space="0" w:color="auto"/>
            </w:tcBorders>
            <w:shd w:val="clear" w:color="auto" w:fill="auto"/>
            <w:vAlign w:val="center"/>
            <w:hideMark/>
          </w:tcPr>
          <w:p w14:paraId="76DD4F44" w14:textId="77777777" w:rsidR="00C9398D" w:rsidRPr="00B92499" w:rsidRDefault="00C9398D" w:rsidP="00CF534F">
            <w:pPr>
              <w:jc w:val="center"/>
              <w:rPr>
                <w:rFonts w:ascii="Arial" w:hAnsi="Arial" w:cs="Arial"/>
                <w:color w:val="000000"/>
                <w:sz w:val="20"/>
                <w:szCs w:val="20"/>
              </w:rPr>
            </w:pPr>
            <w:r w:rsidRPr="00B92499">
              <w:rPr>
                <w:rFonts w:ascii="Arial" w:hAnsi="Arial" w:cs="Arial"/>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2336CF01" w14:textId="77777777" w:rsidR="00C9398D" w:rsidRPr="00B92499" w:rsidRDefault="00C9398D" w:rsidP="00CF534F">
            <w:pPr>
              <w:jc w:val="center"/>
              <w:rPr>
                <w:rFonts w:ascii="Arial" w:hAnsi="Arial" w:cs="Arial"/>
                <w:color w:val="000000"/>
                <w:sz w:val="20"/>
                <w:szCs w:val="20"/>
              </w:rPr>
            </w:pPr>
            <w:r w:rsidRPr="00B92499">
              <w:rPr>
                <w:rFonts w:ascii="Arial" w:hAnsi="Arial" w:cs="Arial"/>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08B0110A" w14:textId="77777777" w:rsidR="00C9398D" w:rsidRPr="00B92499" w:rsidRDefault="00C9398D" w:rsidP="00CF534F">
            <w:pPr>
              <w:jc w:val="center"/>
              <w:rPr>
                <w:rFonts w:ascii="Arial" w:hAnsi="Arial" w:cs="Arial"/>
                <w:color w:val="000000"/>
                <w:sz w:val="20"/>
                <w:szCs w:val="20"/>
              </w:rPr>
            </w:pPr>
            <w:r w:rsidRPr="00B92499">
              <w:rPr>
                <w:rFonts w:ascii="Arial" w:hAnsi="Arial" w:cs="Arial"/>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658A5E88" w14:textId="77777777" w:rsidR="00C9398D" w:rsidRPr="00B92499" w:rsidRDefault="00C9398D" w:rsidP="00CF534F">
            <w:pPr>
              <w:jc w:val="center"/>
              <w:rPr>
                <w:rFonts w:ascii="Arial" w:hAnsi="Arial" w:cs="Arial"/>
                <w:color w:val="000000"/>
                <w:sz w:val="20"/>
                <w:szCs w:val="20"/>
              </w:rPr>
            </w:pPr>
            <w:r w:rsidRPr="00B92499">
              <w:rPr>
                <w:rFonts w:ascii="Arial" w:hAnsi="Arial" w:cs="Arial"/>
                <w:color w:val="000000"/>
                <w:sz w:val="20"/>
                <w:szCs w:val="20"/>
              </w:rPr>
              <w:t>0</w:t>
            </w:r>
          </w:p>
        </w:tc>
      </w:tr>
      <w:tr w:rsidR="00C9398D" w:rsidRPr="00B92499" w14:paraId="5FE9B384" w14:textId="77777777" w:rsidTr="00F93DEA">
        <w:trPr>
          <w:trHeight w:val="397"/>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D8BFF27" w14:textId="77777777" w:rsidR="00C9398D" w:rsidRPr="00B92499" w:rsidRDefault="00C9398D" w:rsidP="00CF534F">
            <w:pPr>
              <w:jc w:val="center"/>
              <w:rPr>
                <w:rFonts w:ascii="Arial" w:hAnsi="Arial" w:cs="Arial"/>
                <w:b/>
                <w:bCs/>
                <w:color w:val="000000"/>
                <w:sz w:val="20"/>
                <w:szCs w:val="20"/>
              </w:rPr>
            </w:pPr>
            <w:r w:rsidRPr="00B92499">
              <w:rPr>
                <w:rFonts w:ascii="Arial" w:hAnsi="Arial" w:cs="Arial"/>
                <w:b/>
                <w:bCs/>
                <w:color w:val="000000"/>
                <w:sz w:val="20"/>
                <w:szCs w:val="20"/>
              </w:rPr>
              <w:t>Órgano Autónomo</w:t>
            </w:r>
          </w:p>
        </w:tc>
        <w:tc>
          <w:tcPr>
            <w:tcW w:w="1207" w:type="dxa"/>
            <w:tcBorders>
              <w:top w:val="nil"/>
              <w:left w:val="nil"/>
              <w:bottom w:val="single" w:sz="4" w:space="0" w:color="auto"/>
              <w:right w:val="single" w:sz="4" w:space="0" w:color="auto"/>
            </w:tcBorders>
            <w:shd w:val="clear" w:color="000000" w:fill="FFFFFF"/>
            <w:vAlign w:val="center"/>
            <w:hideMark/>
          </w:tcPr>
          <w:p w14:paraId="2EC867E4" w14:textId="77777777" w:rsidR="00C9398D" w:rsidRPr="00B92499" w:rsidRDefault="00C9398D" w:rsidP="00CF534F">
            <w:pPr>
              <w:jc w:val="center"/>
              <w:rPr>
                <w:rFonts w:ascii="Arial" w:hAnsi="Arial" w:cs="Arial"/>
                <w:b/>
                <w:bCs/>
                <w:color w:val="000000"/>
                <w:sz w:val="20"/>
                <w:szCs w:val="20"/>
              </w:rPr>
            </w:pPr>
            <w:r w:rsidRPr="00B92499">
              <w:rPr>
                <w:rFonts w:ascii="Arial" w:hAnsi="Arial" w:cs="Arial"/>
                <w:b/>
                <w:bCs/>
                <w:color w:val="000000"/>
                <w:sz w:val="20"/>
                <w:szCs w:val="20"/>
              </w:rPr>
              <w:t>1</w:t>
            </w:r>
          </w:p>
        </w:tc>
        <w:tc>
          <w:tcPr>
            <w:tcW w:w="1420" w:type="dxa"/>
            <w:tcBorders>
              <w:top w:val="nil"/>
              <w:left w:val="nil"/>
              <w:bottom w:val="single" w:sz="4" w:space="0" w:color="auto"/>
              <w:right w:val="single" w:sz="4" w:space="0" w:color="auto"/>
            </w:tcBorders>
            <w:shd w:val="clear" w:color="auto" w:fill="auto"/>
            <w:vAlign w:val="center"/>
            <w:hideMark/>
          </w:tcPr>
          <w:p w14:paraId="59465EE2" w14:textId="77777777" w:rsidR="00C9398D" w:rsidRPr="00B92499" w:rsidRDefault="00C9398D" w:rsidP="00CF534F">
            <w:pPr>
              <w:jc w:val="center"/>
              <w:rPr>
                <w:rFonts w:ascii="Arial" w:hAnsi="Arial" w:cs="Arial"/>
                <w:color w:val="000000"/>
                <w:sz w:val="20"/>
                <w:szCs w:val="20"/>
              </w:rPr>
            </w:pPr>
            <w:r w:rsidRPr="00B92499">
              <w:rPr>
                <w:rFonts w:ascii="Arial" w:hAnsi="Arial" w:cs="Arial"/>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7BB2E1C2" w14:textId="77777777" w:rsidR="00C9398D" w:rsidRPr="00B92499" w:rsidRDefault="00C9398D" w:rsidP="00CF534F">
            <w:pPr>
              <w:jc w:val="center"/>
              <w:rPr>
                <w:rFonts w:ascii="Arial" w:hAnsi="Arial" w:cs="Arial"/>
                <w:color w:val="000000"/>
                <w:sz w:val="20"/>
                <w:szCs w:val="20"/>
              </w:rPr>
            </w:pPr>
            <w:r w:rsidRPr="00B92499">
              <w:rPr>
                <w:rFonts w:ascii="Arial" w:hAnsi="Arial" w:cs="Arial"/>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188BD1A1" w14:textId="77777777" w:rsidR="00C9398D" w:rsidRPr="00B92499" w:rsidRDefault="00C9398D" w:rsidP="00CF534F">
            <w:pPr>
              <w:jc w:val="center"/>
              <w:rPr>
                <w:rFonts w:ascii="Arial" w:hAnsi="Arial" w:cs="Arial"/>
                <w:color w:val="000000"/>
                <w:sz w:val="20"/>
                <w:szCs w:val="20"/>
              </w:rPr>
            </w:pPr>
            <w:r w:rsidRPr="00B92499">
              <w:rPr>
                <w:rFonts w:ascii="Arial" w:hAnsi="Arial" w:cs="Arial"/>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46F5D498" w14:textId="77777777" w:rsidR="00C9398D" w:rsidRPr="00B92499" w:rsidRDefault="00C9398D" w:rsidP="00CF534F">
            <w:pPr>
              <w:jc w:val="center"/>
              <w:rPr>
                <w:rFonts w:ascii="Arial" w:hAnsi="Arial" w:cs="Arial"/>
                <w:color w:val="000000"/>
                <w:sz w:val="20"/>
                <w:szCs w:val="20"/>
              </w:rPr>
            </w:pPr>
            <w:r w:rsidRPr="00B92499">
              <w:rPr>
                <w:rFonts w:ascii="Arial" w:hAnsi="Arial" w:cs="Arial"/>
                <w:color w:val="000000"/>
                <w:sz w:val="20"/>
                <w:szCs w:val="20"/>
              </w:rPr>
              <w:t>0</w:t>
            </w:r>
          </w:p>
        </w:tc>
      </w:tr>
      <w:tr w:rsidR="00C9398D" w:rsidRPr="00B92499" w14:paraId="575BC52E" w14:textId="77777777" w:rsidTr="00F93DEA">
        <w:trPr>
          <w:trHeight w:val="397"/>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398C92A" w14:textId="77777777" w:rsidR="00C9398D" w:rsidRPr="00B92499" w:rsidRDefault="00C9398D" w:rsidP="00CF534F">
            <w:pPr>
              <w:jc w:val="center"/>
              <w:rPr>
                <w:rFonts w:ascii="Arial" w:hAnsi="Arial" w:cs="Arial"/>
                <w:b/>
                <w:bCs/>
                <w:color w:val="000000"/>
                <w:sz w:val="20"/>
                <w:szCs w:val="20"/>
              </w:rPr>
            </w:pPr>
            <w:r w:rsidRPr="00B92499">
              <w:rPr>
                <w:rFonts w:ascii="Arial" w:hAnsi="Arial" w:cs="Arial"/>
                <w:b/>
                <w:bCs/>
                <w:color w:val="000000"/>
                <w:sz w:val="20"/>
                <w:szCs w:val="20"/>
              </w:rPr>
              <w:t>Sindicato</w:t>
            </w:r>
          </w:p>
        </w:tc>
        <w:tc>
          <w:tcPr>
            <w:tcW w:w="1207" w:type="dxa"/>
            <w:tcBorders>
              <w:top w:val="nil"/>
              <w:left w:val="nil"/>
              <w:bottom w:val="single" w:sz="4" w:space="0" w:color="auto"/>
              <w:right w:val="single" w:sz="4" w:space="0" w:color="auto"/>
            </w:tcBorders>
            <w:shd w:val="clear" w:color="000000" w:fill="FFFFFF"/>
            <w:vAlign w:val="center"/>
            <w:hideMark/>
          </w:tcPr>
          <w:p w14:paraId="376A0D8D" w14:textId="77777777" w:rsidR="00C9398D" w:rsidRPr="00B92499" w:rsidRDefault="00C9398D" w:rsidP="00CF534F">
            <w:pPr>
              <w:jc w:val="center"/>
              <w:rPr>
                <w:rFonts w:ascii="Arial" w:hAnsi="Arial" w:cs="Arial"/>
                <w:b/>
                <w:bCs/>
                <w:color w:val="000000"/>
                <w:sz w:val="20"/>
                <w:szCs w:val="20"/>
              </w:rPr>
            </w:pPr>
            <w:r w:rsidRPr="00B92499">
              <w:rPr>
                <w:rFonts w:ascii="Arial" w:hAnsi="Arial" w:cs="Arial"/>
                <w:b/>
                <w:bCs/>
                <w:color w:val="000000"/>
                <w:sz w:val="20"/>
                <w:szCs w:val="20"/>
              </w:rPr>
              <w:t>1</w:t>
            </w:r>
          </w:p>
        </w:tc>
        <w:tc>
          <w:tcPr>
            <w:tcW w:w="1420" w:type="dxa"/>
            <w:tcBorders>
              <w:top w:val="nil"/>
              <w:left w:val="nil"/>
              <w:bottom w:val="single" w:sz="4" w:space="0" w:color="auto"/>
              <w:right w:val="single" w:sz="4" w:space="0" w:color="auto"/>
            </w:tcBorders>
            <w:shd w:val="clear" w:color="auto" w:fill="auto"/>
            <w:vAlign w:val="center"/>
            <w:hideMark/>
          </w:tcPr>
          <w:p w14:paraId="7A96A406" w14:textId="77777777" w:rsidR="00C9398D" w:rsidRPr="00B92499" w:rsidRDefault="00C9398D" w:rsidP="00CF534F">
            <w:pPr>
              <w:jc w:val="center"/>
              <w:rPr>
                <w:rFonts w:ascii="Arial" w:hAnsi="Arial" w:cs="Arial"/>
                <w:color w:val="000000"/>
                <w:sz w:val="20"/>
                <w:szCs w:val="20"/>
              </w:rPr>
            </w:pPr>
            <w:r w:rsidRPr="00B92499">
              <w:rPr>
                <w:rFonts w:ascii="Arial" w:hAnsi="Arial" w:cs="Arial"/>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001F772A" w14:textId="77777777" w:rsidR="00C9398D" w:rsidRPr="00B92499" w:rsidRDefault="00C9398D" w:rsidP="00CF534F">
            <w:pPr>
              <w:jc w:val="center"/>
              <w:rPr>
                <w:rFonts w:ascii="Arial" w:hAnsi="Arial" w:cs="Arial"/>
                <w:color w:val="000000"/>
                <w:sz w:val="20"/>
                <w:szCs w:val="20"/>
              </w:rPr>
            </w:pPr>
            <w:r w:rsidRPr="00B92499">
              <w:rPr>
                <w:rFonts w:ascii="Arial" w:hAnsi="Arial" w:cs="Arial"/>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522B38D5" w14:textId="77777777" w:rsidR="00C9398D" w:rsidRPr="00B92499" w:rsidRDefault="00C9398D" w:rsidP="00CF534F">
            <w:pPr>
              <w:jc w:val="center"/>
              <w:rPr>
                <w:rFonts w:ascii="Arial" w:hAnsi="Arial" w:cs="Arial"/>
                <w:color w:val="000000"/>
                <w:sz w:val="20"/>
                <w:szCs w:val="20"/>
              </w:rPr>
            </w:pPr>
            <w:r w:rsidRPr="00B92499">
              <w:rPr>
                <w:rFonts w:ascii="Arial" w:hAnsi="Arial" w:cs="Arial"/>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5F303485" w14:textId="77777777" w:rsidR="00C9398D" w:rsidRPr="00B92499" w:rsidRDefault="00C9398D" w:rsidP="00CF534F">
            <w:pPr>
              <w:jc w:val="center"/>
              <w:rPr>
                <w:rFonts w:ascii="Arial" w:hAnsi="Arial" w:cs="Arial"/>
                <w:color w:val="000000"/>
                <w:sz w:val="20"/>
                <w:szCs w:val="20"/>
              </w:rPr>
            </w:pPr>
            <w:r w:rsidRPr="00B92499">
              <w:rPr>
                <w:rFonts w:ascii="Arial" w:hAnsi="Arial" w:cs="Arial"/>
                <w:color w:val="000000"/>
                <w:sz w:val="20"/>
                <w:szCs w:val="20"/>
              </w:rPr>
              <w:t>0</w:t>
            </w:r>
          </w:p>
        </w:tc>
      </w:tr>
      <w:tr w:rsidR="00C9398D" w:rsidRPr="00B92499" w14:paraId="3FAA185F" w14:textId="77777777" w:rsidTr="00F93DEA">
        <w:trPr>
          <w:trHeight w:val="397"/>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6A86101" w14:textId="77777777" w:rsidR="00C9398D" w:rsidRPr="00B92499" w:rsidRDefault="00C9398D" w:rsidP="00CF534F">
            <w:pPr>
              <w:jc w:val="center"/>
              <w:rPr>
                <w:rFonts w:ascii="Arial" w:hAnsi="Arial" w:cs="Arial"/>
                <w:b/>
                <w:bCs/>
                <w:color w:val="000000"/>
                <w:sz w:val="20"/>
                <w:szCs w:val="20"/>
              </w:rPr>
            </w:pPr>
            <w:r w:rsidRPr="00B92499">
              <w:rPr>
                <w:rFonts w:ascii="Arial" w:hAnsi="Arial" w:cs="Arial"/>
                <w:b/>
                <w:bCs/>
                <w:color w:val="000000"/>
                <w:sz w:val="20"/>
                <w:szCs w:val="20"/>
              </w:rPr>
              <w:t>Total</w:t>
            </w:r>
          </w:p>
        </w:tc>
        <w:tc>
          <w:tcPr>
            <w:tcW w:w="1207" w:type="dxa"/>
            <w:tcBorders>
              <w:top w:val="nil"/>
              <w:left w:val="nil"/>
              <w:bottom w:val="single" w:sz="4" w:space="0" w:color="auto"/>
              <w:right w:val="single" w:sz="4" w:space="0" w:color="auto"/>
            </w:tcBorders>
            <w:shd w:val="clear" w:color="auto" w:fill="auto"/>
            <w:vAlign w:val="center"/>
            <w:hideMark/>
          </w:tcPr>
          <w:p w14:paraId="349E67C3" w14:textId="77777777" w:rsidR="00C9398D" w:rsidRPr="00B92499" w:rsidRDefault="00C9398D" w:rsidP="00CF534F">
            <w:pPr>
              <w:jc w:val="center"/>
              <w:rPr>
                <w:rFonts w:ascii="Arial" w:hAnsi="Arial" w:cs="Arial"/>
                <w:b/>
                <w:bCs/>
                <w:color w:val="000000"/>
                <w:sz w:val="20"/>
                <w:szCs w:val="20"/>
              </w:rPr>
            </w:pPr>
            <w:r w:rsidRPr="00B92499">
              <w:rPr>
                <w:rFonts w:ascii="Arial" w:hAnsi="Arial" w:cs="Arial"/>
                <w:b/>
                <w:bCs/>
                <w:color w:val="000000"/>
                <w:sz w:val="20"/>
                <w:szCs w:val="20"/>
              </w:rPr>
              <w:t>35</w:t>
            </w:r>
          </w:p>
        </w:tc>
        <w:tc>
          <w:tcPr>
            <w:tcW w:w="1420" w:type="dxa"/>
            <w:tcBorders>
              <w:top w:val="nil"/>
              <w:left w:val="nil"/>
              <w:bottom w:val="single" w:sz="4" w:space="0" w:color="auto"/>
              <w:right w:val="single" w:sz="4" w:space="0" w:color="auto"/>
            </w:tcBorders>
            <w:shd w:val="clear" w:color="auto" w:fill="auto"/>
            <w:vAlign w:val="center"/>
            <w:hideMark/>
          </w:tcPr>
          <w:p w14:paraId="3BFF7C2E" w14:textId="77777777" w:rsidR="00C9398D" w:rsidRPr="00B92499" w:rsidRDefault="00C9398D" w:rsidP="00CF534F">
            <w:pPr>
              <w:jc w:val="center"/>
              <w:rPr>
                <w:rFonts w:ascii="Arial" w:hAnsi="Arial" w:cs="Arial"/>
                <w:b/>
                <w:bCs/>
                <w:color w:val="000000"/>
                <w:sz w:val="20"/>
                <w:szCs w:val="20"/>
              </w:rPr>
            </w:pPr>
            <w:r w:rsidRPr="00B92499">
              <w:rPr>
                <w:rFonts w:ascii="Arial" w:hAnsi="Arial" w:cs="Arial"/>
                <w:b/>
                <w:bCs/>
                <w:color w:val="000000"/>
                <w:sz w:val="20"/>
                <w:szCs w:val="20"/>
              </w:rPr>
              <w:t>7</w:t>
            </w:r>
          </w:p>
        </w:tc>
        <w:tc>
          <w:tcPr>
            <w:tcW w:w="0" w:type="auto"/>
            <w:tcBorders>
              <w:top w:val="nil"/>
              <w:left w:val="nil"/>
              <w:bottom w:val="single" w:sz="4" w:space="0" w:color="auto"/>
              <w:right w:val="single" w:sz="4" w:space="0" w:color="auto"/>
            </w:tcBorders>
            <w:shd w:val="clear" w:color="auto" w:fill="auto"/>
            <w:vAlign w:val="center"/>
            <w:hideMark/>
          </w:tcPr>
          <w:p w14:paraId="534BD078" w14:textId="77777777" w:rsidR="00C9398D" w:rsidRPr="00B92499" w:rsidRDefault="00C9398D" w:rsidP="00CF534F">
            <w:pPr>
              <w:jc w:val="center"/>
              <w:rPr>
                <w:rFonts w:ascii="Arial" w:hAnsi="Arial" w:cs="Arial"/>
                <w:b/>
                <w:bCs/>
                <w:color w:val="000000"/>
                <w:sz w:val="20"/>
                <w:szCs w:val="20"/>
              </w:rPr>
            </w:pPr>
            <w:r w:rsidRPr="00B92499">
              <w:rPr>
                <w:rFonts w:ascii="Arial" w:hAnsi="Arial" w:cs="Arial"/>
                <w:b/>
                <w:bCs/>
                <w:color w:val="000000"/>
                <w:sz w:val="20"/>
                <w:szCs w:val="20"/>
              </w:rPr>
              <w:t>25</w:t>
            </w:r>
          </w:p>
        </w:tc>
        <w:tc>
          <w:tcPr>
            <w:tcW w:w="0" w:type="auto"/>
            <w:tcBorders>
              <w:top w:val="nil"/>
              <w:left w:val="nil"/>
              <w:bottom w:val="single" w:sz="4" w:space="0" w:color="auto"/>
              <w:right w:val="single" w:sz="4" w:space="0" w:color="auto"/>
            </w:tcBorders>
            <w:shd w:val="clear" w:color="auto" w:fill="auto"/>
            <w:vAlign w:val="center"/>
            <w:hideMark/>
          </w:tcPr>
          <w:p w14:paraId="1E896AAE" w14:textId="77777777" w:rsidR="00C9398D" w:rsidRPr="00B92499" w:rsidRDefault="00C9398D" w:rsidP="00CF534F">
            <w:pPr>
              <w:jc w:val="center"/>
              <w:rPr>
                <w:rFonts w:ascii="Arial" w:hAnsi="Arial" w:cs="Arial"/>
                <w:b/>
                <w:bCs/>
                <w:color w:val="000000"/>
                <w:sz w:val="20"/>
                <w:szCs w:val="20"/>
              </w:rPr>
            </w:pPr>
            <w:r w:rsidRPr="00B92499">
              <w:rPr>
                <w:rFonts w:ascii="Arial" w:hAnsi="Arial" w:cs="Arial"/>
                <w:b/>
                <w:bCs/>
                <w:color w:val="000000"/>
                <w:sz w:val="20"/>
                <w:szCs w:val="20"/>
              </w:rPr>
              <w:t>3</w:t>
            </w:r>
          </w:p>
        </w:tc>
        <w:tc>
          <w:tcPr>
            <w:tcW w:w="0" w:type="auto"/>
            <w:tcBorders>
              <w:top w:val="nil"/>
              <w:left w:val="nil"/>
              <w:bottom w:val="single" w:sz="4" w:space="0" w:color="auto"/>
              <w:right w:val="single" w:sz="4" w:space="0" w:color="auto"/>
            </w:tcBorders>
            <w:shd w:val="clear" w:color="auto" w:fill="auto"/>
            <w:vAlign w:val="center"/>
            <w:hideMark/>
          </w:tcPr>
          <w:p w14:paraId="18CE5BF2" w14:textId="77777777" w:rsidR="00C9398D" w:rsidRPr="00B92499" w:rsidRDefault="00C9398D" w:rsidP="00CF534F">
            <w:pPr>
              <w:jc w:val="center"/>
              <w:rPr>
                <w:rFonts w:ascii="Arial" w:hAnsi="Arial" w:cs="Arial"/>
                <w:b/>
                <w:bCs/>
                <w:color w:val="000000"/>
                <w:sz w:val="20"/>
                <w:szCs w:val="20"/>
              </w:rPr>
            </w:pPr>
            <w:r w:rsidRPr="00B92499">
              <w:rPr>
                <w:rFonts w:ascii="Arial" w:hAnsi="Arial" w:cs="Arial"/>
                <w:b/>
                <w:bCs/>
                <w:color w:val="000000"/>
                <w:sz w:val="20"/>
                <w:szCs w:val="20"/>
              </w:rPr>
              <w:t>0</w:t>
            </w:r>
          </w:p>
        </w:tc>
      </w:tr>
    </w:tbl>
    <w:p w14:paraId="7B75DCF5" w14:textId="77777777" w:rsidR="00C9398D" w:rsidRPr="00B92499" w:rsidRDefault="00C9398D" w:rsidP="00C9398D">
      <w:pPr>
        <w:pStyle w:val="Ttulo1"/>
        <w:jc w:val="center"/>
        <w:rPr>
          <w:rFonts w:ascii="Arial" w:hAnsi="Arial" w:cs="Arial"/>
          <w:b/>
          <w:color w:val="auto"/>
          <w:sz w:val="20"/>
          <w:szCs w:val="20"/>
        </w:rPr>
      </w:pPr>
    </w:p>
    <w:p w14:paraId="73AAAB25" w14:textId="77777777" w:rsidR="00C9398D" w:rsidRPr="00B92499" w:rsidRDefault="00C9398D" w:rsidP="00C9398D">
      <w:pPr>
        <w:jc w:val="center"/>
      </w:pPr>
      <w:r w:rsidRPr="00B92499">
        <w:rPr>
          <w:rFonts w:ascii="Arial" w:hAnsi="Arial" w:cs="Arial"/>
          <w:noProof/>
          <w:sz w:val="20"/>
          <w:szCs w:val="20"/>
          <w:lang w:eastAsia="es-MX"/>
        </w:rPr>
        <w:drawing>
          <wp:anchor distT="0" distB="0" distL="114300" distR="114300" simplePos="0" relativeHeight="251659264" behindDoc="0" locked="0" layoutInCell="1" allowOverlap="1" wp14:anchorId="7574AC4A" wp14:editId="18028AD9">
            <wp:simplePos x="0" y="0"/>
            <wp:positionH relativeFrom="column">
              <wp:posOffset>0</wp:posOffset>
            </wp:positionH>
            <wp:positionV relativeFrom="paragraph">
              <wp:posOffset>285115</wp:posOffset>
            </wp:positionV>
            <wp:extent cx="5486400" cy="3200400"/>
            <wp:effectExtent l="0" t="0" r="0" b="0"/>
            <wp:wrapSquare wrapText="bothSides"/>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14:paraId="18CBF492" w14:textId="015E6B75" w:rsidR="005A0F6E" w:rsidRPr="00B92499" w:rsidRDefault="005A0F6E" w:rsidP="002E7D47">
      <w:pPr>
        <w:contextualSpacing/>
        <w:rPr>
          <w:rFonts w:ascii="Arial" w:hAnsi="Arial" w:cs="Arial"/>
        </w:rPr>
      </w:pPr>
    </w:p>
    <w:p w14:paraId="1B43ED7D" w14:textId="77777777" w:rsidR="00C9398D" w:rsidRPr="00B92499" w:rsidRDefault="00C9398D">
      <w:pPr>
        <w:spacing w:after="160" w:line="259" w:lineRule="auto"/>
        <w:rPr>
          <w:rFonts w:ascii="Arial" w:eastAsiaTheme="majorEastAsia" w:hAnsi="Arial" w:cs="Arial"/>
          <w:b/>
          <w:szCs w:val="32"/>
          <w:lang w:val="es-ES_tradnl" w:eastAsia="en-US"/>
        </w:rPr>
      </w:pPr>
      <w:r w:rsidRPr="00B92499">
        <w:rPr>
          <w:rFonts w:ascii="Arial" w:hAnsi="Arial" w:cs="Arial"/>
          <w:b/>
        </w:rPr>
        <w:br w:type="page"/>
      </w:r>
    </w:p>
    <w:p w14:paraId="0D8152D6" w14:textId="28352E74" w:rsidR="00C9398D" w:rsidRPr="00B92499" w:rsidRDefault="00C9398D" w:rsidP="00C9398D">
      <w:pPr>
        <w:pStyle w:val="Ttulo1"/>
        <w:jc w:val="both"/>
        <w:rPr>
          <w:rFonts w:ascii="Arial" w:hAnsi="Arial" w:cs="Arial"/>
          <w:b/>
          <w:color w:val="auto"/>
          <w:sz w:val="24"/>
        </w:rPr>
      </w:pPr>
      <w:bookmarkStart w:id="8" w:name="_Toc23252966"/>
      <w:r w:rsidRPr="00B92499">
        <w:rPr>
          <w:rFonts w:ascii="Arial" w:hAnsi="Arial" w:cs="Arial"/>
          <w:b/>
          <w:color w:val="auto"/>
          <w:sz w:val="24"/>
        </w:rPr>
        <w:lastRenderedPageBreak/>
        <w:t>TABLA DE RESULTADOS DE LA SEGUNDA EVALUACIÓN VINCULANTE 2019, RESPECTO DEL PRIMER SEMESTRE DEL EJERCICIO 2019, SOBRE LOS 35 SUJETOS OBLIGADOS INCORPORADOS AL PADRÓN</w:t>
      </w:r>
      <w:bookmarkEnd w:id="8"/>
    </w:p>
    <w:p w14:paraId="1360C844" w14:textId="77777777" w:rsidR="00507F70" w:rsidRPr="00B92499" w:rsidRDefault="00507F70" w:rsidP="00507F70">
      <w:pPr>
        <w:jc w:val="both"/>
      </w:pPr>
    </w:p>
    <w:tbl>
      <w:tblPr>
        <w:tblW w:w="9634" w:type="dxa"/>
        <w:tblCellMar>
          <w:left w:w="70" w:type="dxa"/>
          <w:right w:w="70" w:type="dxa"/>
        </w:tblCellMar>
        <w:tblLook w:val="04A0" w:firstRow="1" w:lastRow="0" w:firstColumn="1" w:lastColumn="0" w:noHBand="0" w:noVBand="1"/>
      </w:tblPr>
      <w:tblGrid>
        <w:gridCol w:w="1271"/>
        <w:gridCol w:w="5812"/>
        <w:gridCol w:w="2551"/>
      </w:tblGrid>
      <w:tr w:rsidR="00507F70" w:rsidRPr="00B92499" w14:paraId="61D0E18C" w14:textId="77777777" w:rsidTr="00CF534F">
        <w:trPr>
          <w:trHeight w:val="960"/>
        </w:trPr>
        <w:tc>
          <w:tcPr>
            <w:tcW w:w="1271" w:type="dxa"/>
            <w:tcBorders>
              <w:top w:val="single" w:sz="4" w:space="0" w:color="auto"/>
              <w:left w:val="single" w:sz="4" w:space="0" w:color="auto"/>
              <w:bottom w:val="single" w:sz="4" w:space="0" w:color="auto"/>
              <w:right w:val="single" w:sz="4" w:space="0" w:color="auto"/>
            </w:tcBorders>
            <w:shd w:val="clear" w:color="000000" w:fill="33CCCC"/>
            <w:noWrap/>
            <w:vAlign w:val="center"/>
            <w:hideMark/>
          </w:tcPr>
          <w:p w14:paraId="02EF92DA" w14:textId="77777777" w:rsidR="00507F70" w:rsidRPr="00B92499" w:rsidRDefault="00507F70" w:rsidP="00CF534F">
            <w:pPr>
              <w:jc w:val="center"/>
              <w:rPr>
                <w:rFonts w:ascii="Arial" w:hAnsi="Arial" w:cs="Arial"/>
                <w:b/>
                <w:bCs/>
                <w:color w:val="000000"/>
                <w:sz w:val="16"/>
                <w:szCs w:val="16"/>
              </w:rPr>
            </w:pPr>
            <w:r w:rsidRPr="00B92499">
              <w:rPr>
                <w:rFonts w:ascii="Arial" w:hAnsi="Arial" w:cs="Arial"/>
                <w:b/>
                <w:bCs/>
                <w:color w:val="000000"/>
                <w:sz w:val="16"/>
                <w:szCs w:val="16"/>
              </w:rPr>
              <w:t>No.</w:t>
            </w:r>
          </w:p>
        </w:tc>
        <w:tc>
          <w:tcPr>
            <w:tcW w:w="5812" w:type="dxa"/>
            <w:tcBorders>
              <w:top w:val="single" w:sz="4" w:space="0" w:color="auto"/>
              <w:left w:val="nil"/>
              <w:bottom w:val="single" w:sz="4" w:space="0" w:color="auto"/>
              <w:right w:val="single" w:sz="4" w:space="0" w:color="auto"/>
            </w:tcBorders>
            <w:shd w:val="clear" w:color="auto" w:fill="33CCCC"/>
            <w:noWrap/>
            <w:vAlign w:val="center"/>
            <w:hideMark/>
          </w:tcPr>
          <w:p w14:paraId="3BE166E0" w14:textId="77777777" w:rsidR="00507F70" w:rsidRPr="00B92499" w:rsidRDefault="00507F70" w:rsidP="00CF534F">
            <w:pPr>
              <w:jc w:val="center"/>
              <w:rPr>
                <w:rFonts w:ascii="Arial" w:hAnsi="Arial" w:cs="Arial"/>
                <w:b/>
                <w:bCs/>
                <w:color w:val="000000"/>
                <w:sz w:val="16"/>
                <w:szCs w:val="16"/>
              </w:rPr>
            </w:pPr>
            <w:r w:rsidRPr="00B92499">
              <w:rPr>
                <w:rFonts w:ascii="Arial" w:hAnsi="Arial" w:cs="Arial"/>
                <w:b/>
                <w:bCs/>
                <w:color w:val="000000"/>
                <w:sz w:val="16"/>
                <w:szCs w:val="16"/>
              </w:rPr>
              <w:t>Denominación del Sujeto Obligado</w:t>
            </w:r>
          </w:p>
        </w:tc>
        <w:tc>
          <w:tcPr>
            <w:tcW w:w="2551" w:type="dxa"/>
            <w:tcBorders>
              <w:top w:val="single" w:sz="4" w:space="0" w:color="auto"/>
              <w:left w:val="nil"/>
              <w:bottom w:val="single" w:sz="4" w:space="0" w:color="auto"/>
              <w:right w:val="single" w:sz="4" w:space="0" w:color="auto"/>
            </w:tcBorders>
            <w:shd w:val="clear" w:color="000000" w:fill="33CCCC"/>
            <w:vAlign w:val="center"/>
            <w:hideMark/>
          </w:tcPr>
          <w:p w14:paraId="51346343" w14:textId="77777777" w:rsidR="00507F70" w:rsidRPr="00B92499" w:rsidRDefault="00507F70" w:rsidP="00CF534F">
            <w:pPr>
              <w:jc w:val="center"/>
              <w:rPr>
                <w:rFonts w:ascii="Arial" w:hAnsi="Arial" w:cs="Arial"/>
                <w:b/>
                <w:bCs/>
                <w:color w:val="000000"/>
                <w:sz w:val="16"/>
                <w:szCs w:val="16"/>
              </w:rPr>
            </w:pPr>
            <w:r w:rsidRPr="00B92499">
              <w:rPr>
                <w:rFonts w:ascii="Arial" w:hAnsi="Arial" w:cs="Arial"/>
                <w:b/>
                <w:bCs/>
                <w:color w:val="000000"/>
                <w:sz w:val="16"/>
                <w:szCs w:val="16"/>
              </w:rPr>
              <w:t>IGOT</w:t>
            </w:r>
            <w:r w:rsidRPr="00B92499">
              <w:rPr>
                <w:rFonts w:ascii="Arial" w:hAnsi="Arial" w:cs="Arial"/>
                <w:b/>
                <w:bCs/>
                <w:color w:val="000000"/>
                <w:sz w:val="16"/>
                <w:szCs w:val="16"/>
              </w:rPr>
              <w:br/>
              <w:t>(Índice General de Cumplimiento de Obligaciones de Transparencia)</w:t>
            </w:r>
            <w:r w:rsidRPr="00B92499">
              <w:rPr>
                <w:rFonts w:ascii="Arial" w:hAnsi="Arial" w:cs="Arial"/>
                <w:b/>
                <w:bCs/>
                <w:color w:val="000000"/>
                <w:sz w:val="16"/>
                <w:szCs w:val="16"/>
              </w:rPr>
              <w:br/>
              <w:t>2019</w:t>
            </w:r>
          </w:p>
        </w:tc>
      </w:tr>
      <w:tr w:rsidR="00507F70" w:rsidRPr="00B92499" w14:paraId="5F54C2B2" w14:textId="77777777" w:rsidTr="00CF534F">
        <w:trPr>
          <w:trHeight w:val="300"/>
        </w:trPr>
        <w:tc>
          <w:tcPr>
            <w:tcW w:w="9634" w:type="dxa"/>
            <w:gridSpan w:val="3"/>
            <w:tcBorders>
              <w:top w:val="single" w:sz="4" w:space="0" w:color="auto"/>
              <w:left w:val="single" w:sz="4" w:space="0" w:color="auto"/>
              <w:bottom w:val="single" w:sz="4" w:space="0" w:color="auto"/>
              <w:right w:val="single" w:sz="4" w:space="0" w:color="auto"/>
            </w:tcBorders>
            <w:shd w:val="clear" w:color="auto" w:fill="33CCCC"/>
            <w:vAlign w:val="center"/>
          </w:tcPr>
          <w:p w14:paraId="25699A64" w14:textId="77777777" w:rsidR="00507F70" w:rsidRPr="00B92499" w:rsidRDefault="00507F70" w:rsidP="00CF534F">
            <w:pPr>
              <w:jc w:val="center"/>
              <w:rPr>
                <w:rFonts w:ascii="Arial" w:hAnsi="Arial" w:cs="Arial"/>
                <w:b/>
                <w:bCs/>
                <w:color w:val="000000"/>
                <w:sz w:val="16"/>
                <w:szCs w:val="16"/>
              </w:rPr>
            </w:pPr>
            <w:r w:rsidRPr="00B92499">
              <w:rPr>
                <w:rFonts w:ascii="Arial" w:hAnsi="Arial" w:cs="Arial"/>
                <w:b/>
                <w:bCs/>
                <w:color w:val="000000"/>
                <w:sz w:val="16"/>
                <w:szCs w:val="16"/>
              </w:rPr>
              <w:t>Poder Ejecutivo - Administración Pública Central</w:t>
            </w:r>
          </w:p>
        </w:tc>
      </w:tr>
      <w:tr w:rsidR="00507F70" w:rsidRPr="00B92499" w14:paraId="50179CDE" w14:textId="77777777" w:rsidTr="00CF534F">
        <w:trPr>
          <w:trHeight w:val="300"/>
        </w:trPr>
        <w:tc>
          <w:tcPr>
            <w:tcW w:w="127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1BE14BC" w14:textId="77777777" w:rsidR="00507F70" w:rsidRPr="00B92499" w:rsidRDefault="00507F70" w:rsidP="00CF534F">
            <w:pPr>
              <w:jc w:val="center"/>
              <w:rPr>
                <w:rFonts w:ascii="Arial" w:hAnsi="Arial" w:cs="Arial"/>
                <w:color w:val="000000"/>
                <w:sz w:val="16"/>
                <w:szCs w:val="16"/>
              </w:rPr>
            </w:pPr>
            <w:r w:rsidRPr="00B92499">
              <w:rPr>
                <w:rFonts w:ascii="Arial" w:hAnsi="Arial" w:cs="Arial"/>
                <w:color w:val="000000"/>
                <w:sz w:val="16"/>
                <w:szCs w:val="16"/>
              </w:rPr>
              <w:t>1</w:t>
            </w:r>
          </w:p>
        </w:tc>
        <w:tc>
          <w:tcPr>
            <w:tcW w:w="5812" w:type="dxa"/>
            <w:tcBorders>
              <w:top w:val="single" w:sz="4" w:space="0" w:color="auto"/>
              <w:left w:val="nil"/>
              <w:bottom w:val="single" w:sz="4" w:space="0" w:color="auto"/>
              <w:right w:val="single" w:sz="4" w:space="0" w:color="auto"/>
            </w:tcBorders>
            <w:shd w:val="clear" w:color="000000" w:fill="FFFFFF"/>
            <w:noWrap/>
            <w:vAlign w:val="center"/>
            <w:hideMark/>
          </w:tcPr>
          <w:p w14:paraId="042E439F" w14:textId="77777777" w:rsidR="00507F70" w:rsidRPr="00B92499" w:rsidRDefault="00507F70" w:rsidP="00CF534F">
            <w:pPr>
              <w:rPr>
                <w:rFonts w:ascii="Arial" w:hAnsi="Arial" w:cs="Arial"/>
                <w:color w:val="000000"/>
                <w:sz w:val="16"/>
                <w:szCs w:val="16"/>
              </w:rPr>
            </w:pPr>
            <w:r w:rsidRPr="00B92499">
              <w:rPr>
                <w:rFonts w:ascii="Arial" w:hAnsi="Arial" w:cs="Arial"/>
                <w:color w:val="000000"/>
                <w:sz w:val="16"/>
                <w:szCs w:val="16"/>
              </w:rPr>
              <w:t>Secretaría de Administración y Finanzas</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14:paraId="7DE4DDA2" w14:textId="77777777" w:rsidR="00507F70" w:rsidRPr="00B92499" w:rsidRDefault="00507F70" w:rsidP="00CF534F">
            <w:pPr>
              <w:jc w:val="center"/>
              <w:rPr>
                <w:rFonts w:ascii="Arial" w:hAnsi="Arial" w:cs="Arial"/>
                <w:color w:val="000000"/>
                <w:sz w:val="16"/>
                <w:szCs w:val="16"/>
              </w:rPr>
            </w:pPr>
            <w:r w:rsidRPr="00B92499">
              <w:rPr>
                <w:rFonts w:ascii="Arial" w:hAnsi="Arial" w:cs="Arial"/>
                <w:color w:val="000000"/>
                <w:sz w:val="16"/>
                <w:szCs w:val="16"/>
              </w:rPr>
              <w:t>100</w:t>
            </w:r>
          </w:p>
        </w:tc>
      </w:tr>
      <w:tr w:rsidR="00507F70" w:rsidRPr="00B92499" w14:paraId="4B4F08A2" w14:textId="77777777" w:rsidTr="00CF534F">
        <w:trPr>
          <w:trHeight w:val="300"/>
        </w:trPr>
        <w:tc>
          <w:tcPr>
            <w:tcW w:w="1271" w:type="dxa"/>
            <w:tcBorders>
              <w:top w:val="nil"/>
              <w:left w:val="single" w:sz="4" w:space="0" w:color="auto"/>
              <w:bottom w:val="single" w:sz="4" w:space="0" w:color="auto"/>
              <w:right w:val="single" w:sz="4" w:space="0" w:color="auto"/>
            </w:tcBorders>
            <w:shd w:val="clear" w:color="000000" w:fill="FFFFFF"/>
            <w:vAlign w:val="center"/>
            <w:hideMark/>
          </w:tcPr>
          <w:p w14:paraId="34E9C4CB" w14:textId="77777777" w:rsidR="00507F70" w:rsidRPr="00B92499" w:rsidRDefault="00507F70" w:rsidP="00CF534F">
            <w:pPr>
              <w:jc w:val="center"/>
              <w:rPr>
                <w:rFonts w:ascii="Arial" w:hAnsi="Arial" w:cs="Arial"/>
                <w:color w:val="000000"/>
                <w:sz w:val="16"/>
                <w:szCs w:val="16"/>
              </w:rPr>
            </w:pPr>
            <w:r w:rsidRPr="00B92499">
              <w:rPr>
                <w:rFonts w:ascii="Arial" w:hAnsi="Arial" w:cs="Arial"/>
                <w:color w:val="000000"/>
                <w:sz w:val="16"/>
                <w:szCs w:val="16"/>
              </w:rPr>
              <w:t>2</w:t>
            </w:r>
          </w:p>
        </w:tc>
        <w:tc>
          <w:tcPr>
            <w:tcW w:w="5812" w:type="dxa"/>
            <w:tcBorders>
              <w:top w:val="nil"/>
              <w:left w:val="nil"/>
              <w:bottom w:val="single" w:sz="4" w:space="0" w:color="auto"/>
              <w:right w:val="single" w:sz="4" w:space="0" w:color="auto"/>
            </w:tcBorders>
            <w:shd w:val="clear" w:color="000000" w:fill="FFFFFF"/>
            <w:noWrap/>
            <w:vAlign w:val="center"/>
            <w:hideMark/>
          </w:tcPr>
          <w:p w14:paraId="072F78EA" w14:textId="77777777" w:rsidR="00507F70" w:rsidRPr="00B92499" w:rsidRDefault="00507F70" w:rsidP="00CF534F">
            <w:pPr>
              <w:rPr>
                <w:rFonts w:ascii="Arial" w:hAnsi="Arial" w:cs="Arial"/>
                <w:color w:val="000000"/>
                <w:sz w:val="16"/>
                <w:szCs w:val="16"/>
              </w:rPr>
            </w:pPr>
            <w:r w:rsidRPr="00B92499">
              <w:rPr>
                <w:rFonts w:ascii="Arial" w:hAnsi="Arial" w:cs="Arial"/>
                <w:color w:val="000000"/>
                <w:sz w:val="16"/>
                <w:szCs w:val="16"/>
              </w:rPr>
              <w:t xml:space="preserve">Secretaría de la Contraloría General </w:t>
            </w:r>
          </w:p>
        </w:tc>
        <w:tc>
          <w:tcPr>
            <w:tcW w:w="2551" w:type="dxa"/>
            <w:tcBorders>
              <w:top w:val="nil"/>
              <w:left w:val="nil"/>
              <w:bottom w:val="single" w:sz="4" w:space="0" w:color="auto"/>
              <w:right w:val="single" w:sz="4" w:space="0" w:color="auto"/>
            </w:tcBorders>
            <w:shd w:val="clear" w:color="auto" w:fill="auto"/>
            <w:vAlign w:val="center"/>
            <w:hideMark/>
          </w:tcPr>
          <w:p w14:paraId="433E6254" w14:textId="77777777" w:rsidR="00507F70" w:rsidRPr="00B92499" w:rsidRDefault="00507F70" w:rsidP="00CF534F">
            <w:pPr>
              <w:jc w:val="center"/>
              <w:rPr>
                <w:rFonts w:ascii="Arial" w:hAnsi="Arial" w:cs="Arial"/>
                <w:color w:val="000000"/>
                <w:sz w:val="16"/>
                <w:szCs w:val="16"/>
              </w:rPr>
            </w:pPr>
            <w:r w:rsidRPr="00B92499">
              <w:rPr>
                <w:rFonts w:ascii="Arial" w:hAnsi="Arial" w:cs="Arial"/>
                <w:color w:val="000000"/>
                <w:sz w:val="16"/>
                <w:szCs w:val="16"/>
              </w:rPr>
              <w:t>100</w:t>
            </w:r>
          </w:p>
        </w:tc>
      </w:tr>
      <w:tr w:rsidR="00507F70" w:rsidRPr="00B92499" w14:paraId="51730681" w14:textId="77777777" w:rsidTr="00CF534F">
        <w:trPr>
          <w:trHeight w:val="300"/>
        </w:trPr>
        <w:tc>
          <w:tcPr>
            <w:tcW w:w="1271" w:type="dxa"/>
            <w:tcBorders>
              <w:top w:val="nil"/>
              <w:left w:val="single" w:sz="4" w:space="0" w:color="auto"/>
              <w:bottom w:val="single" w:sz="4" w:space="0" w:color="auto"/>
              <w:right w:val="single" w:sz="4" w:space="0" w:color="auto"/>
            </w:tcBorders>
            <w:shd w:val="clear" w:color="000000" w:fill="FFFFFF"/>
            <w:vAlign w:val="center"/>
            <w:hideMark/>
          </w:tcPr>
          <w:p w14:paraId="320AF9B5" w14:textId="77777777" w:rsidR="00507F70" w:rsidRPr="00B92499" w:rsidRDefault="00507F70" w:rsidP="00CF534F">
            <w:pPr>
              <w:jc w:val="center"/>
              <w:rPr>
                <w:rFonts w:ascii="Arial" w:hAnsi="Arial" w:cs="Arial"/>
                <w:color w:val="000000"/>
                <w:sz w:val="16"/>
                <w:szCs w:val="16"/>
              </w:rPr>
            </w:pPr>
            <w:r w:rsidRPr="00B92499">
              <w:rPr>
                <w:rFonts w:ascii="Arial" w:hAnsi="Arial" w:cs="Arial"/>
                <w:color w:val="000000"/>
                <w:sz w:val="16"/>
                <w:szCs w:val="16"/>
              </w:rPr>
              <w:t>3</w:t>
            </w:r>
          </w:p>
        </w:tc>
        <w:tc>
          <w:tcPr>
            <w:tcW w:w="5812" w:type="dxa"/>
            <w:tcBorders>
              <w:top w:val="nil"/>
              <w:left w:val="nil"/>
              <w:bottom w:val="single" w:sz="4" w:space="0" w:color="auto"/>
              <w:right w:val="single" w:sz="4" w:space="0" w:color="auto"/>
            </w:tcBorders>
            <w:shd w:val="clear" w:color="000000" w:fill="FFFFFF"/>
            <w:noWrap/>
            <w:vAlign w:val="center"/>
            <w:hideMark/>
          </w:tcPr>
          <w:p w14:paraId="6A1A59D6" w14:textId="77777777" w:rsidR="00507F70" w:rsidRPr="00B92499" w:rsidRDefault="00507F70" w:rsidP="00CF534F">
            <w:pPr>
              <w:rPr>
                <w:rFonts w:ascii="Arial" w:hAnsi="Arial" w:cs="Arial"/>
                <w:color w:val="000000"/>
                <w:sz w:val="16"/>
                <w:szCs w:val="16"/>
              </w:rPr>
            </w:pPr>
            <w:r w:rsidRPr="00B92499">
              <w:rPr>
                <w:rFonts w:ascii="Arial" w:hAnsi="Arial" w:cs="Arial"/>
                <w:color w:val="000000"/>
                <w:sz w:val="16"/>
                <w:szCs w:val="16"/>
              </w:rPr>
              <w:t>Secretaría de Seguridad Ciudadana</w:t>
            </w:r>
          </w:p>
        </w:tc>
        <w:tc>
          <w:tcPr>
            <w:tcW w:w="2551" w:type="dxa"/>
            <w:tcBorders>
              <w:top w:val="nil"/>
              <w:left w:val="nil"/>
              <w:bottom w:val="single" w:sz="4" w:space="0" w:color="auto"/>
              <w:right w:val="single" w:sz="4" w:space="0" w:color="auto"/>
            </w:tcBorders>
            <w:shd w:val="clear" w:color="auto" w:fill="auto"/>
            <w:vAlign w:val="center"/>
            <w:hideMark/>
          </w:tcPr>
          <w:p w14:paraId="0FF552B8" w14:textId="77777777" w:rsidR="00507F70" w:rsidRPr="00B92499" w:rsidRDefault="00507F70" w:rsidP="00CF534F">
            <w:pPr>
              <w:jc w:val="center"/>
              <w:rPr>
                <w:rFonts w:ascii="Arial" w:hAnsi="Arial" w:cs="Arial"/>
                <w:color w:val="000000"/>
                <w:sz w:val="16"/>
                <w:szCs w:val="16"/>
              </w:rPr>
            </w:pPr>
            <w:r w:rsidRPr="00B92499">
              <w:rPr>
                <w:rFonts w:ascii="Arial" w:hAnsi="Arial" w:cs="Arial"/>
                <w:color w:val="000000"/>
                <w:sz w:val="16"/>
                <w:szCs w:val="16"/>
              </w:rPr>
              <w:t>100</w:t>
            </w:r>
          </w:p>
        </w:tc>
      </w:tr>
      <w:tr w:rsidR="00507F70" w:rsidRPr="00B92499" w14:paraId="69C76A4D" w14:textId="77777777" w:rsidTr="00CF534F">
        <w:trPr>
          <w:trHeight w:val="300"/>
        </w:trPr>
        <w:tc>
          <w:tcPr>
            <w:tcW w:w="1271" w:type="dxa"/>
            <w:tcBorders>
              <w:top w:val="nil"/>
              <w:left w:val="single" w:sz="4" w:space="0" w:color="auto"/>
              <w:bottom w:val="single" w:sz="4" w:space="0" w:color="auto"/>
              <w:right w:val="single" w:sz="4" w:space="0" w:color="auto"/>
            </w:tcBorders>
            <w:shd w:val="clear" w:color="000000" w:fill="FFFFFF"/>
            <w:vAlign w:val="center"/>
            <w:hideMark/>
          </w:tcPr>
          <w:p w14:paraId="44CD5C67" w14:textId="77777777" w:rsidR="00507F70" w:rsidRPr="00B92499" w:rsidRDefault="00507F70" w:rsidP="00CF534F">
            <w:pPr>
              <w:jc w:val="center"/>
              <w:rPr>
                <w:rFonts w:ascii="Arial" w:hAnsi="Arial" w:cs="Arial"/>
                <w:color w:val="000000"/>
                <w:sz w:val="16"/>
                <w:szCs w:val="16"/>
              </w:rPr>
            </w:pPr>
            <w:r w:rsidRPr="00B92499">
              <w:rPr>
                <w:rFonts w:ascii="Arial" w:hAnsi="Arial" w:cs="Arial"/>
                <w:color w:val="000000"/>
                <w:sz w:val="16"/>
                <w:szCs w:val="16"/>
              </w:rPr>
              <w:t>4</w:t>
            </w:r>
          </w:p>
        </w:tc>
        <w:tc>
          <w:tcPr>
            <w:tcW w:w="5812" w:type="dxa"/>
            <w:tcBorders>
              <w:top w:val="nil"/>
              <w:left w:val="nil"/>
              <w:bottom w:val="single" w:sz="4" w:space="0" w:color="auto"/>
              <w:right w:val="single" w:sz="4" w:space="0" w:color="auto"/>
            </w:tcBorders>
            <w:shd w:val="clear" w:color="000000" w:fill="FFFFFF"/>
            <w:noWrap/>
            <w:vAlign w:val="center"/>
            <w:hideMark/>
          </w:tcPr>
          <w:p w14:paraId="155EB795" w14:textId="77777777" w:rsidR="00507F70" w:rsidRPr="00B92499" w:rsidRDefault="00507F70" w:rsidP="00CF534F">
            <w:pPr>
              <w:rPr>
                <w:rFonts w:ascii="Arial" w:hAnsi="Arial" w:cs="Arial"/>
                <w:color w:val="000000"/>
                <w:sz w:val="16"/>
                <w:szCs w:val="16"/>
              </w:rPr>
            </w:pPr>
            <w:r w:rsidRPr="00B92499">
              <w:rPr>
                <w:rFonts w:ascii="Arial" w:hAnsi="Arial" w:cs="Arial"/>
                <w:color w:val="000000"/>
                <w:sz w:val="16"/>
                <w:szCs w:val="16"/>
              </w:rPr>
              <w:t>Secretaría de Inclusión y Bienestar Social</w:t>
            </w:r>
          </w:p>
        </w:tc>
        <w:tc>
          <w:tcPr>
            <w:tcW w:w="2551" w:type="dxa"/>
            <w:tcBorders>
              <w:top w:val="nil"/>
              <w:left w:val="nil"/>
              <w:bottom w:val="single" w:sz="4" w:space="0" w:color="auto"/>
              <w:right w:val="single" w:sz="4" w:space="0" w:color="auto"/>
            </w:tcBorders>
            <w:shd w:val="clear" w:color="auto" w:fill="auto"/>
            <w:vAlign w:val="center"/>
            <w:hideMark/>
          </w:tcPr>
          <w:p w14:paraId="6DB592A3" w14:textId="77777777" w:rsidR="00507F70" w:rsidRPr="00B92499" w:rsidRDefault="00507F70" w:rsidP="00CF534F">
            <w:pPr>
              <w:jc w:val="center"/>
              <w:rPr>
                <w:rFonts w:ascii="Arial" w:hAnsi="Arial" w:cs="Arial"/>
                <w:color w:val="000000"/>
                <w:sz w:val="16"/>
                <w:szCs w:val="16"/>
              </w:rPr>
            </w:pPr>
            <w:r w:rsidRPr="00B92499">
              <w:rPr>
                <w:rFonts w:ascii="Arial" w:hAnsi="Arial" w:cs="Arial"/>
                <w:color w:val="000000"/>
                <w:sz w:val="16"/>
                <w:szCs w:val="16"/>
              </w:rPr>
              <w:t>100</w:t>
            </w:r>
          </w:p>
        </w:tc>
      </w:tr>
      <w:tr w:rsidR="00507F70" w:rsidRPr="00B92499" w14:paraId="6025A08D" w14:textId="77777777" w:rsidTr="00CF534F">
        <w:trPr>
          <w:trHeight w:val="300"/>
        </w:trPr>
        <w:tc>
          <w:tcPr>
            <w:tcW w:w="1271" w:type="dxa"/>
            <w:tcBorders>
              <w:top w:val="nil"/>
              <w:left w:val="single" w:sz="4" w:space="0" w:color="auto"/>
              <w:bottom w:val="single" w:sz="4" w:space="0" w:color="auto"/>
              <w:right w:val="single" w:sz="4" w:space="0" w:color="auto"/>
            </w:tcBorders>
            <w:shd w:val="clear" w:color="000000" w:fill="FFFFFF"/>
            <w:vAlign w:val="center"/>
            <w:hideMark/>
          </w:tcPr>
          <w:p w14:paraId="22460C2D" w14:textId="77777777" w:rsidR="00507F70" w:rsidRPr="00B92499" w:rsidRDefault="00507F70" w:rsidP="00CF534F">
            <w:pPr>
              <w:jc w:val="center"/>
              <w:rPr>
                <w:rFonts w:ascii="Arial" w:hAnsi="Arial" w:cs="Arial"/>
                <w:color w:val="000000"/>
                <w:sz w:val="16"/>
                <w:szCs w:val="16"/>
              </w:rPr>
            </w:pPr>
            <w:r w:rsidRPr="00B92499">
              <w:rPr>
                <w:rFonts w:ascii="Arial" w:hAnsi="Arial" w:cs="Arial"/>
                <w:color w:val="000000"/>
                <w:sz w:val="16"/>
                <w:szCs w:val="16"/>
              </w:rPr>
              <w:t>5</w:t>
            </w:r>
          </w:p>
        </w:tc>
        <w:tc>
          <w:tcPr>
            <w:tcW w:w="5812" w:type="dxa"/>
            <w:tcBorders>
              <w:top w:val="nil"/>
              <w:left w:val="nil"/>
              <w:bottom w:val="single" w:sz="4" w:space="0" w:color="auto"/>
              <w:right w:val="single" w:sz="4" w:space="0" w:color="auto"/>
            </w:tcBorders>
            <w:shd w:val="clear" w:color="000000" w:fill="FFFFFF"/>
            <w:noWrap/>
            <w:vAlign w:val="center"/>
            <w:hideMark/>
          </w:tcPr>
          <w:p w14:paraId="744DEC04" w14:textId="77777777" w:rsidR="00507F70" w:rsidRPr="00B92499" w:rsidRDefault="00507F70" w:rsidP="00CF534F">
            <w:pPr>
              <w:rPr>
                <w:rFonts w:ascii="Arial" w:hAnsi="Arial" w:cs="Arial"/>
                <w:color w:val="000000"/>
                <w:sz w:val="16"/>
                <w:szCs w:val="16"/>
              </w:rPr>
            </w:pPr>
            <w:r w:rsidRPr="00B92499">
              <w:rPr>
                <w:rFonts w:ascii="Arial" w:hAnsi="Arial" w:cs="Arial"/>
                <w:color w:val="000000"/>
                <w:sz w:val="16"/>
                <w:szCs w:val="16"/>
              </w:rPr>
              <w:t>Secretaría de Educación, Ciencia, Tecnología e Innovación</w:t>
            </w:r>
          </w:p>
        </w:tc>
        <w:tc>
          <w:tcPr>
            <w:tcW w:w="2551" w:type="dxa"/>
            <w:tcBorders>
              <w:top w:val="nil"/>
              <w:left w:val="nil"/>
              <w:bottom w:val="single" w:sz="4" w:space="0" w:color="auto"/>
              <w:right w:val="single" w:sz="4" w:space="0" w:color="auto"/>
            </w:tcBorders>
            <w:shd w:val="clear" w:color="auto" w:fill="auto"/>
            <w:vAlign w:val="center"/>
            <w:hideMark/>
          </w:tcPr>
          <w:p w14:paraId="6C645534" w14:textId="77777777" w:rsidR="00507F70" w:rsidRPr="00B92499" w:rsidRDefault="00507F70" w:rsidP="00CF534F">
            <w:pPr>
              <w:jc w:val="center"/>
              <w:rPr>
                <w:rFonts w:ascii="Arial" w:hAnsi="Arial" w:cs="Arial"/>
                <w:color w:val="000000"/>
                <w:sz w:val="16"/>
                <w:szCs w:val="16"/>
              </w:rPr>
            </w:pPr>
            <w:r w:rsidRPr="00B92499">
              <w:rPr>
                <w:rFonts w:ascii="Arial" w:hAnsi="Arial" w:cs="Arial"/>
                <w:color w:val="000000"/>
                <w:sz w:val="16"/>
                <w:szCs w:val="16"/>
              </w:rPr>
              <w:t>98.92</w:t>
            </w:r>
          </w:p>
        </w:tc>
      </w:tr>
      <w:tr w:rsidR="00507F70" w:rsidRPr="00B92499" w14:paraId="1CDE37AC" w14:textId="77777777" w:rsidTr="00CF534F">
        <w:trPr>
          <w:trHeight w:val="300"/>
        </w:trPr>
        <w:tc>
          <w:tcPr>
            <w:tcW w:w="1271" w:type="dxa"/>
            <w:tcBorders>
              <w:top w:val="nil"/>
              <w:left w:val="single" w:sz="4" w:space="0" w:color="auto"/>
              <w:bottom w:val="single" w:sz="4" w:space="0" w:color="auto"/>
              <w:right w:val="single" w:sz="4" w:space="0" w:color="auto"/>
            </w:tcBorders>
            <w:shd w:val="clear" w:color="000000" w:fill="FFFFFF"/>
            <w:vAlign w:val="center"/>
            <w:hideMark/>
          </w:tcPr>
          <w:p w14:paraId="1E8D3A62" w14:textId="77777777" w:rsidR="00507F70" w:rsidRPr="00B92499" w:rsidRDefault="00507F70" w:rsidP="00CF534F">
            <w:pPr>
              <w:jc w:val="center"/>
              <w:rPr>
                <w:rFonts w:ascii="Arial" w:hAnsi="Arial" w:cs="Arial"/>
                <w:color w:val="000000"/>
                <w:sz w:val="16"/>
                <w:szCs w:val="16"/>
              </w:rPr>
            </w:pPr>
            <w:r w:rsidRPr="00B92499">
              <w:rPr>
                <w:rFonts w:ascii="Arial" w:hAnsi="Arial" w:cs="Arial"/>
                <w:color w:val="000000"/>
                <w:sz w:val="16"/>
                <w:szCs w:val="16"/>
              </w:rPr>
              <w:t>6</w:t>
            </w:r>
          </w:p>
        </w:tc>
        <w:tc>
          <w:tcPr>
            <w:tcW w:w="5812" w:type="dxa"/>
            <w:tcBorders>
              <w:top w:val="nil"/>
              <w:left w:val="nil"/>
              <w:bottom w:val="single" w:sz="4" w:space="0" w:color="auto"/>
              <w:right w:val="single" w:sz="4" w:space="0" w:color="auto"/>
            </w:tcBorders>
            <w:shd w:val="clear" w:color="000000" w:fill="FFFFFF"/>
            <w:noWrap/>
            <w:vAlign w:val="center"/>
            <w:hideMark/>
          </w:tcPr>
          <w:p w14:paraId="2B05906D" w14:textId="77777777" w:rsidR="00507F70" w:rsidRPr="00B92499" w:rsidRDefault="00507F70" w:rsidP="00CF534F">
            <w:pPr>
              <w:rPr>
                <w:rFonts w:ascii="Arial" w:hAnsi="Arial" w:cs="Arial"/>
                <w:color w:val="000000"/>
                <w:sz w:val="16"/>
                <w:szCs w:val="16"/>
              </w:rPr>
            </w:pPr>
            <w:r w:rsidRPr="00B92499">
              <w:rPr>
                <w:rFonts w:ascii="Arial" w:hAnsi="Arial" w:cs="Arial"/>
                <w:color w:val="000000"/>
                <w:sz w:val="16"/>
                <w:szCs w:val="16"/>
              </w:rPr>
              <w:t>Secretaría de las Mujeres</w:t>
            </w:r>
          </w:p>
        </w:tc>
        <w:tc>
          <w:tcPr>
            <w:tcW w:w="2551" w:type="dxa"/>
            <w:tcBorders>
              <w:top w:val="nil"/>
              <w:left w:val="nil"/>
              <w:bottom w:val="single" w:sz="4" w:space="0" w:color="auto"/>
              <w:right w:val="single" w:sz="4" w:space="0" w:color="auto"/>
            </w:tcBorders>
            <w:shd w:val="clear" w:color="auto" w:fill="auto"/>
            <w:vAlign w:val="center"/>
            <w:hideMark/>
          </w:tcPr>
          <w:p w14:paraId="0F8282BD" w14:textId="77777777" w:rsidR="00507F70" w:rsidRPr="00B92499" w:rsidRDefault="00507F70" w:rsidP="00CF534F">
            <w:pPr>
              <w:jc w:val="center"/>
              <w:rPr>
                <w:rFonts w:ascii="Arial" w:hAnsi="Arial" w:cs="Arial"/>
                <w:color w:val="000000"/>
                <w:sz w:val="16"/>
                <w:szCs w:val="16"/>
              </w:rPr>
            </w:pPr>
            <w:r w:rsidRPr="00B92499">
              <w:rPr>
                <w:rFonts w:ascii="Arial" w:hAnsi="Arial" w:cs="Arial"/>
                <w:color w:val="000000"/>
                <w:sz w:val="16"/>
                <w:szCs w:val="16"/>
              </w:rPr>
              <w:t>91.90</w:t>
            </w:r>
          </w:p>
        </w:tc>
      </w:tr>
      <w:tr w:rsidR="00507F70" w:rsidRPr="00B92499" w14:paraId="0E75AFA7" w14:textId="77777777" w:rsidTr="00CF534F">
        <w:trPr>
          <w:trHeight w:val="300"/>
        </w:trPr>
        <w:tc>
          <w:tcPr>
            <w:tcW w:w="1271" w:type="dxa"/>
            <w:tcBorders>
              <w:top w:val="nil"/>
              <w:left w:val="single" w:sz="4" w:space="0" w:color="auto"/>
              <w:bottom w:val="single" w:sz="4" w:space="0" w:color="auto"/>
              <w:right w:val="single" w:sz="4" w:space="0" w:color="auto"/>
            </w:tcBorders>
            <w:shd w:val="clear" w:color="000000" w:fill="FFFFFF"/>
            <w:vAlign w:val="center"/>
            <w:hideMark/>
          </w:tcPr>
          <w:p w14:paraId="140A7F01" w14:textId="77777777" w:rsidR="00507F70" w:rsidRPr="00B92499" w:rsidRDefault="00507F70" w:rsidP="00CF534F">
            <w:pPr>
              <w:jc w:val="center"/>
              <w:rPr>
                <w:rFonts w:ascii="Arial" w:hAnsi="Arial" w:cs="Arial"/>
                <w:color w:val="000000"/>
                <w:sz w:val="16"/>
                <w:szCs w:val="16"/>
              </w:rPr>
            </w:pPr>
            <w:r w:rsidRPr="00B92499">
              <w:rPr>
                <w:rFonts w:ascii="Arial" w:hAnsi="Arial" w:cs="Arial"/>
                <w:color w:val="000000"/>
                <w:sz w:val="16"/>
                <w:szCs w:val="16"/>
              </w:rPr>
              <w:t>7</w:t>
            </w:r>
          </w:p>
        </w:tc>
        <w:tc>
          <w:tcPr>
            <w:tcW w:w="5812" w:type="dxa"/>
            <w:tcBorders>
              <w:top w:val="nil"/>
              <w:left w:val="nil"/>
              <w:bottom w:val="single" w:sz="4" w:space="0" w:color="auto"/>
              <w:right w:val="single" w:sz="4" w:space="0" w:color="auto"/>
            </w:tcBorders>
            <w:shd w:val="clear" w:color="000000" w:fill="FFFFFF"/>
            <w:noWrap/>
            <w:vAlign w:val="center"/>
            <w:hideMark/>
          </w:tcPr>
          <w:p w14:paraId="71B701B5" w14:textId="77777777" w:rsidR="00507F70" w:rsidRPr="00B92499" w:rsidRDefault="00507F70" w:rsidP="00CF534F">
            <w:pPr>
              <w:rPr>
                <w:rFonts w:ascii="Arial" w:hAnsi="Arial" w:cs="Arial"/>
                <w:color w:val="000000"/>
                <w:sz w:val="16"/>
                <w:szCs w:val="16"/>
              </w:rPr>
            </w:pPr>
            <w:r w:rsidRPr="00B92499">
              <w:rPr>
                <w:rFonts w:ascii="Arial" w:hAnsi="Arial" w:cs="Arial"/>
                <w:color w:val="000000"/>
                <w:sz w:val="16"/>
                <w:szCs w:val="16"/>
              </w:rPr>
              <w:t>Secretaría de Gestión Integral de Riesgos y Protección Civil</w:t>
            </w:r>
          </w:p>
        </w:tc>
        <w:tc>
          <w:tcPr>
            <w:tcW w:w="2551" w:type="dxa"/>
            <w:tcBorders>
              <w:top w:val="nil"/>
              <w:left w:val="nil"/>
              <w:bottom w:val="single" w:sz="4" w:space="0" w:color="auto"/>
              <w:right w:val="single" w:sz="4" w:space="0" w:color="auto"/>
            </w:tcBorders>
            <w:shd w:val="clear" w:color="auto" w:fill="auto"/>
            <w:vAlign w:val="center"/>
            <w:hideMark/>
          </w:tcPr>
          <w:p w14:paraId="14C96D60" w14:textId="77777777" w:rsidR="00507F70" w:rsidRPr="00B92499" w:rsidRDefault="00507F70" w:rsidP="00CF534F">
            <w:pPr>
              <w:jc w:val="center"/>
              <w:rPr>
                <w:rFonts w:ascii="Arial" w:hAnsi="Arial" w:cs="Arial"/>
                <w:color w:val="000000"/>
                <w:sz w:val="16"/>
                <w:szCs w:val="16"/>
              </w:rPr>
            </w:pPr>
            <w:r w:rsidRPr="00B92499">
              <w:rPr>
                <w:rFonts w:ascii="Arial" w:hAnsi="Arial" w:cs="Arial"/>
                <w:color w:val="000000"/>
                <w:sz w:val="16"/>
                <w:szCs w:val="16"/>
              </w:rPr>
              <w:t>90.18</w:t>
            </w:r>
          </w:p>
        </w:tc>
      </w:tr>
      <w:tr w:rsidR="00507F70" w:rsidRPr="00B92499" w14:paraId="6AB90AA6" w14:textId="77777777" w:rsidTr="00CF534F">
        <w:trPr>
          <w:trHeight w:val="300"/>
        </w:trPr>
        <w:tc>
          <w:tcPr>
            <w:tcW w:w="1271" w:type="dxa"/>
            <w:tcBorders>
              <w:top w:val="nil"/>
              <w:left w:val="single" w:sz="4" w:space="0" w:color="auto"/>
              <w:bottom w:val="single" w:sz="4" w:space="0" w:color="auto"/>
              <w:right w:val="single" w:sz="4" w:space="0" w:color="auto"/>
            </w:tcBorders>
            <w:shd w:val="clear" w:color="000000" w:fill="FFFFFF"/>
            <w:vAlign w:val="center"/>
            <w:hideMark/>
          </w:tcPr>
          <w:p w14:paraId="53E060D9" w14:textId="77777777" w:rsidR="00507F70" w:rsidRPr="00B92499" w:rsidRDefault="00507F70" w:rsidP="00CF534F">
            <w:pPr>
              <w:jc w:val="center"/>
              <w:rPr>
                <w:rFonts w:ascii="Arial" w:hAnsi="Arial" w:cs="Arial"/>
                <w:color w:val="000000"/>
                <w:sz w:val="16"/>
                <w:szCs w:val="16"/>
              </w:rPr>
            </w:pPr>
            <w:r w:rsidRPr="00B92499">
              <w:rPr>
                <w:rFonts w:ascii="Arial" w:hAnsi="Arial" w:cs="Arial"/>
                <w:color w:val="000000"/>
                <w:sz w:val="16"/>
                <w:szCs w:val="16"/>
              </w:rPr>
              <w:t>8</w:t>
            </w:r>
          </w:p>
        </w:tc>
        <w:tc>
          <w:tcPr>
            <w:tcW w:w="5812" w:type="dxa"/>
            <w:tcBorders>
              <w:top w:val="nil"/>
              <w:left w:val="nil"/>
              <w:bottom w:val="single" w:sz="4" w:space="0" w:color="auto"/>
              <w:right w:val="single" w:sz="4" w:space="0" w:color="auto"/>
            </w:tcBorders>
            <w:shd w:val="clear" w:color="auto" w:fill="auto"/>
            <w:noWrap/>
            <w:vAlign w:val="center"/>
            <w:hideMark/>
          </w:tcPr>
          <w:p w14:paraId="61F05419" w14:textId="77777777" w:rsidR="00507F70" w:rsidRPr="00B92499" w:rsidRDefault="00507F70" w:rsidP="00CF534F">
            <w:pPr>
              <w:rPr>
                <w:rFonts w:ascii="Arial" w:hAnsi="Arial" w:cs="Arial"/>
                <w:color w:val="000000"/>
                <w:sz w:val="16"/>
                <w:szCs w:val="16"/>
              </w:rPr>
            </w:pPr>
            <w:r w:rsidRPr="00B92499">
              <w:rPr>
                <w:rFonts w:ascii="Arial" w:hAnsi="Arial" w:cs="Arial"/>
                <w:color w:val="000000"/>
                <w:sz w:val="16"/>
                <w:szCs w:val="16"/>
              </w:rPr>
              <w:t>Secretaría de Pueblos y Barrios Originarios y Comunidades Indígenas Residentes</w:t>
            </w:r>
          </w:p>
        </w:tc>
        <w:tc>
          <w:tcPr>
            <w:tcW w:w="2551" w:type="dxa"/>
            <w:tcBorders>
              <w:top w:val="nil"/>
              <w:left w:val="nil"/>
              <w:bottom w:val="single" w:sz="4" w:space="0" w:color="auto"/>
              <w:right w:val="single" w:sz="4" w:space="0" w:color="auto"/>
            </w:tcBorders>
            <w:shd w:val="clear" w:color="auto" w:fill="auto"/>
            <w:vAlign w:val="center"/>
            <w:hideMark/>
          </w:tcPr>
          <w:p w14:paraId="5BD7392B" w14:textId="77777777" w:rsidR="00507F70" w:rsidRPr="00B92499" w:rsidRDefault="00507F70" w:rsidP="00CF534F">
            <w:pPr>
              <w:jc w:val="center"/>
              <w:rPr>
                <w:rFonts w:ascii="Arial" w:hAnsi="Arial" w:cs="Arial"/>
                <w:color w:val="000000"/>
                <w:sz w:val="16"/>
                <w:szCs w:val="16"/>
              </w:rPr>
            </w:pPr>
            <w:r w:rsidRPr="00B92499">
              <w:rPr>
                <w:rFonts w:ascii="Arial" w:hAnsi="Arial" w:cs="Arial"/>
                <w:color w:val="000000"/>
                <w:sz w:val="16"/>
                <w:szCs w:val="16"/>
              </w:rPr>
              <w:t>88.84</w:t>
            </w:r>
          </w:p>
        </w:tc>
      </w:tr>
      <w:tr w:rsidR="00507F70" w:rsidRPr="00B92499" w14:paraId="71DF48A6" w14:textId="77777777" w:rsidTr="00CF534F">
        <w:trPr>
          <w:trHeight w:val="300"/>
        </w:trPr>
        <w:tc>
          <w:tcPr>
            <w:tcW w:w="9634" w:type="dxa"/>
            <w:gridSpan w:val="3"/>
            <w:tcBorders>
              <w:top w:val="single" w:sz="4" w:space="0" w:color="auto"/>
              <w:left w:val="single" w:sz="4" w:space="0" w:color="auto"/>
              <w:bottom w:val="single" w:sz="4" w:space="0" w:color="auto"/>
              <w:right w:val="single" w:sz="4" w:space="0" w:color="auto"/>
            </w:tcBorders>
            <w:shd w:val="clear" w:color="000000" w:fill="33CCCC"/>
            <w:noWrap/>
            <w:vAlign w:val="center"/>
            <w:hideMark/>
          </w:tcPr>
          <w:p w14:paraId="57DA6EF3" w14:textId="77777777" w:rsidR="00507F70" w:rsidRPr="00B92499" w:rsidRDefault="00507F70" w:rsidP="00CF534F">
            <w:pPr>
              <w:jc w:val="center"/>
              <w:rPr>
                <w:rFonts w:ascii="Arial" w:hAnsi="Arial" w:cs="Arial"/>
                <w:b/>
                <w:bCs/>
                <w:color w:val="000000"/>
                <w:sz w:val="16"/>
                <w:szCs w:val="16"/>
              </w:rPr>
            </w:pPr>
            <w:r w:rsidRPr="00B92499">
              <w:rPr>
                <w:rFonts w:ascii="Arial" w:hAnsi="Arial" w:cs="Arial"/>
                <w:b/>
                <w:bCs/>
                <w:color w:val="000000"/>
                <w:sz w:val="16"/>
                <w:szCs w:val="16"/>
              </w:rPr>
              <w:t>Poder Ejecutivo - Desconcentrados y Paraestatales</w:t>
            </w:r>
          </w:p>
        </w:tc>
      </w:tr>
      <w:tr w:rsidR="00507F70" w:rsidRPr="00B92499" w14:paraId="109808C7" w14:textId="77777777" w:rsidTr="00CF534F">
        <w:trPr>
          <w:trHeight w:val="300"/>
        </w:trPr>
        <w:tc>
          <w:tcPr>
            <w:tcW w:w="1271" w:type="dxa"/>
            <w:tcBorders>
              <w:top w:val="nil"/>
              <w:left w:val="single" w:sz="4" w:space="0" w:color="auto"/>
              <w:bottom w:val="single" w:sz="4" w:space="0" w:color="auto"/>
              <w:right w:val="single" w:sz="4" w:space="0" w:color="auto"/>
            </w:tcBorders>
            <w:shd w:val="clear" w:color="000000" w:fill="FFFFFF"/>
            <w:vAlign w:val="center"/>
            <w:hideMark/>
          </w:tcPr>
          <w:p w14:paraId="1DF3097C" w14:textId="77777777" w:rsidR="00507F70" w:rsidRPr="00B92499" w:rsidRDefault="00507F70" w:rsidP="00CF534F">
            <w:pPr>
              <w:jc w:val="center"/>
              <w:rPr>
                <w:rFonts w:ascii="Arial" w:hAnsi="Arial" w:cs="Arial"/>
                <w:color w:val="000000"/>
                <w:sz w:val="16"/>
                <w:szCs w:val="16"/>
              </w:rPr>
            </w:pPr>
            <w:r w:rsidRPr="00B92499">
              <w:rPr>
                <w:rFonts w:ascii="Arial" w:hAnsi="Arial" w:cs="Arial"/>
                <w:color w:val="000000"/>
                <w:sz w:val="16"/>
                <w:szCs w:val="16"/>
              </w:rPr>
              <w:t>9</w:t>
            </w:r>
          </w:p>
        </w:tc>
        <w:tc>
          <w:tcPr>
            <w:tcW w:w="5812" w:type="dxa"/>
            <w:tcBorders>
              <w:top w:val="nil"/>
              <w:left w:val="nil"/>
              <w:bottom w:val="single" w:sz="4" w:space="0" w:color="auto"/>
              <w:right w:val="single" w:sz="4" w:space="0" w:color="auto"/>
            </w:tcBorders>
            <w:shd w:val="clear" w:color="000000" w:fill="FFFFFF"/>
            <w:noWrap/>
            <w:vAlign w:val="center"/>
            <w:hideMark/>
          </w:tcPr>
          <w:p w14:paraId="0FBF9338" w14:textId="77777777" w:rsidR="00507F70" w:rsidRPr="00B92499" w:rsidRDefault="00507F70" w:rsidP="00CF534F">
            <w:pPr>
              <w:rPr>
                <w:rFonts w:ascii="Arial" w:hAnsi="Arial" w:cs="Arial"/>
                <w:color w:val="000000"/>
                <w:sz w:val="16"/>
                <w:szCs w:val="16"/>
              </w:rPr>
            </w:pPr>
            <w:r w:rsidRPr="00B92499">
              <w:rPr>
                <w:rFonts w:ascii="Arial" w:hAnsi="Arial" w:cs="Arial"/>
                <w:color w:val="000000"/>
                <w:sz w:val="16"/>
                <w:szCs w:val="16"/>
              </w:rPr>
              <w:t>Agencia Digital de Innovación Pública de la Ciudad de México</w:t>
            </w:r>
          </w:p>
        </w:tc>
        <w:tc>
          <w:tcPr>
            <w:tcW w:w="2551" w:type="dxa"/>
            <w:tcBorders>
              <w:top w:val="nil"/>
              <w:left w:val="nil"/>
              <w:bottom w:val="single" w:sz="4" w:space="0" w:color="auto"/>
              <w:right w:val="single" w:sz="4" w:space="0" w:color="auto"/>
            </w:tcBorders>
            <w:shd w:val="clear" w:color="auto" w:fill="auto"/>
            <w:vAlign w:val="center"/>
            <w:hideMark/>
          </w:tcPr>
          <w:p w14:paraId="437F9586" w14:textId="77777777" w:rsidR="00507F70" w:rsidRPr="00B92499" w:rsidRDefault="00507F70" w:rsidP="00CF534F">
            <w:pPr>
              <w:jc w:val="center"/>
              <w:rPr>
                <w:rFonts w:ascii="Arial" w:hAnsi="Arial" w:cs="Arial"/>
                <w:color w:val="000000"/>
                <w:sz w:val="16"/>
                <w:szCs w:val="16"/>
              </w:rPr>
            </w:pPr>
            <w:r w:rsidRPr="00B92499">
              <w:rPr>
                <w:rFonts w:ascii="Arial" w:hAnsi="Arial" w:cs="Arial"/>
                <w:color w:val="000000"/>
                <w:sz w:val="16"/>
                <w:szCs w:val="16"/>
              </w:rPr>
              <w:t>100</w:t>
            </w:r>
          </w:p>
        </w:tc>
      </w:tr>
      <w:tr w:rsidR="00507F70" w:rsidRPr="00B92499" w14:paraId="314BC612" w14:textId="77777777" w:rsidTr="00CF534F">
        <w:trPr>
          <w:trHeight w:val="300"/>
        </w:trPr>
        <w:tc>
          <w:tcPr>
            <w:tcW w:w="1271" w:type="dxa"/>
            <w:tcBorders>
              <w:top w:val="nil"/>
              <w:left w:val="single" w:sz="4" w:space="0" w:color="auto"/>
              <w:bottom w:val="single" w:sz="4" w:space="0" w:color="auto"/>
              <w:right w:val="single" w:sz="4" w:space="0" w:color="auto"/>
            </w:tcBorders>
            <w:shd w:val="clear" w:color="000000" w:fill="FFFFFF"/>
            <w:vAlign w:val="center"/>
            <w:hideMark/>
          </w:tcPr>
          <w:p w14:paraId="33957EA1" w14:textId="77777777" w:rsidR="00507F70" w:rsidRPr="00B92499" w:rsidRDefault="00507F70" w:rsidP="00CF534F">
            <w:pPr>
              <w:jc w:val="center"/>
              <w:rPr>
                <w:rFonts w:ascii="Arial" w:hAnsi="Arial" w:cs="Arial"/>
                <w:color w:val="000000"/>
                <w:sz w:val="16"/>
                <w:szCs w:val="16"/>
              </w:rPr>
            </w:pPr>
            <w:r w:rsidRPr="00B92499">
              <w:rPr>
                <w:rFonts w:ascii="Arial" w:hAnsi="Arial" w:cs="Arial"/>
                <w:color w:val="000000"/>
                <w:sz w:val="16"/>
                <w:szCs w:val="16"/>
              </w:rPr>
              <w:t>10</w:t>
            </w:r>
          </w:p>
        </w:tc>
        <w:tc>
          <w:tcPr>
            <w:tcW w:w="5812" w:type="dxa"/>
            <w:tcBorders>
              <w:top w:val="nil"/>
              <w:left w:val="nil"/>
              <w:bottom w:val="single" w:sz="4" w:space="0" w:color="auto"/>
              <w:right w:val="single" w:sz="4" w:space="0" w:color="auto"/>
            </w:tcBorders>
            <w:shd w:val="clear" w:color="000000" w:fill="FFFFFF"/>
            <w:noWrap/>
            <w:vAlign w:val="center"/>
            <w:hideMark/>
          </w:tcPr>
          <w:p w14:paraId="0927B325" w14:textId="77777777" w:rsidR="00507F70" w:rsidRPr="00B92499" w:rsidRDefault="00507F70" w:rsidP="00CF534F">
            <w:pPr>
              <w:rPr>
                <w:rFonts w:ascii="Arial" w:hAnsi="Arial" w:cs="Arial"/>
                <w:color w:val="000000"/>
                <w:sz w:val="16"/>
                <w:szCs w:val="16"/>
              </w:rPr>
            </w:pPr>
            <w:r w:rsidRPr="00B92499">
              <w:rPr>
                <w:rFonts w:ascii="Arial" w:hAnsi="Arial" w:cs="Arial"/>
                <w:color w:val="000000"/>
                <w:sz w:val="16"/>
                <w:szCs w:val="16"/>
              </w:rPr>
              <w:t>Agencia de Atención Animal</w:t>
            </w:r>
          </w:p>
        </w:tc>
        <w:tc>
          <w:tcPr>
            <w:tcW w:w="2551" w:type="dxa"/>
            <w:tcBorders>
              <w:top w:val="nil"/>
              <w:left w:val="nil"/>
              <w:bottom w:val="single" w:sz="4" w:space="0" w:color="auto"/>
              <w:right w:val="single" w:sz="4" w:space="0" w:color="auto"/>
            </w:tcBorders>
            <w:shd w:val="clear" w:color="auto" w:fill="auto"/>
            <w:vAlign w:val="center"/>
            <w:hideMark/>
          </w:tcPr>
          <w:p w14:paraId="53103EF3" w14:textId="77777777" w:rsidR="00507F70" w:rsidRPr="00B92499" w:rsidRDefault="00507F70" w:rsidP="00CF534F">
            <w:pPr>
              <w:jc w:val="center"/>
              <w:rPr>
                <w:rFonts w:ascii="Arial" w:hAnsi="Arial" w:cs="Arial"/>
                <w:color w:val="000000"/>
                <w:sz w:val="16"/>
                <w:szCs w:val="16"/>
              </w:rPr>
            </w:pPr>
            <w:r w:rsidRPr="00B92499">
              <w:rPr>
                <w:rFonts w:ascii="Arial" w:hAnsi="Arial" w:cs="Arial"/>
                <w:color w:val="000000"/>
                <w:sz w:val="16"/>
                <w:szCs w:val="16"/>
              </w:rPr>
              <w:t>89.57</w:t>
            </w:r>
          </w:p>
        </w:tc>
      </w:tr>
      <w:tr w:rsidR="00507F70" w:rsidRPr="00B92499" w14:paraId="1A58F544" w14:textId="77777777" w:rsidTr="00CF534F">
        <w:trPr>
          <w:trHeight w:val="300"/>
        </w:trPr>
        <w:tc>
          <w:tcPr>
            <w:tcW w:w="1271" w:type="dxa"/>
            <w:tcBorders>
              <w:top w:val="nil"/>
              <w:left w:val="single" w:sz="4" w:space="0" w:color="auto"/>
              <w:bottom w:val="single" w:sz="4" w:space="0" w:color="auto"/>
              <w:right w:val="single" w:sz="4" w:space="0" w:color="auto"/>
            </w:tcBorders>
            <w:shd w:val="clear" w:color="000000" w:fill="FFFFFF"/>
            <w:vAlign w:val="center"/>
            <w:hideMark/>
          </w:tcPr>
          <w:p w14:paraId="42FA798E" w14:textId="77777777" w:rsidR="00507F70" w:rsidRPr="00B92499" w:rsidRDefault="00507F70" w:rsidP="00CF534F">
            <w:pPr>
              <w:jc w:val="center"/>
              <w:rPr>
                <w:rFonts w:ascii="Arial" w:hAnsi="Arial" w:cs="Arial"/>
                <w:color w:val="000000"/>
                <w:sz w:val="16"/>
                <w:szCs w:val="16"/>
              </w:rPr>
            </w:pPr>
            <w:r w:rsidRPr="00B92499">
              <w:rPr>
                <w:rFonts w:ascii="Arial" w:hAnsi="Arial" w:cs="Arial"/>
                <w:color w:val="000000"/>
                <w:sz w:val="16"/>
                <w:szCs w:val="16"/>
              </w:rPr>
              <w:t>11</w:t>
            </w:r>
          </w:p>
        </w:tc>
        <w:tc>
          <w:tcPr>
            <w:tcW w:w="5812" w:type="dxa"/>
            <w:tcBorders>
              <w:top w:val="nil"/>
              <w:left w:val="nil"/>
              <w:bottom w:val="single" w:sz="4" w:space="0" w:color="auto"/>
              <w:right w:val="single" w:sz="4" w:space="0" w:color="auto"/>
            </w:tcBorders>
            <w:shd w:val="clear" w:color="000000" w:fill="FFFFFF"/>
            <w:noWrap/>
            <w:vAlign w:val="center"/>
            <w:hideMark/>
          </w:tcPr>
          <w:p w14:paraId="1E160E56" w14:textId="77777777" w:rsidR="00507F70" w:rsidRPr="00B92499" w:rsidRDefault="00507F70" w:rsidP="00CF534F">
            <w:pPr>
              <w:rPr>
                <w:rFonts w:ascii="Arial" w:hAnsi="Arial" w:cs="Arial"/>
                <w:color w:val="000000"/>
                <w:sz w:val="16"/>
                <w:szCs w:val="16"/>
              </w:rPr>
            </w:pPr>
            <w:r w:rsidRPr="00B92499">
              <w:rPr>
                <w:rFonts w:ascii="Arial" w:hAnsi="Arial" w:cs="Arial"/>
                <w:color w:val="000000"/>
                <w:sz w:val="16"/>
                <w:szCs w:val="16"/>
              </w:rPr>
              <w:t>Órgano Regulador de Transporte</w:t>
            </w:r>
          </w:p>
        </w:tc>
        <w:tc>
          <w:tcPr>
            <w:tcW w:w="2551" w:type="dxa"/>
            <w:tcBorders>
              <w:top w:val="nil"/>
              <w:left w:val="nil"/>
              <w:bottom w:val="single" w:sz="4" w:space="0" w:color="auto"/>
              <w:right w:val="single" w:sz="4" w:space="0" w:color="auto"/>
            </w:tcBorders>
            <w:shd w:val="clear" w:color="auto" w:fill="auto"/>
            <w:vAlign w:val="center"/>
            <w:hideMark/>
          </w:tcPr>
          <w:p w14:paraId="4F30B33C" w14:textId="77777777" w:rsidR="00507F70" w:rsidRPr="00B92499" w:rsidRDefault="00507F70" w:rsidP="00CF534F">
            <w:pPr>
              <w:jc w:val="center"/>
              <w:rPr>
                <w:rFonts w:ascii="Arial" w:hAnsi="Arial" w:cs="Arial"/>
                <w:color w:val="000000"/>
                <w:sz w:val="16"/>
                <w:szCs w:val="16"/>
              </w:rPr>
            </w:pPr>
            <w:r w:rsidRPr="00B92499">
              <w:rPr>
                <w:rFonts w:ascii="Arial" w:hAnsi="Arial" w:cs="Arial"/>
                <w:color w:val="000000"/>
                <w:sz w:val="16"/>
                <w:szCs w:val="16"/>
              </w:rPr>
              <w:t>87.74</w:t>
            </w:r>
          </w:p>
        </w:tc>
      </w:tr>
      <w:tr w:rsidR="00507F70" w:rsidRPr="00B92499" w14:paraId="2413B836" w14:textId="77777777" w:rsidTr="00CF534F">
        <w:trPr>
          <w:trHeight w:val="300"/>
        </w:trPr>
        <w:tc>
          <w:tcPr>
            <w:tcW w:w="1271" w:type="dxa"/>
            <w:tcBorders>
              <w:top w:val="nil"/>
              <w:left w:val="single" w:sz="4" w:space="0" w:color="auto"/>
              <w:bottom w:val="single" w:sz="4" w:space="0" w:color="auto"/>
              <w:right w:val="single" w:sz="4" w:space="0" w:color="auto"/>
            </w:tcBorders>
            <w:shd w:val="clear" w:color="000000" w:fill="FFFFFF"/>
            <w:vAlign w:val="center"/>
            <w:hideMark/>
          </w:tcPr>
          <w:p w14:paraId="61C5FDD4" w14:textId="77777777" w:rsidR="00507F70" w:rsidRPr="00B92499" w:rsidRDefault="00507F70" w:rsidP="00CF534F">
            <w:pPr>
              <w:jc w:val="center"/>
              <w:rPr>
                <w:rFonts w:ascii="Arial" w:hAnsi="Arial" w:cs="Arial"/>
                <w:color w:val="000000"/>
                <w:sz w:val="16"/>
                <w:szCs w:val="16"/>
              </w:rPr>
            </w:pPr>
            <w:r w:rsidRPr="00B92499">
              <w:rPr>
                <w:rFonts w:ascii="Arial" w:hAnsi="Arial" w:cs="Arial"/>
                <w:color w:val="000000"/>
                <w:sz w:val="16"/>
                <w:szCs w:val="16"/>
              </w:rPr>
              <w:t>12</w:t>
            </w:r>
          </w:p>
        </w:tc>
        <w:tc>
          <w:tcPr>
            <w:tcW w:w="5812" w:type="dxa"/>
            <w:tcBorders>
              <w:top w:val="nil"/>
              <w:left w:val="nil"/>
              <w:bottom w:val="single" w:sz="4" w:space="0" w:color="auto"/>
              <w:right w:val="single" w:sz="4" w:space="0" w:color="auto"/>
            </w:tcBorders>
            <w:shd w:val="clear" w:color="000000" w:fill="FFFFFF"/>
            <w:noWrap/>
            <w:vAlign w:val="center"/>
            <w:hideMark/>
          </w:tcPr>
          <w:p w14:paraId="03A79CD7" w14:textId="77777777" w:rsidR="00507F70" w:rsidRPr="00B92499" w:rsidRDefault="00507F70" w:rsidP="00CF534F">
            <w:pPr>
              <w:rPr>
                <w:rFonts w:ascii="Arial" w:hAnsi="Arial" w:cs="Arial"/>
                <w:color w:val="000000"/>
                <w:sz w:val="16"/>
                <w:szCs w:val="16"/>
              </w:rPr>
            </w:pPr>
            <w:r w:rsidRPr="00B92499">
              <w:rPr>
                <w:rFonts w:ascii="Arial" w:hAnsi="Arial" w:cs="Arial"/>
                <w:color w:val="000000"/>
                <w:sz w:val="16"/>
                <w:szCs w:val="16"/>
              </w:rPr>
              <w:t>Sistema Público de Radiodifusión de la Ciudad de México</w:t>
            </w:r>
          </w:p>
        </w:tc>
        <w:tc>
          <w:tcPr>
            <w:tcW w:w="2551" w:type="dxa"/>
            <w:tcBorders>
              <w:top w:val="nil"/>
              <w:left w:val="nil"/>
              <w:bottom w:val="single" w:sz="4" w:space="0" w:color="auto"/>
              <w:right w:val="single" w:sz="4" w:space="0" w:color="auto"/>
            </w:tcBorders>
            <w:shd w:val="clear" w:color="auto" w:fill="auto"/>
            <w:vAlign w:val="center"/>
            <w:hideMark/>
          </w:tcPr>
          <w:p w14:paraId="50388A05" w14:textId="77777777" w:rsidR="00507F70" w:rsidRPr="00B92499" w:rsidRDefault="00507F70" w:rsidP="00CF534F">
            <w:pPr>
              <w:jc w:val="center"/>
              <w:rPr>
                <w:rFonts w:ascii="Arial" w:hAnsi="Arial" w:cs="Arial"/>
                <w:color w:val="000000"/>
                <w:sz w:val="16"/>
                <w:szCs w:val="16"/>
              </w:rPr>
            </w:pPr>
            <w:r w:rsidRPr="00B92499">
              <w:rPr>
                <w:rFonts w:ascii="Arial" w:hAnsi="Arial" w:cs="Arial"/>
                <w:color w:val="000000"/>
                <w:sz w:val="16"/>
                <w:szCs w:val="16"/>
              </w:rPr>
              <w:t>87.70</w:t>
            </w:r>
          </w:p>
        </w:tc>
      </w:tr>
      <w:tr w:rsidR="00507F70" w:rsidRPr="00B92499" w14:paraId="5D0A67E1" w14:textId="77777777" w:rsidTr="00CF534F">
        <w:trPr>
          <w:trHeight w:val="300"/>
        </w:trPr>
        <w:tc>
          <w:tcPr>
            <w:tcW w:w="1271" w:type="dxa"/>
            <w:tcBorders>
              <w:top w:val="nil"/>
              <w:left w:val="single" w:sz="4" w:space="0" w:color="auto"/>
              <w:bottom w:val="single" w:sz="4" w:space="0" w:color="auto"/>
              <w:right w:val="single" w:sz="4" w:space="0" w:color="auto"/>
            </w:tcBorders>
            <w:shd w:val="clear" w:color="000000" w:fill="FFFFFF"/>
            <w:vAlign w:val="center"/>
            <w:hideMark/>
          </w:tcPr>
          <w:p w14:paraId="238EB3A7" w14:textId="77777777" w:rsidR="00507F70" w:rsidRPr="00B92499" w:rsidRDefault="00507F70" w:rsidP="00CF534F">
            <w:pPr>
              <w:jc w:val="center"/>
              <w:rPr>
                <w:rFonts w:ascii="Arial" w:hAnsi="Arial" w:cs="Arial"/>
                <w:color w:val="000000"/>
                <w:sz w:val="16"/>
                <w:szCs w:val="16"/>
              </w:rPr>
            </w:pPr>
            <w:r w:rsidRPr="00B92499">
              <w:rPr>
                <w:rFonts w:ascii="Arial" w:hAnsi="Arial" w:cs="Arial"/>
                <w:color w:val="000000"/>
                <w:sz w:val="16"/>
                <w:szCs w:val="16"/>
              </w:rPr>
              <w:t>13</w:t>
            </w:r>
          </w:p>
        </w:tc>
        <w:tc>
          <w:tcPr>
            <w:tcW w:w="5812" w:type="dxa"/>
            <w:tcBorders>
              <w:top w:val="nil"/>
              <w:left w:val="nil"/>
              <w:bottom w:val="single" w:sz="4" w:space="0" w:color="auto"/>
              <w:right w:val="single" w:sz="4" w:space="0" w:color="auto"/>
            </w:tcBorders>
            <w:shd w:val="clear" w:color="000000" w:fill="FFFFFF"/>
            <w:noWrap/>
            <w:vAlign w:val="center"/>
            <w:hideMark/>
          </w:tcPr>
          <w:p w14:paraId="348EE4D0" w14:textId="77777777" w:rsidR="00507F70" w:rsidRPr="00B92499" w:rsidRDefault="00507F70" w:rsidP="00CF534F">
            <w:pPr>
              <w:rPr>
                <w:rFonts w:ascii="Arial" w:hAnsi="Arial" w:cs="Arial"/>
                <w:color w:val="000000"/>
                <w:sz w:val="16"/>
                <w:szCs w:val="16"/>
              </w:rPr>
            </w:pPr>
            <w:r w:rsidRPr="00B92499">
              <w:rPr>
                <w:rFonts w:ascii="Arial" w:hAnsi="Arial" w:cs="Arial"/>
                <w:color w:val="000000"/>
                <w:sz w:val="16"/>
                <w:szCs w:val="16"/>
              </w:rPr>
              <w:t>Red de Transporte Público de Pasajeros de la Ciudad de México</w:t>
            </w:r>
          </w:p>
        </w:tc>
        <w:tc>
          <w:tcPr>
            <w:tcW w:w="2551" w:type="dxa"/>
            <w:tcBorders>
              <w:top w:val="nil"/>
              <w:left w:val="nil"/>
              <w:bottom w:val="single" w:sz="4" w:space="0" w:color="auto"/>
              <w:right w:val="single" w:sz="4" w:space="0" w:color="auto"/>
            </w:tcBorders>
            <w:shd w:val="clear" w:color="auto" w:fill="auto"/>
            <w:vAlign w:val="center"/>
            <w:hideMark/>
          </w:tcPr>
          <w:p w14:paraId="68ECBC8D" w14:textId="77777777" w:rsidR="00507F70" w:rsidRPr="00B92499" w:rsidRDefault="00507F70" w:rsidP="00CF534F">
            <w:pPr>
              <w:jc w:val="center"/>
              <w:rPr>
                <w:rFonts w:ascii="Arial" w:hAnsi="Arial" w:cs="Arial"/>
                <w:color w:val="000000"/>
                <w:sz w:val="16"/>
                <w:szCs w:val="16"/>
              </w:rPr>
            </w:pPr>
            <w:r w:rsidRPr="00B92499">
              <w:rPr>
                <w:rFonts w:ascii="Arial" w:hAnsi="Arial" w:cs="Arial"/>
                <w:color w:val="000000"/>
                <w:sz w:val="16"/>
                <w:szCs w:val="16"/>
              </w:rPr>
              <w:t>84.81</w:t>
            </w:r>
          </w:p>
        </w:tc>
      </w:tr>
      <w:tr w:rsidR="00507F70" w:rsidRPr="00B92499" w14:paraId="79831E53" w14:textId="77777777" w:rsidTr="00CF534F">
        <w:trPr>
          <w:trHeight w:val="300"/>
        </w:trPr>
        <w:tc>
          <w:tcPr>
            <w:tcW w:w="1271" w:type="dxa"/>
            <w:tcBorders>
              <w:top w:val="nil"/>
              <w:left w:val="single" w:sz="4" w:space="0" w:color="auto"/>
              <w:bottom w:val="single" w:sz="4" w:space="0" w:color="auto"/>
              <w:right w:val="single" w:sz="4" w:space="0" w:color="auto"/>
            </w:tcBorders>
            <w:shd w:val="clear" w:color="000000" w:fill="FFFFFF"/>
            <w:vAlign w:val="center"/>
            <w:hideMark/>
          </w:tcPr>
          <w:p w14:paraId="734009D6" w14:textId="77777777" w:rsidR="00507F70" w:rsidRPr="00B92499" w:rsidRDefault="00507F70" w:rsidP="00CF534F">
            <w:pPr>
              <w:jc w:val="center"/>
              <w:rPr>
                <w:rFonts w:ascii="Arial" w:hAnsi="Arial" w:cs="Arial"/>
                <w:color w:val="000000"/>
                <w:sz w:val="16"/>
                <w:szCs w:val="16"/>
              </w:rPr>
            </w:pPr>
            <w:r w:rsidRPr="00B92499">
              <w:rPr>
                <w:rFonts w:ascii="Arial" w:hAnsi="Arial" w:cs="Arial"/>
                <w:color w:val="000000"/>
                <w:sz w:val="16"/>
                <w:szCs w:val="16"/>
              </w:rPr>
              <w:t>14</w:t>
            </w:r>
          </w:p>
        </w:tc>
        <w:tc>
          <w:tcPr>
            <w:tcW w:w="5812" w:type="dxa"/>
            <w:tcBorders>
              <w:top w:val="nil"/>
              <w:left w:val="nil"/>
              <w:bottom w:val="single" w:sz="4" w:space="0" w:color="auto"/>
              <w:right w:val="single" w:sz="4" w:space="0" w:color="auto"/>
            </w:tcBorders>
            <w:shd w:val="clear" w:color="000000" w:fill="FFFFFF"/>
            <w:noWrap/>
            <w:vAlign w:val="center"/>
            <w:hideMark/>
          </w:tcPr>
          <w:p w14:paraId="7AC6548B" w14:textId="77777777" w:rsidR="00507F70" w:rsidRPr="00B92499" w:rsidRDefault="00507F70" w:rsidP="00CF534F">
            <w:pPr>
              <w:rPr>
                <w:rFonts w:ascii="Arial" w:hAnsi="Arial" w:cs="Arial"/>
                <w:color w:val="000000"/>
                <w:sz w:val="16"/>
                <w:szCs w:val="16"/>
              </w:rPr>
            </w:pPr>
            <w:r w:rsidRPr="00B92499">
              <w:rPr>
                <w:rFonts w:ascii="Arial" w:hAnsi="Arial" w:cs="Arial"/>
                <w:color w:val="000000"/>
                <w:sz w:val="16"/>
                <w:szCs w:val="16"/>
              </w:rPr>
              <w:t>Régimen de Protección Social en Salud de la Ciudad de México</w:t>
            </w:r>
          </w:p>
        </w:tc>
        <w:tc>
          <w:tcPr>
            <w:tcW w:w="2551" w:type="dxa"/>
            <w:tcBorders>
              <w:top w:val="nil"/>
              <w:left w:val="nil"/>
              <w:bottom w:val="single" w:sz="4" w:space="0" w:color="auto"/>
              <w:right w:val="single" w:sz="4" w:space="0" w:color="auto"/>
            </w:tcBorders>
            <w:shd w:val="clear" w:color="auto" w:fill="auto"/>
            <w:vAlign w:val="center"/>
            <w:hideMark/>
          </w:tcPr>
          <w:p w14:paraId="25A657CD" w14:textId="77777777" w:rsidR="00507F70" w:rsidRPr="00B92499" w:rsidRDefault="00507F70" w:rsidP="00CF534F">
            <w:pPr>
              <w:jc w:val="center"/>
              <w:rPr>
                <w:rFonts w:ascii="Arial" w:hAnsi="Arial" w:cs="Arial"/>
                <w:color w:val="000000"/>
                <w:sz w:val="16"/>
                <w:szCs w:val="16"/>
              </w:rPr>
            </w:pPr>
            <w:r w:rsidRPr="00B92499">
              <w:rPr>
                <w:rFonts w:ascii="Arial" w:hAnsi="Arial" w:cs="Arial"/>
                <w:color w:val="000000"/>
                <w:sz w:val="16"/>
                <w:szCs w:val="16"/>
              </w:rPr>
              <w:t>42.27</w:t>
            </w:r>
          </w:p>
        </w:tc>
      </w:tr>
      <w:tr w:rsidR="00507F70" w:rsidRPr="00B92499" w14:paraId="1C8C0EFF" w14:textId="77777777" w:rsidTr="00CF534F">
        <w:trPr>
          <w:trHeight w:val="300"/>
        </w:trPr>
        <w:tc>
          <w:tcPr>
            <w:tcW w:w="1271" w:type="dxa"/>
            <w:tcBorders>
              <w:top w:val="nil"/>
              <w:left w:val="single" w:sz="4" w:space="0" w:color="auto"/>
              <w:bottom w:val="single" w:sz="4" w:space="0" w:color="auto"/>
              <w:right w:val="single" w:sz="4" w:space="0" w:color="auto"/>
            </w:tcBorders>
            <w:shd w:val="clear" w:color="000000" w:fill="FFFFFF"/>
            <w:vAlign w:val="center"/>
            <w:hideMark/>
          </w:tcPr>
          <w:p w14:paraId="362F419A" w14:textId="77777777" w:rsidR="00507F70" w:rsidRPr="00B92499" w:rsidRDefault="00507F70" w:rsidP="00CF534F">
            <w:pPr>
              <w:jc w:val="center"/>
              <w:rPr>
                <w:rFonts w:ascii="Arial" w:hAnsi="Arial" w:cs="Arial"/>
                <w:color w:val="000000"/>
                <w:sz w:val="16"/>
                <w:szCs w:val="16"/>
              </w:rPr>
            </w:pPr>
            <w:r w:rsidRPr="00B92499">
              <w:rPr>
                <w:rFonts w:ascii="Arial" w:hAnsi="Arial" w:cs="Arial"/>
                <w:color w:val="000000"/>
                <w:sz w:val="16"/>
                <w:szCs w:val="16"/>
              </w:rPr>
              <w:t>15</w:t>
            </w:r>
          </w:p>
        </w:tc>
        <w:tc>
          <w:tcPr>
            <w:tcW w:w="5812" w:type="dxa"/>
            <w:tcBorders>
              <w:top w:val="nil"/>
              <w:left w:val="nil"/>
              <w:bottom w:val="single" w:sz="4" w:space="0" w:color="auto"/>
              <w:right w:val="single" w:sz="4" w:space="0" w:color="auto"/>
            </w:tcBorders>
            <w:shd w:val="clear" w:color="000000" w:fill="FFFFFF"/>
            <w:noWrap/>
            <w:vAlign w:val="center"/>
            <w:hideMark/>
          </w:tcPr>
          <w:p w14:paraId="4DF476B4" w14:textId="77777777" w:rsidR="00507F70" w:rsidRPr="00B92499" w:rsidRDefault="00507F70" w:rsidP="00CF534F">
            <w:pPr>
              <w:rPr>
                <w:rFonts w:ascii="Arial" w:hAnsi="Arial" w:cs="Arial"/>
                <w:color w:val="000000"/>
                <w:sz w:val="16"/>
                <w:szCs w:val="16"/>
              </w:rPr>
            </w:pPr>
            <w:r w:rsidRPr="00B92499">
              <w:rPr>
                <w:rFonts w:ascii="Arial" w:hAnsi="Arial" w:cs="Arial"/>
                <w:color w:val="000000"/>
                <w:sz w:val="16"/>
                <w:szCs w:val="16"/>
              </w:rPr>
              <w:t>Planta Productora de Mezclas Asfálticas</w:t>
            </w:r>
          </w:p>
        </w:tc>
        <w:tc>
          <w:tcPr>
            <w:tcW w:w="2551" w:type="dxa"/>
            <w:tcBorders>
              <w:top w:val="nil"/>
              <w:left w:val="nil"/>
              <w:bottom w:val="single" w:sz="4" w:space="0" w:color="auto"/>
              <w:right w:val="single" w:sz="4" w:space="0" w:color="auto"/>
            </w:tcBorders>
            <w:shd w:val="clear" w:color="auto" w:fill="auto"/>
            <w:vAlign w:val="center"/>
            <w:hideMark/>
          </w:tcPr>
          <w:p w14:paraId="367AB55A" w14:textId="77777777" w:rsidR="00507F70" w:rsidRPr="00B92499" w:rsidRDefault="00507F70" w:rsidP="00CF534F">
            <w:pPr>
              <w:jc w:val="center"/>
              <w:rPr>
                <w:rFonts w:ascii="Arial" w:hAnsi="Arial" w:cs="Arial"/>
                <w:color w:val="000000"/>
                <w:sz w:val="16"/>
                <w:szCs w:val="16"/>
              </w:rPr>
            </w:pPr>
            <w:r w:rsidRPr="00B92499">
              <w:rPr>
                <w:rFonts w:ascii="Arial" w:hAnsi="Arial" w:cs="Arial"/>
                <w:color w:val="000000"/>
                <w:sz w:val="16"/>
                <w:szCs w:val="16"/>
              </w:rPr>
              <w:t>33.93</w:t>
            </w:r>
          </w:p>
        </w:tc>
      </w:tr>
      <w:tr w:rsidR="00507F70" w:rsidRPr="00B92499" w14:paraId="662BBC7A" w14:textId="77777777" w:rsidTr="00CF534F">
        <w:trPr>
          <w:trHeight w:val="300"/>
        </w:trPr>
        <w:tc>
          <w:tcPr>
            <w:tcW w:w="1271" w:type="dxa"/>
            <w:tcBorders>
              <w:top w:val="nil"/>
              <w:left w:val="single" w:sz="4" w:space="0" w:color="auto"/>
              <w:bottom w:val="single" w:sz="4" w:space="0" w:color="auto"/>
              <w:right w:val="single" w:sz="4" w:space="0" w:color="auto"/>
            </w:tcBorders>
            <w:shd w:val="clear" w:color="000000" w:fill="FFFFFF"/>
            <w:vAlign w:val="center"/>
            <w:hideMark/>
          </w:tcPr>
          <w:p w14:paraId="4428032F" w14:textId="77777777" w:rsidR="00507F70" w:rsidRPr="00B92499" w:rsidRDefault="00507F70" w:rsidP="00CF534F">
            <w:pPr>
              <w:jc w:val="center"/>
              <w:rPr>
                <w:rFonts w:ascii="Arial" w:hAnsi="Arial" w:cs="Arial"/>
                <w:color w:val="000000"/>
                <w:sz w:val="16"/>
                <w:szCs w:val="16"/>
              </w:rPr>
            </w:pPr>
            <w:r w:rsidRPr="00B92499">
              <w:rPr>
                <w:rFonts w:ascii="Arial" w:hAnsi="Arial" w:cs="Arial"/>
                <w:color w:val="000000"/>
                <w:sz w:val="16"/>
                <w:szCs w:val="16"/>
              </w:rPr>
              <w:t>16</w:t>
            </w:r>
          </w:p>
        </w:tc>
        <w:tc>
          <w:tcPr>
            <w:tcW w:w="5812" w:type="dxa"/>
            <w:tcBorders>
              <w:top w:val="nil"/>
              <w:left w:val="nil"/>
              <w:bottom w:val="single" w:sz="4" w:space="0" w:color="auto"/>
              <w:right w:val="single" w:sz="4" w:space="0" w:color="auto"/>
            </w:tcBorders>
            <w:shd w:val="clear" w:color="000000" w:fill="FFFFFF"/>
            <w:noWrap/>
            <w:vAlign w:val="center"/>
            <w:hideMark/>
          </w:tcPr>
          <w:p w14:paraId="4E0F04E7" w14:textId="77777777" w:rsidR="00507F70" w:rsidRPr="00B92499" w:rsidRDefault="00507F70" w:rsidP="00CF534F">
            <w:pPr>
              <w:rPr>
                <w:rFonts w:ascii="Arial" w:hAnsi="Arial" w:cs="Arial"/>
                <w:color w:val="000000"/>
                <w:sz w:val="16"/>
                <w:szCs w:val="16"/>
              </w:rPr>
            </w:pPr>
            <w:r w:rsidRPr="00B92499">
              <w:rPr>
                <w:rFonts w:ascii="Arial" w:hAnsi="Arial" w:cs="Arial"/>
                <w:color w:val="000000"/>
                <w:sz w:val="16"/>
                <w:szCs w:val="16"/>
              </w:rPr>
              <w:t>Fondo Público de Atención al Ciclista y al Peatón</w:t>
            </w:r>
          </w:p>
        </w:tc>
        <w:tc>
          <w:tcPr>
            <w:tcW w:w="2551" w:type="dxa"/>
            <w:tcBorders>
              <w:top w:val="nil"/>
              <w:left w:val="nil"/>
              <w:bottom w:val="single" w:sz="4" w:space="0" w:color="auto"/>
              <w:right w:val="single" w:sz="4" w:space="0" w:color="auto"/>
            </w:tcBorders>
            <w:shd w:val="clear" w:color="auto" w:fill="auto"/>
            <w:vAlign w:val="center"/>
            <w:hideMark/>
          </w:tcPr>
          <w:p w14:paraId="313C0229" w14:textId="77777777" w:rsidR="00507F70" w:rsidRPr="00B92499" w:rsidRDefault="00507F70" w:rsidP="00CF534F">
            <w:pPr>
              <w:jc w:val="center"/>
              <w:rPr>
                <w:rFonts w:ascii="Arial" w:hAnsi="Arial" w:cs="Arial"/>
                <w:color w:val="000000"/>
                <w:sz w:val="16"/>
                <w:szCs w:val="16"/>
              </w:rPr>
            </w:pPr>
            <w:r w:rsidRPr="00B92499">
              <w:rPr>
                <w:rFonts w:ascii="Arial" w:hAnsi="Arial" w:cs="Arial"/>
                <w:color w:val="000000"/>
                <w:sz w:val="16"/>
                <w:szCs w:val="16"/>
              </w:rPr>
              <w:t>7.71</w:t>
            </w:r>
          </w:p>
        </w:tc>
      </w:tr>
      <w:tr w:rsidR="00507F70" w:rsidRPr="00B92499" w14:paraId="5F901304" w14:textId="77777777" w:rsidTr="00CF534F">
        <w:trPr>
          <w:trHeight w:val="300"/>
        </w:trPr>
        <w:tc>
          <w:tcPr>
            <w:tcW w:w="9634" w:type="dxa"/>
            <w:gridSpan w:val="3"/>
            <w:tcBorders>
              <w:top w:val="single" w:sz="4" w:space="0" w:color="auto"/>
              <w:left w:val="single" w:sz="4" w:space="0" w:color="auto"/>
              <w:bottom w:val="single" w:sz="4" w:space="0" w:color="auto"/>
              <w:right w:val="single" w:sz="4" w:space="0" w:color="auto"/>
            </w:tcBorders>
            <w:shd w:val="clear" w:color="000000" w:fill="33CCCC"/>
            <w:noWrap/>
            <w:vAlign w:val="center"/>
            <w:hideMark/>
          </w:tcPr>
          <w:p w14:paraId="36EA8F81" w14:textId="77777777" w:rsidR="00507F70" w:rsidRPr="00B92499" w:rsidRDefault="00507F70" w:rsidP="00CF534F">
            <w:pPr>
              <w:jc w:val="center"/>
              <w:rPr>
                <w:rFonts w:ascii="Arial" w:hAnsi="Arial" w:cs="Arial"/>
                <w:b/>
                <w:bCs/>
                <w:color w:val="000000"/>
                <w:sz w:val="16"/>
                <w:szCs w:val="16"/>
              </w:rPr>
            </w:pPr>
            <w:r w:rsidRPr="00B92499">
              <w:rPr>
                <w:rFonts w:ascii="Arial" w:hAnsi="Arial" w:cs="Arial"/>
                <w:b/>
                <w:bCs/>
                <w:color w:val="000000"/>
                <w:sz w:val="16"/>
                <w:szCs w:val="16"/>
              </w:rPr>
              <w:t>Poder Ejecutivo - Demarcaciones Políticas</w:t>
            </w:r>
          </w:p>
        </w:tc>
      </w:tr>
      <w:tr w:rsidR="00507F70" w:rsidRPr="00B92499" w14:paraId="7FEA5A54" w14:textId="77777777" w:rsidTr="00CF534F">
        <w:trPr>
          <w:trHeight w:val="300"/>
        </w:trPr>
        <w:tc>
          <w:tcPr>
            <w:tcW w:w="1271" w:type="dxa"/>
            <w:tcBorders>
              <w:top w:val="nil"/>
              <w:left w:val="single" w:sz="4" w:space="0" w:color="auto"/>
              <w:bottom w:val="single" w:sz="4" w:space="0" w:color="auto"/>
              <w:right w:val="single" w:sz="4" w:space="0" w:color="auto"/>
            </w:tcBorders>
            <w:shd w:val="clear" w:color="000000" w:fill="FFFFFF"/>
            <w:vAlign w:val="center"/>
            <w:hideMark/>
          </w:tcPr>
          <w:p w14:paraId="35366169" w14:textId="77777777" w:rsidR="00507F70" w:rsidRPr="00B92499" w:rsidRDefault="00507F70" w:rsidP="00CF534F">
            <w:pPr>
              <w:jc w:val="center"/>
              <w:rPr>
                <w:rFonts w:ascii="Arial" w:hAnsi="Arial" w:cs="Arial"/>
                <w:color w:val="000000"/>
                <w:sz w:val="16"/>
                <w:szCs w:val="16"/>
              </w:rPr>
            </w:pPr>
            <w:r w:rsidRPr="00B92499">
              <w:rPr>
                <w:rFonts w:ascii="Arial" w:hAnsi="Arial" w:cs="Arial"/>
                <w:color w:val="000000"/>
                <w:sz w:val="16"/>
                <w:szCs w:val="16"/>
              </w:rPr>
              <w:t>17</w:t>
            </w:r>
          </w:p>
        </w:tc>
        <w:tc>
          <w:tcPr>
            <w:tcW w:w="5812" w:type="dxa"/>
            <w:tcBorders>
              <w:top w:val="nil"/>
              <w:left w:val="nil"/>
              <w:bottom w:val="single" w:sz="4" w:space="0" w:color="auto"/>
              <w:right w:val="single" w:sz="4" w:space="0" w:color="auto"/>
            </w:tcBorders>
            <w:shd w:val="clear" w:color="000000" w:fill="FFFFFF"/>
            <w:noWrap/>
            <w:vAlign w:val="center"/>
            <w:hideMark/>
          </w:tcPr>
          <w:p w14:paraId="0243D4A3" w14:textId="77777777" w:rsidR="00507F70" w:rsidRPr="00B92499" w:rsidRDefault="00507F70" w:rsidP="00CF534F">
            <w:pPr>
              <w:rPr>
                <w:rFonts w:ascii="Arial" w:hAnsi="Arial" w:cs="Arial"/>
                <w:color w:val="000000"/>
                <w:sz w:val="16"/>
                <w:szCs w:val="16"/>
              </w:rPr>
            </w:pPr>
            <w:r w:rsidRPr="00B92499">
              <w:rPr>
                <w:rFonts w:ascii="Arial" w:hAnsi="Arial" w:cs="Arial"/>
                <w:color w:val="000000"/>
                <w:sz w:val="16"/>
                <w:szCs w:val="16"/>
              </w:rPr>
              <w:t>Alcaldía La Magdalena Contreras</w:t>
            </w:r>
          </w:p>
        </w:tc>
        <w:tc>
          <w:tcPr>
            <w:tcW w:w="2551" w:type="dxa"/>
            <w:tcBorders>
              <w:top w:val="nil"/>
              <w:left w:val="nil"/>
              <w:bottom w:val="single" w:sz="4" w:space="0" w:color="auto"/>
              <w:right w:val="single" w:sz="4" w:space="0" w:color="auto"/>
            </w:tcBorders>
            <w:shd w:val="clear" w:color="auto" w:fill="auto"/>
            <w:vAlign w:val="center"/>
            <w:hideMark/>
          </w:tcPr>
          <w:p w14:paraId="7F411C5F" w14:textId="77777777" w:rsidR="00507F70" w:rsidRPr="00B92499" w:rsidRDefault="00507F70" w:rsidP="00CF534F">
            <w:pPr>
              <w:jc w:val="center"/>
              <w:rPr>
                <w:rFonts w:ascii="Arial" w:hAnsi="Arial" w:cs="Arial"/>
                <w:color w:val="000000"/>
                <w:sz w:val="16"/>
                <w:szCs w:val="16"/>
              </w:rPr>
            </w:pPr>
            <w:r w:rsidRPr="00B92499">
              <w:rPr>
                <w:rFonts w:ascii="Arial" w:hAnsi="Arial" w:cs="Arial"/>
                <w:color w:val="000000"/>
                <w:sz w:val="16"/>
                <w:szCs w:val="16"/>
              </w:rPr>
              <w:t>100</w:t>
            </w:r>
          </w:p>
        </w:tc>
      </w:tr>
      <w:tr w:rsidR="00507F70" w:rsidRPr="00B92499" w14:paraId="635E7E64" w14:textId="77777777" w:rsidTr="00CF534F">
        <w:trPr>
          <w:trHeight w:val="300"/>
        </w:trPr>
        <w:tc>
          <w:tcPr>
            <w:tcW w:w="1271" w:type="dxa"/>
            <w:tcBorders>
              <w:top w:val="nil"/>
              <w:left w:val="single" w:sz="4" w:space="0" w:color="auto"/>
              <w:bottom w:val="single" w:sz="4" w:space="0" w:color="auto"/>
              <w:right w:val="single" w:sz="4" w:space="0" w:color="auto"/>
            </w:tcBorders>
            <w:shd w:val="clear" w:color="000000" w:fill="FFFFFF"/>
            <w:vAlign w:val="center"/>
            <w:hideMark/>
          </w:tcPr>
          <w:p w14:paraId="5C9835FC" w14:textId="77777777" w:rsidR="00507F70" w:rsidRPr="00B92499" w:rsidRDefault="00507F70" w:rsidP="00CF534F">
            <w:pPr>
              <w:jc w:val="center"/>
              <w:rPr>
                <w:rFonts w:ascii="Arial" w:hAnsi="Arial" w:cs="Arial"/>
                <w:color w:val="000000"/>
                <w:sz w:val="16"/>
                <w:szCs w:val="16"/>
              </w:rPr>
            </w:pPr>
            <w:r w:rsidRPr="00B92499">
              <w:rPr>
                <w:rFonts w:ascii="Arial" w:hAnsi="Arial" w:cs="Arial"/>
                <w:color w:val="000000"/>
                <w:sz w:val="16"/>
                <w:szCs w:val="16"/>
              </w:rPr>
              <w:t>18</w:t>
            </w:r>
          </w:p>
        </w:tc>
        <w:tc>
          <w:tcPr>
            <w:tcW w:w="5812" w:type="dxa"/>
            <w:tcBorders>
              <w:top w:val="nil"/>
              <w:left w:val="nil"/>
              <w:bottom w:val="single" w:sz="4" w:space="0" w:color="auto"/>
              <w:right w:val="single" w:sz="4" w:space="0" w:color="auto"/>
            </w:tcBorders>
            <w:shd w:val="clear" w:color="000000" w:fill="FFFFFF"/>
            <w:noWrap/>
            <w:vAlign w:val="center"/>
            <w:hideMark/>
          </w:tcPr>
          <w:p w14:paraId="565BECEC" w14:textId="77777777" w:rsidR="00507F70" w:rsidRPr="00B92499" w:rsidRDefault="00507F70" w:rsidP="00CF534F">
            <w:pPr>
              <w:rPr>
                <w:rFonts w:ascii="Arial" w:hAnsi="Arial" w:cs="Arial"/>
                <w:color w:val="000000"/>
                <w:sz w:val="16"/>
                <w:szCs w:val="16"/>
              </w:rPr>
            </w:pPr>
            <w:r w:rsidRPr="00B92499">
              <w:rPr>
                <w:rFonts w:ascii="Arial" w:hAnsi="Arial" w:cs="Arial"/>
                <w:color w:val="000000"/>
                <w:sz w:val="16"/>
                <w:szCs w:val="16"/>
              </w:rPr>
              <w:t>Alcaldía Miguel Hidalgo</w:t>
            </w:r>
          </w:p>
        </w:tc>
        <w:tc>
          <w:tcPr>
            <w:tcW w:w="2551" w:type="dxa"/>
            <w:tcBorders>
              <w:top w:val="nil"/>
              <w:left w:val="nil"/>
              <w:bottom w:val="single" w:sz="4" w:space="0" w:color="auto"/>
              <w:right w:val="single" w:sz="4" w:space="0" w:color="auto"/>
            </w:tcBorders>
            <w:shd w:val="clear" w:color="auto" w:fill="auto"/>
            <w:vAlign w:val="center"/>
            <w:hideMark/>
          </w:tcPr>
          <w:p w14:paraId="1F9CF48D" w14:textId="77777777" w:rsidR="00507F70" w:rsidRPr="00B92499" w:rsidRDefault="00507F70" w:rsidP="00CF534F">
            <w:pPr>
              <w:jc w:val="center"/>
              <w:rPr>
                <w:rFonts w:ascii="Arial" w:hAnsi="Arial" w:cs="Arial"/>
                <w:color w:val="000000"/>
                <w:sz w:val="16"/>
                <w:szCs w:val="16"/>
              </w:rPr>
            </w:pPr>
            <w:r w:rsidRPr="00B92499">
              <w:rPr>
                <w:rFonts w:ascii="Arial" w:hAnsi="Arial" w:cs="Arial"/>
                <w:color w:val="000000"/>
                <w:sz w:val="16"/>
                <w:szCs w:val="16"/>
              </w:rPr>
              <w:t>100</w:t>
            </w:r>
          </w:p>
        </w:tc>
      </w:tr>
      <w:tr w:rsidR="00507F70" w:rsidRPr="00B92499" w14:paraId="72A4CDE0" w14:textId="77777777" w:rsidTr="00CF534F">
        <w:trPr>
          <w:trHeight w:val="300"/>
        </w:trPr>
        <w:tc>
          <w:tcPr>
            <w:tcW w:w="1271" w:type="dxa"/>
            <w:tcBorders>
              <w:top w:val="nil"/>
              <w:left w:val="single" w:sz="4" w:space="0" w:color="auto"/>
              <w:bottom w:val="single" w:sz="4" w:space="0" w:color="auto"/>
              <w:right w:val="single" w:sz="4" w:space="0" w:color="auto"/>
            </w:tcBorders>
            <w:shd w:val="clear" w:color="000000" w:fill="FFFFFF"/>
            <w:vAlign w:val="center"/>
            <w:hideMark/>
          </w:tcPr>
          <w:p w14:paraId="3B23B2DF" w14:textId="77777777" w:rsidR="00507F70" w:rsidRPr="00B92499" w:rsidRDefault="00507F70" w:rsidP="00CF534F">
            <w:pPr>
              <w:jc w:val="center"/>
              <w:rPr>
                <w:rFonts w:ascii="Arial" w:hAnsi="Arial" w:cs="Arial"/>
                <w:color w:val="000000"/>
                <w:sz w:val="16"/>
                <w:szCs w:val="16"/>
              </w:rPr>
            </w:pPr>
            <w:r w:rsidRPr="00B92499">
              <w:rPr>
                <w:rFonts w:ascii="Arial" w:hAnsi="Arial" w:cs="Arial"/>
                <w:color w:val="000000"/>
                <w:sz w:val="16"/>
                <w:szCs w:val="16"/>
              </w:rPr>
              <w:t>19</w:t>
            </w:r>
          </w:p>
        </w:tc>
        <w:tc>
          <w:tcPr>
            <w:tcW w:w="5812" w:type="dxa"/>
            <w:tcBorders>
              <w:top w:val="nil"/>
              <w:left w:val="nil"/>
              <w:bottom w:val="single" w:sz="4" w:space="0" w:color="auto"/>
              <w:right w:val="single" w:sz="4" w:space="0" w:color="auto"/>
            </w:tcBorders>
            <w:shd w:val="clear" w:color="000000" w:fill="FFFFFF"/>
            <w:noWrap/>
            <w:vAlign w:val="center"/>
            <w:hideMark/>
          </w:tcPr>
          <w:p w14:paraId="6391E81B" w14:textId="77777777" w:rsidR="00507F70" w:rsidRPr="00B92499" w:rsidRDefault="00507F70" w:rsidP="00CF534F">
            <w:pPr>
              <w:rPr>
                <w:rFonts w:ascii="Arial" w:hAnsi="Arial" w:cs="Arial"/>
                <w:color w:val="000000"/>
                <w:sz w:val="16"/>
                <w:szCs w:val="16"/>
              </w:rPr>
            </w:pPr>
            <w:r w:rsidRPr="00B92499">
              <w:rPr>
                <w:rFonts w:ascii="Arial" w:hAnsi="Arial" w:cs="Arial"/>
                <w:color w:val="000000"/>
                <w:sz w:val="16"/>
                <w:szCs w:val="16"/>
              </w:rPr>
              <w:t>Alcaldía Venustiano Carranza</w:t>
            </w:r>
          </w:p>
        </w:tc>
        <w:tc>
          <w:tcPr>
            <w:tcW w:w="2551" w:type="dxa"/>
            <w:tcBorders>
              <w:top w:val="nil"/>
              <w:left w:val="nil"/>
              <w:bottom w:val="single" w:sz="4" w:space="0" w:color="auto"/>
              <w:right w:val="single" w:sz="4" w:space="0" w:color="auto"/>
            </w:tcBorders>
            <w:shd w:val="clear" w:color="auto" w:fill="auto"/>
            <w:vAlign w:val="center"/>
            <w:hideMark/>
          </w:tcPr>
          <w:p w14:paraId="6F823E81" w14:textId="77777777" w:rsidR="00507F70" w:rsidRPr="00B92499" w:rsidRDefault="00507F70" w:rsidP="00CF534F">
            <w:pPr>
              <w:jc w:val="center"/>
              <w:rPr>
                <w:rFonts w:ascii="Arial" w:hAnsi="Arial" w:cs="Arial"/>
                <w:color w:val="000000"/>
                <w:sz w:val="16"/>
                <w:szCs w:val="16"/>
              </w:rPr>
            </w:pPr>
            <w:r w:rsidRPr="00B92499">
              <w:rPr>
                <w:rFonts w:ascii="Arial" w:hAnsi="Arial" w:cs="Arial"/>
                <w:color w:val="000000"/>
                <w:sz w:val="16"/>
                <w:szCs w:val="16"/>
              </w:rPr>
              <w:t>99.47</w:t>
            </w:r>
          </w:p>
        </w:tc>
      </w:tr>
      <w:tr w:rsidR="00507F70" w:rsidRPr="00B92499" w14:paraId="72ADA7B9" w14:textId="77777777" w:rsidTr="00CF534F">
        <w:trPr>
          <w:trHeight w:val="300"/>
        </w:trPr>
        <w:tc>
          <w:tcPr>
            <w:tcW w:w="1271" w:type="dxa"/>
            <w:tcBorders>
              <w:top w:val="nil"/>
              <w:left w:val="single" w:sz="4" w:space="0" w:color="auto"/>
              <w:bottom w:val="single" w:sz="4" w:space="0" w:color="auto"/>
              <w:right w:val="single" w:sz="4" w:space="0" w:color="auto"/>
            </w:tcBorders>
            <w:shd w:val="clear" w:color="000000" w:fill="FFFFFF"/>
            <w:vAlign w:val="center"/>
            <w:hideMark/>
          </w:tcPr>
          <w:p w14:paraId="377B03AF" w14:textId="77777777" w:rsidR="00507F70" w:rsidRPr="00B92499" w:rsidRDefault="00507F70" w:rsidP="00CF534F">
            <w:pPr>
              <w:jc w:val="center"/>
              <w:rPr>
                <w:rFonts w:ascii="Arial" w:hAnsi="Arial" w:cs="Arial"/>
                <w:color w:val="000000"/>
                <w:sz w:val="16"/>
                <w:szCs w:val="16"/>
              </w:rPr>
            </w:pPr>
            <w:r w:rsidRPr="00B92499">
              <w:rPr>
                <w:rFonts w:ascii="Arial" w:hAnsi="Arial" w:cs="Arial"/>
                <w:color w:val="000000"/>
                <w:sz w:val="16"/>
                <w:szCs w:val="16"/>
              </w:rPr>
              <w:t>20</w:t>
            </w:r>
          </w:p>
        </w:tc>
        <w:tc>
          <w:tcPr>
            <w:tcW w:w="5812" w:type="dxa"/>
            <w:tcBorders>
              <w:top w:val="nil"/>
              <w:left w:val="nil"/>
              <w:bottom w:val="single" w:sz="4" w:space="0" w:color="auto"/>
              <w:right w:val="single" w:sz="4" w:space="0" w:color="auto"/>
            </w:tcBorders>
            <w:shd w:val="clear" w:color="000000" w:fill="FFFFFF"/>
            <w:noWrap/>
            <w:vAlign w:val="center"/>
            <w:hideMark/>
          </w:tcPr>
          <w:p w14:paraId="05492D6A" w14:textId="77777777" w:rsidR="00507F70" w:rsidRPr="00B92499" w:rsidRDefault="00507F70" w:rsidP="00CF534F">
            <w:pPr>
              <w:rPr>
                <w:rFonts w:ascii="Arial" w:hAnsi="Arial" w:cs="Arial"/>
                <w:color w:val="000000"/>
                <w:sz w:val="16"/>
                <w:szCs w:val="16"/>
              </w:rPr>
            </w:pPr>
            <w:r w:rsidRPr="00B92499">
              <w:rPr>
                <w:rFonts w:ascii="Arial" w:hAnsi="Arial" w:cs="Arial"/>
                <w:color w:val="000000"/>
                <w:sz w:val="16"/>
                <w:szCs w:val="16"/>
              </w:rPr>
              <w:t>Alcaldía Tláhuac</w:t>
            </w:r>
          </w:p>
        </w:tc>
        <w:tc>
          <w:tcPr>
            <w:tcW w:w="2551" w:type="dxa"/>
            <w:tcBorders>
              <w:top w:val="nil"/>
              <w:left w:val="nil"/>
              <w:bottom w:val="single" w:sz="4" w:space="0" w:color="auto"/>
              <w:right w:val="single" w:sz="4" w:space="0" w:color="auto"/>
            </w:tcBorders>
            <w:shd w:val="clear" w:color="auto" w:fill="auto"/>
            <w:vAlign w:val="center"/>
            <w:hideMark/>
          </w:tcPr>
          <w:p w14:paraId="635FF101" w14:textId="77777777" w:rsidR="00507F70" w:rsidRPr="00B92499" w:rsidRDefault="00507F70" w:rsidP="00CF534F">
            <w:pPr>
              <w:jc w:val="center"/>
              <w:rPr>
                <w:rFonts w:ascii="Arial" w:hAnsi="Arial" w:cs="Arial"/>
                <w:color w:val="000000"/>
                <w:sz w:val="16"/>
                <w:szCs w:val="16"/>
              </w:rPr>
            </w:pPr>
            <w:r w:rsidRPr="00B92499">
              <w:rPr>
                <w:rFonts w:ascii="Arial" w:hAnsi="Arial" w:cs="Arial"/>
                <w:color w:val="000000"/>
                <w:sz w:val="16"/>
                <w:szCs w:val="16"/>
              </w:rPr>
              <w:t>99.12</w:t>
            </w:r>
          </w:p>
        </w:tc>
      </w:tr>
      <w:tr w:rsidR="00507F70" w:rsidRPr="00B92499" w14:paraId="5EBE52C6" w14:textId="77777777" w:rsidTr="00CF534F">
        <w:trPr>
          <w:trHeight w:val="300"/>
        </w:trPr>
        <w:tc>
          <w:tcPr>
            <w:tcW w:w="1271" w:type="dxa"/>
            <w:tcBorders>
              <w:top w:val="nil"/>
              <w:left w:val="single" w:sz="4" w:space="0" w:color="auto"/>
              <w:bottom w:val="single" w:sz="4" w:space="0" w:color="auto"/>
              <w:right w:val="single" w:sz="4" w:space="0" w:color="auto"/>
            </w:tcBorders>
            <w:shd w:val="clear" w:color="000000" w:fill="FFFFFF"/>
            <w:vAlign w:val="center"/>
            <w:hideMark/>
          </w:tcPr>
          <w:p w14:paraId="0B0867C9" w14:textId="77777777" w:rsidR="00507F70" w:rsidRPr="00B92499" w:rsidRDefault="00507F70" w:rsidP="00CF534F">
            <w:pPr>
              <w:jc w:val="center"/>
              <w:rPr>
                <w:rFonts w:ascii="Arial" w:hAnsi="Arial" w:cs="Arial"/>
                <w:color w:val="000000"/>
                <w:sz w:val="16"/>
                <w:szCs w:val="16"/>
              </w:rPr>
            </w:pPr>
            <w:r w:rsidRPr="00B92499">
              <w:rPr>
                <w:rFonts w:ascii="Arial" w:hAnsi="Arial" w:cs="Arial"/>
                <w:color w:val="000000"/>
                <w:sz w:val="16"/>
                <w:szCs w:val="16"/>
              </w:rPr>
              <w:t>21</w:t>
            </w:r>
          </w:p>
        </w:tc>
        <w:tc>
          <w:tcPr>
            <w:tcW w:w="5812" w:type="dxa"/>
            <w:tcBorders>
              <w:top w:val="nil"/>
              <w:left w:val="nil"/>
              <w:bottom w:val="single" w:sz="4" w:space="0" w:color="auto"/>
              <w:right w:val="single" w:sz="4" w:space="0" w:color="auto"/>
            </w:tcBorders>
            <w:shd w:val="clear" w:color="000000" w:fill="FFFFFF"/>
            <w:noWrap/>
            <w:vAlign w:val="center"/>
            <w:hideMark/>
          </w:tcPr>
          <w:p w14:paraId="5C823BFF" w14:textId="77777777" w:rsidR="00507F70" w:rsidRPr="00B92499" w:rsidRDefault="00507F70" w:rsidP="00CF534F">
            <w:pPr>
              <w:rPr>
                <w:rFonts w:ascii="Arial" w:hAnsi="Arial" w:cs="Arial"/>
                <w:color w:val="000000"/>
                <w:sz w:val="16"/>
                <w:szCs w:val="16"/>
              </w:rPr>
            </w:pPr>
            <w:r w:rsidRPr="00B92499">
              <w:rPr>
                <w:rFonts w:ascii="Arial" w:hAnsi="Arial" w:cs="Arial"/>
                <w:color w:val="000000"/>
                <w:sz w:val="16"/>
                <w:szCs w:val="16"/>
              </w:rPr>
              <w:t>Alcaldía Cuauhtémoc</w:t>
            </w:r>
          </w:p>
        </w:tc>
        <w:tc>
          <w:tcPr>
            <w:tcW w:w="2551" w:type="dxa"/>
            <w:tcBorders>
              <w:top w:val="nil"/>
              <w:left w:val="nil"/>
              <w:bottom w:val="single" w:sz="4" w:space="0" w:color="auto"/>
              <w:right w:val="single" w:sz="4" w:space="0" w:color="auto"/>
            </w:tcBorders>
            <w:shd w:val="clear" w:color="auto" w:fill="auto"/>
            <w:vAlign w:val="center"/>
            <w:hideMark/>
          </w:tcPr>
          <w:p w14:paraId="0B448566" w14:textId="77777777" w:rsidR="00507F70" w:rsidRPr="00B92499" w:rsidRDefault="00507F70" w:rsidP="00CF534F">
            <w:pPr>
              <w:jc w:val="center"/>
              <w:rPr>
                <w:rFonts w:ascii="Arial" w:hAnsi="Arial" w:cs="Arial"/>
                <w:color w:val="000000"/>
                <w:sz w:val="16"/>
                <w:szCs w:val="16"/>
              </w:rPr>
            </w:pPr>
            <w:r w:rsidRPr="00B92499">
              <w:rPr>
                <w:rFonts w:ascii="Arial" w:hAnsi="Arial" w:cs="Arial"/>
                <w:color w:val="000000"/>
                <w:sz w:val="16"/>
                <w:szCs w:val="16"/>
              </w:rPr>
              <w:t>97.20</w:t>
            </w:r>
          </w:p>
        </w:tc>
      </w:tr>
      <w:tr w:rsidR="00507F70" w:rsidRPr="00B92499" w14:paraId="0FDE3690" w14:textId="77777777" w:rsidTr="00CF534F">
        <w:trPr>
          <w:trHeight w:val="300"/>
        </w:trPr>
        <w:tc>
          <w:tcPr>
            <w:tcW w:w="1271" w:type="dxa"/>
            <w:tcBorders>
              <w:top w:val="nil"/>
              <w:left w:val="single" w:sz="4" w:space="0" w:color="auto"/>
              <w:bottom w:val="single" w:sz="4" w:space="0" w:color="auto"/>
              <w:right w:val="single" w:sz="4" w:space="0" w:color="auto"/>
            </w:tcBorders>
            <w:shd w:val="clear" w:color="000000" w:fill="FFFFFF"/>
            <w:vAlign w:val="center"/>
            <w:hideMark/>
          </w:tcPr>
          <w:p w14:paraId="467A6306" w14:textId="77777777" w:rsidR="00507F70" w:rsidRPr="00B92499" w:rsidRDefault="00507F70" w:rsidP="00CF534F">
            <w:pPr>
              <w:jc w:val="center"/>
              <w:rPr>
                <w:rFonts w:ascii="Arial" w:hAnsi="Arial" w:cs="Arial"/>
                <w:color w:val="000000"/>
                <w:sz w:val="16"/>
                <w:szCs w:val="16"/>
              </w:rPr>
            </w:pPr>
            <w:r w:rsidRPr="00B92499">
              <w:rPr>
                <w:rFonts w:ascii="Arial" w:hAnsi="Arial" w:cs="Arial"/>
                <w:color w:val="000000"/>
                <w:sz w:val="16"/>
                <w:szCs w:val="16"/>
              </w:rPr>
              <w:t>22</w:t>
            </w:r>
          </w:p>
        </w:tc>
        <w:tc>
          <w:tcPr>
            <w:tcW w:w="5812" w:type="dxa"/>
            <w:tcBorders>
              <w:top w:val="nil"/>
              <w:left w:val="nil"/>
              <w:bottom w:val="single" w:sz="4" w:space="0" w:color="auto"/>
              <w:right w:val="single" w:sz="4" w:space="0" w:color="auto"/>
            </w:tcBorders>
            <w:shd w:val="clear" w:color="000000" w:fill="FFFFFF"/>
            <w:noWrap/>
            <w:vAlign w:val="center"/>
            <w:hideMark/>
          </w:tcPr>
          <w:p w14:paraId="6035C900" w14:textId="77777777" w:rsidR="00507F70" w:rsidRPr="00B92499" w:rsidRDefault="00507F70" w:rsidP="00CF534F">
            <w:pPr>
              <w:rPr>
                <w:rFonts w:ascii="Arial" w:hAnsi="Arial" w:cs="Arial"/>
                <w:color w:val="000000"/>
                <w:sz w:val="16"/>
                <w:szCs w:val="16"/>
              </w:rPr>
            </w:pPr>
            <w:r w:rsidRPr="00B92499">
              <w:rPr>
                <w:rFonts w:ascii="Arial" w:hAnsi="Arial" w:cs="Arial"/>
                <w:color w:val="000000"/>
                <w:sz w:val="16"/>
                <w:szCs w:val="16"/>
              </w:rPr>
              <w:t>Alcaldía Iztapalapa</w:t>
            </w:r>
          </w:p>
        </w:tc>
        <w:tc>
          <w:tcPr>
            <w:tcW w:w="2551" w:type="dxa"/>
            <w:tcBorders>
              <w:top w:val="nil"/>
              <w:left w:val="nil"/>
              <w:bottom w:val="single" w:sz="4" w:space="0" w:color="auto"/>
              <w:right w:val="single" w:sz="4" w:space="0" w:color="auto"/>
            </w:tcBorders>
            <w:shd w:val="clear" w:color="auto" w:fill="auto"/>
            <w:vAlign w:val="center"/>
            <w:hideMark/>
          </w:tcPr>
          <w:p w14:paraId="0A6CED74" w14:textId="77777777" w:rsidR="00507F70" w:rsidRPr="00B92499" w:rsidRDefault="00507F70" w:rsidP="00CF534F">
            <w:pPr>
              <w:jc w:val="center"/>
              <w:rPr>
                <w:rFonts w:ascii="Arial" w:hAnsi="Arial" w:cs="Arial"/>
                <w:color w:val="000000"/>
                <w:sz w:val="16"/>
                <w:szCs w:val="16"/>
              </w:rPr>
            </w:pPr>
            <w:r w:rsidRPr="00B92499">
              <w:rPr>
                <w:rFonts w:ascii="Arial" w:hAnsi="Arial" w:cs="Arial"/>
                <w:color w:val="000000"/>
                <w:sz w:val="16"/>
                <w:szCs w:val="16"/>
              </w:rPr>
              <w:t>91.71</w:t>
            </w:r>
          </w:p>
        </w:tc>
      </w:tr>
      <w:tr w:rsidR="00507F70" w:rsidRPr="00B92499" w14:paraId="2AD31CCE" w14:textId="77777777" w:rsidTr="00CF534F">
        <w:trPr>
          <w:trHeight w:val="300"/>
        </w:trPr>
        <w:tc>
          <w:tcPr>
            <w:tcW w:w="1271" w:type="dxa"/>
            <w:tcBorders>
              <w:top w:val="nil"/>
              <w:left w:val="single" w:sz="4" w:space="0" w:color="auto"/>
              <w:bottom w:val="single" w:sz="4" w:space="0" w:color="auto"/>
              <w:right w:val="single" w:sz="4" w:space="0" w:color="auto"/>
            </w:tcBorders>
            <w:shd w:val="clear" w:color="000000" w:fill="FFFFFF"/>
            <w:vAlign w:val="center"/>
            <w:hideMark/>
          </w:tcPr>
          <w:p w14:paraId="5ADFE75C" w14:textId="77777777" w:rsidR="00507F70" w:rsidRPr="00B92499" w:rsidRDefault="00507F70" w:rsidP="00CF534F">
            <w:pPr>
              <w:jc w:val="center"/>
              <w:rPr>
                <w:rFonts w:ascii="Arial" w:hAnsi="Arial" w:cs="Arial"/>
                <w:color w:val="000000"/>
                <w:sz w:val="16"/>
                <w:szCs w:val="16"/>
              </w:rPr>
            </w:pPr>
            <w:r w:rsidRPr="00B92499">
              <w:rPr>
                <w:rFonts w:ascii="Arial" w:hAnsi="Arial" w:cs="Arial"/>
                <w:color w:val="000000"/>
                <w:sz w:val="16"/>
                <w:szCs w:val="16"/>
              </w:rPr>
              <w:t>23</w:t>
            </w:r>
          </w:p>
        </w:tc>
        <w:tc>
          <w:tcPr>
            <w:tcW w:w="5812" w:type="dxa"/>
            <w:tcBorders>
              <w:top w:val="nil"/>
              <w:left w:val="nil"/>
              <w:bottom w:val="single" w:sz="4" w:space="0" w:color="auto"/>
              <w:right w:val="single" w:sz="4" w:space="0" w:color="auto"/>
            </w:tcBorders>
            <w:shd w:val="clear" w:color="000000" w:fill="FFFFFF"/>
            <w:noWrap/>
            <w:vAlign w:val="center"/>
            <w:hideMark/>
          </w:tcPr>
          <w:p w14:paraId="5ABBA556" w14:textId="77777777" w:rsidR="00507F70" w:rsidRPr="00B92499" w:rsidRDefault="00507F70" w:rsidP="00CF534F">
            <w:pPr>
              <w:rPr>
                <w:rFonts w:ascii="Arial" w:hAnsi="Arial" w:cs="Arial"/>
                <w:color w:val="000000"/>
                <w:sz w:val="16"/>
                <w:szCs w:val="16"/>
              </w:rPr>
            </w:pPr>
            <w:r w:rsidRPr="00B92499">
              <w:rPr>
                <w:rFonts w:ascii="Arial" w:hAnsi="Arial" w:cs="Arial"/>
                <w:color w:val="000000"/>
                <w:sz w:val="16"/>
                <w:szCs w:val="16"/>
              </w:rPr>
              <w:t>Alcaldía Gustavo A Madero</w:t>
            </w:r>
          </w:p>
        </w:tc>
        <w:tc>
          <w:tcPr>
            <w:tcW w:w="2551" w:type="dxa"/>
            <w:tcBorders>
              <w:top w:val="nil"/>
              <w:left w:val="nil"/>
              <w:bottom w:val="single" w:sz="4" w:space="0" w:color="auto"/>
              <w:right w:val="single" w:sz="4" w:space="0" w:color="auto"/>
            </w:tcBorders>
            <w:shd w:val="clear" w:color="auto" w:fill="auto"/>
            <w:vAlign w:val="center"/>
            <w:hideMark/>
          </w:tcPr>
          <w:p w14:paraId="6BC2CA2D" w14:textId="77777777" w:rsidR="00507F70" w:rsidRPr="00B92499" w:rsidRDefault="00507F70" w:rsidP="00CF534F">
            <w:pPr>
              <w:jc w:val="center"/>
              <w:rPr>
                <w:rFonts w:ascii="Arial" w:hAnsi="Arial" w:cs="Arial"/>
                <w:color w:val="000000"/>
                <w:sz w:val="16"/>
                <w:szCs w:val="16"/>
              </w:rPr>
            </w:pPr>
            <w:r w:rsidRPr="00B92499">
              <w:rPr>
                <w:rFonts w:ascii="Arial" w:hAnsi="Arial" w:cs="Arial"/>
                <w:color w:val="000000"/>
                <w:sz w:val="16"/>
                <w:szCs w:val="16"/>
              </w:rPr>
              <w:t>91.29</w:t>
            </w:r>
          </w:p>
        </w:tc>
      </w:tr>
      <w:tr w:rsidR="00507F70" w:rsidRPr="00B92499" w14:paraId="50CCEA6D" w14:textId="77777777" w:rsidTr="00CF534F">
        <w:trPr>
          <w:trHeight w:val="300"/>
        </w:trPr>
        <w:tc>
          <w:tcPr>
            <w:tcW w:w="1271" w:type="dxa"/>
            <w:tcBorders>
              <w:top w:val="nil"/>
              <w:left w:val="single" w:sz="4" w:space="0" w:color="auto"/>
              <w:bottom w:val="single" w:sz="4" w:space="0" w:color="auto"/>
              <w:right w:val="single" w:sz="4" w:space="0" w:color="auto"/>
            </w:tcBorders>
            <w:shd w:val="clear" w:color="000000" w:fill="FFFFFF"/>
            <w:vAlign w:val="center"/>
            <w:hideMark/>
          </w:tcPr>
          <w:p w14:paraId="0004D971" w14:textId="77777777" w:rsidR="00507F70" w:rsidRPr="00B92499" w:rsidRDefault="00507F70" w:rsidP="00CF534F">
            <w:pPr>
              <w:jc w:val="center"/>
              <w:rPr>
                <w:rFonts w:ascii="Arial" w:hAnsi="Arial" w:cs="Arial"/>
                <w:color w:val="000000"/>
                <w:sz w:val="16"/>
                <w:szCs w:val="16"/>
              </w:rPr>
            </w:pPr>
            <w:r w:rsidRPr="00B92499">
              <w:rPr>
                <w:rFonts w:ascii="Arial" w:hAnsi="Arial" w:cs="Arial"/>
                <w:color w:val="000000"/>
                <w:sz w:val="16"/>
                <w:szCs w:val="16"/>
              </w:rPr>
              <w:t>24</w:t>
            </w:r>
          </w:p>
        </w:tc>
        <w:tc>
          <w:tcPr>
            <w:tcW w:w="5812" w:type="dxa"/>
            <w:tcBorders>
              <w:top w:val="nil"/>
              <w:left w:val="nil"/>
              <w:bottom w:val="single" w:sz="4" w:space="0" w:color="auto"/>
              <w:right w:val="single" w:sz="4" w:space="0" w:color="auto"/>
            </w:tcBorders>
            <w:shd w:val="clear" w:color="000000" w:fill="FFFFFF"/>
            <w:noWrap/>
            <w:vAlign w:val="center"/>
            <w:hideMark/>
          </w:tcPr>
          <w:p w14:paraId="551665EB" w14:textId="77777777" w:rsidR="00507F70" w:rsidRPr="00B92499" w:rsidRDefault="00507F70" w:rsidP="00CF534F">
            <w:pPr>
              <w:rPr>
                <w:rFonts w:ascii="Arial" w:hAnsi="Arial" w:cs="Arial"/>
                <w:color w:val="000000"/>
                <w:sz w:val="16"/>
                <w:szCs w:val="16"/>
              </w:rPr>
            </w:pPr>
            <w:r w:rsidRPr="00B92499">
              <w:rPr>
                <w:rFonts w:ascii="Arial" w:hAnsi="Arial" w:cs="Arial"/>
                <w:color w:val="000000"/>
                <w:sz w:val="16"/>
                <w:szCs w:val="16"/>
              </w:rPr>
              <w:t>Alcaldía Azcapotzalco</w:t>
            </w:r>
          </w:p>
        </w:tc>
        <w:tc>
          <w:tcPr>
            <w:tcW w:w="2551" w:type="dxa"/>
            <w:tcBorders>
              <w:top w:val="nil"/>
              <w:left w:val="nil"/>
              <w:bottom w:val="single" w:sz="4" w:space="0" w:color="auto"/>
              <w:right w:val="single" w:sz="4" w:space="0" w:color="auto"/>
            </w:tcBorders>
            <w:shd w:val="clear" w:color="auto" w:fill="auto"/>
            <w:vAlign w:val="center"/>
            <w:hideMark/>
          </w:tcPr>
          <w:p w14:paraId="5750C61B" w14:textId="77777777" w:rsidR="00507F70" w:rsidRPr="00B92499" w:rsidRDefault="00507F70" w:rsidP="00CF534F">
            <w:pPr>
              <w:jc w:val="center"/>
              <w:rPr>
                <w:rFonts w:ascii="Arial" w:hAnsi="Arial" w:cs="Arial"/>
                <w:color w:val="000000"/>
                <w:sz w:val="16"/>
                <w:szCs w:val="16"/>
              </w:rPr>
            </w:pPr>
            <w:r w:rsidRPr="00B92499">
              <w:rPr>
                <w:rFonts w:ascii="Arial" w:hAnsi="Arial" w:cs="Arial"/>
                <w:color w:val="000000"/>
                <w:sz w:val="16"/>
                <w:szCs w:val="16"/>
              </w:rPr>
              <w:t>90.62</w:t>
            </w:r>
          </w:p>
        </w:tc>
      </w:tr>
      <w:tr w:rsidR="00507F70" w:rsidRPr="00B92499" w14:paraId="3774A366" w14:textId="77777777" w:rsidTr="00CF534F">
        <w:trPr>
          <w:trHeight w:val="300"/>
        </w:trPr>
        <w:tc>
          <w:tcPr>
            <w:tcW w:w="1271" w:type="dxa"/>
            <w:tcBorders>
              <w:top w:val="nil"/>
              <w:left w:val="single" w:sz="4" w:space="0" w:color="auto"/>
              <w:bottom w:val="single" w:sz="4" w:space="0" w:color="auto"/>
              <w:right w:val="single" w:sz="4" w:space="0" w:color="auto"/>
            </w:tcBorders>
            <w:shd w:val="clear" w:color="000000" w:fill="FFFFFF"/>
            <w:vAlign w:val="center"/>
            <w:hideMark/>
          </w:tcPr>
          <w:p w14:paraId="604A31A9" w14:textId="77777777" w:rsidR="00507F70" w:rsidRPr="00B92499" w:rsidRDefault="00507F70" w:rsidP="00CF534F">
            <w:pPr>
              <w:jc w:val="center"/>
              <w:rPr>
                <w:rFonts w:ascii="Arial" w:hAnsi="Arial" w:cs="Arial"/>
                <w:color w:val="000000"/>
                <w:sz w:val="16"/>
                <w:szCs w:val="16"/>
              </w:rPr>
            </w:pPr>
            <w:r w:rsidRPr="00B92499">
              <w:rPr>
                <w:rFonts w:ascii="Arial" w:hAnsi="Arial" w:cs="Arial"/>
                <w:color w:val="000000"/>
                <w:sz w:val="16"/>
                <w:szCs w:val="16"/>
              </w:rPr>
              <w:t>25</w:t>
            </w:r>
          </w:p>
        </w:tc>
        <w:tc>
          <w:tcPr>
            <w:tcW w:w="5812" w:type="dxa"/>
            <w:tcBorders>
              <w:top w:val="nil"/>
              <w:left w:val="nil"/>
              <w:bottom w:val="single" w:sz="4" w:space="0" w:color="auto"/>
              <w:right w:val="single" w:sz="4" w:space="0" w:color="auto"/>
            </w:tcBorders>
            <w:shd w:val="clear" w:color="000000" w:fill="FFFFFF"/>
            <w:noWrap/>
            <w:vAlign w:val="center"/>
            <w:hideMark/>
          </w:tcPr>
          <w:p w14:paraId="196006F9" w14:textId="77777777" w:rsidR="00507F70" w:rsidRPr="00B92499" w:rsidRDefault="00507F70" w:rsidP="00CF534F">
            <w:pPr>
              <w:rPr>
                <w:rFonts w:ascii="Arial" w:hAnsi="Arial" w:cs="Arial"/>
                <w:color w:val="000000"/>
                <w:sz w:val="16"/>
                <w:szCs w:val="16"/>
              </w:rPr>
            </w:pPr>
            <w:r w:rsidRPr="00B92499">
              <w:rPr>
                <w:rFonts w:ascii="Arial" w:hAnsi="Arial" w:cs="Arial"/>
                <w:color w:val="000000"/>
                <w:sz w:val="16"/>
                <w:szCs w:val="16"/>
              </w:rPr>
              <w:t>Alcaldía Milpa Alta</w:t>
            </w:r>
          </w:p>
        </w:tc>
        <w:tc>
          <w:tcPr>
            <w:tcW w:w="2551" w:type="dxa"/>
            <w:tcBorders>
              <w:top w:val="nil"/>
              <w:left w:val="nil"/>
              <w:bottom w:val="single" w:sz="4" w:space="0" w:color="auto"/>
              <w:right w:val="single" w:sz="4" w:space="0" w:color="auto"/>
            </w:tcBorders>
            <w:shd w:val="clear" w:color="auto" w:fill="auto"/>
            <w:vAlign w:val="center"/>
            <w:hideMark/>
          </w:tcPr>
          <w:p w14:paraId="13F84B7D" w14:textId="77777777" w:rsidR="00507F70" w:rsidRPr="00B92499" w:rsidRDefault="00507F70" w:rsidP="00CF534F">
            <w:pPr>
              <w:jc w:val="center"/>
              <w:rPr>
                <w:rFonts w:ascii="Arial" w:hAnsi="Arial" w:cs="Arial"/>
                <w:color w:val="000000"/>
                <w:sz w:val="16"/>
                <w:szCs w:val="16"/>
              </w:rPr>
            </w:pPr>
            <w:r w:rsidRPr="00B92499">
              <w:rPr>
                <w:rFonts w:ascii="Arial" w:hAnsi="Arial" w:cs="Arial"/>
                <w:color w:val="000000"/>
                <w:sz w:val="16"/>
                <w:szCs w:val="16"/>
              </w:rPr>
              <w:t>89.05</w:t>
            </w:r>
          </w:p>
        </w:tc>
      </w:tr>
      <w:tr w:rsidR="00507F70" w:rsidRPr="00B92499" w14:paraId="2E76D25D" w14:textId="77777777" w:rsidTr="00CF534F">
        <w:trPr>
          <w:trHeight w:val="300"/>
        </w:trPr>
        <w:tc>
          <w:tcPr>
            <w:tcW w:w="1271" w:type="dxa"/>
            <w:tcBorders>
              <w:top w:val="nil"/>
              <w:left w:val="single" w:sz="4" w:space="0" w:color="auto"/>
              <w:bottom w:val="single" w:sz="4" w:space="0" w:color="auto"/>
              <w:right w:val="single" w:sz="4" w:space="0" w:color="auto"/>
            </w:tcBorders>
            <w:shd w:val="clear" w:color="000000" w:fill="FFFFFF"/>
            <w:vAlign w:val="center"/>
            <w:hideMark/>
          </w:tcPr>
          <w:p w14:paraId="10AD413F" w14:textId="77777777" w:rsidR="00507F70" w:rsidRPr="00B92499" w:rsidRDefault="00507F70" w:rsidP="00CF534F">
            <w:pPr>
              <w:jc w:val="center"/>
              <w:rPr>
                <w:rFonts w:ascii="Arial" w:hAnsi="Arial" w:cs="Arial"/>
                <w:color w:val="000000"/>
                <w:sz w:val="16"/>
                <w:szCs w:val="16"/>
              </w:rPr>
            </w:pPr>
            <w:r w:rsidRPr="00B92499">
              <w:rPr>
                <w:rFonts w:ascii="Arial" w:hAnsi="Arial" w:cs="Arial"/>
                <w:color w:val="000000"/>
                <w:sz w:val="16"/>
                <w:szCs w:val="16"/>
              </w:rPr>
              <w:t>26</w:t>
            </w:r>
          </w:p>
        </w:tc>
        <w:tc>
          <w:tcPr>
            <w:tcW w:w="5812" w:type="dxa"/>
            <w:tcBorders>
              <w:top w:val="nil"/>
              <w:left w:val="nil"/>
              <w:bottom w:val="single" w:sz="4" w:space="0" w:color="auto"/>
              <w:right w:val="single" w:sz="4" w:space="0" w:color="auto"/>
            </w:tcBorders>
            <w:shd w:val="clear" w:color="000000" w:fill="FFFFFF"/>
            <w:noWrap/>
            <w:vAlign w:val="center"/>
            <w:hideMark/>
          </w:tcPr>
          <w:p w14:paraId="61ACC269" w14:textId="77777777" w:rsidR="00507F70" w:rsidRPr="00B92499" w:rsidRDefault="00507F70" w:rsidP="00CF534F">
            <w:pPr>
              <w:rPr>
                <w:rFonts w:ascii="Arial" w:hAnsi="Arial" w:cs="Arial"/>
                <w:color w:val="000000"/>
                <w:sz w:val="16"/>
                <w:szCs w:val="16"/>
              </w:rPr>
            </w:pPr>
            <w:r w:rsidRPr="00B92499">
              <w:rPr>
                <w:rFonts w:ascii="Arial" w:hAnsi="Arial" w:cs="Arial"/>
                <w:color w:val="000000"/>
                <w:sz w:val="16"/>
                <w:szCs w:val="16"/>
              </w:rPr>
              <w:t>Alcaldía Cuajimalpa de Morelos</w:t>
            </w:r>
          </w:p>
        </w:tc>
        <w:tc>
          <w:tcPr>
            <w:tcW w:w="2551" w:type="dxa"/>
            <w:tcBorders>
              <w:top w:val="nil"/>
              <w:left w:val="nil"/>
              <w:bottom w:val="single" w:sz="4" w:space="0" w:color="auto"/>
              <w:right w:val="single" w:sz="4" w:space="0" w:color="auto"/>
            </w:tcBorders>
            <w:shd w:val="clear" w:color="auto" w:fill="auto"/>
            <w:vAlign w:val="center"/>
            <w:hideMark/>
          </w:tcPr>
          <w:p w14:paraId="3BAB1CA6" w14:textId="77777777" w:rsidR="00507F70" w:rsidRPr="00B92499" w:rsidRDefault="00507F70" w:rsidP="00CF534F">
            <w:pPr>
              <w:jc w:val="center"/>
              <w:rPr>
                <w:rFonts w:ascii="Arial" w:hAnsi="Arial" w:cs="Arial"/>
                <w:color w:val="000000"/>
                <w:sz w:val="16"/>
                <w:szCs w:val="16"/>
              </w:rPr>
            </w:pPr>
            <w:r w:rsidRPr="00B92499">
              <w:rPr>
                <w:rFonts w:ascii="Arial" w:hAnsi="Arial" w:cs="Arial"/>
                <w:color w:val="000000"/>
                <w:sz w:val="16"/>
                <w:szCs w:val="16"/>
              </w:rPr>
              <w:t>86.54</w:t>
            </w:r>
          </w:p>
        </w:tc>
      </w:tr>
      <w:tr w:rsidR="00507F70" w:rsidRPr="00B92499" w14:paraId="5F40FC7D" w14:textId="77777777" w:rsidTr="00CF534F">
        <w:trPr>
          <w:trHeight w:val="300"/>
        </w:trPr>
        <w:tc>
          <w:tcPr>
            <w:tcW w:w="1271" w:type="dxa"/>
            <w:tcBorders>
              <w:top w:val="nil"/>
              <w:left w:val="single" w:sz="4" w:space="0" w:color="auto"/>
              <w:bottom w:val="single" w:sz="4" w:space="0" w:color="auto"/>
              <w:right w:val="single" w:sz="4" w:space="0" w:color="auto"/>
            </w:tcBorders>
            <w:shd w:val="clear" w:color="000000" w:fill="FFFFFF"/>
            <w:vAlign w:val="center"/>
            <w:hideMark/>
          </w:tcPr>
          <w:p w14:paraId="1F710D42" w14:textId="77777777" w:rsidR="00507F70" w:rsidRPr="00B92499" w:rsidRDefault="00507F70" w:rsidP="00CF534F">
            <w:pPr>
              <w:jc w:val="center"/>
              <w:rPr>
                <w:rFonts w:ascii="Arial" w:hAnsi="Arial" w:cs="Arial"/>
                <w:color w:val="000000"/>
                <w:sz w:val="16"/>
                <w:szCs w:val="16"/>
              </w:rPr>
            </w:pPr>
            <w:r w:rsidRPr="00B92499">
              <w:rPr>
                <w:rFonts w:ascii="Arial" w:hAnsi="Arial" w:cs="Arial"/>
                <w:color w:val="000000"/>
                <w:sz w:val="16"/>
                <w:szCs w:val="16"/>
              </w:rPr>
              <w:t>27</w:t>
            </w:r>
          </w:p>
        </w:tc>
        <w:tc>
          <w:tcPr>
            <w:tcW w:w="5812" w:type="dxa"/>
            <w:tcBorders>
              <w:top w:val="nil"/>
              <w:left w:val="nil"/>
              <w:bottom w:val="single" w:sz="4" w:space="0" w:color="auto"/>
              <w:right w:val="single" w:sz="4" w:space="0" w:color="auto"/>
            </w:tcBorders>
            <w:shd w:val="clear" w:color="000000" w:fill="FFFFFF"/>
            <w:noWrap/>
            <w:vAlign w:val="center"/>
            <w:hideMark/>
          </w:tcPr>
          <w:p w14:paraId="4F165DCA" w14:textId="77777777" w:rsidR="00507F70" w:rsidRPr="00B92499" w:rsidRDefault="00507F70" w:rsidP="00CF534F">
            <w:pPr>
              <w:rPr>
                <w:rFonts w:ascii="Arial" w:hAnsi="Arial" w:cs="Arial"/>
                <w:color w:val="000000"/>
                <w:sz w:val="16"/>
                <w:szCs w:val="16"/>
              </w:rPr>
            </w:pPr>
            <w:r w:rsidRPr="00B92499">
              <w:rPr>
                <w:rFonts w:ascii="Arial" w:hAnsi="Arial" w:cs="Arial"/>
                <w:color w:val="000000"/>
                <w:sz w:val="16"/>
                <w:szCs w:val="16"/>
              </w:rPr>
              <w:t>Alcaldía Tlalpan</w:t>
            </w:r>
          </w:p>
        </w:tc>
        <w:tc>
          <w:tcPr>
            <w:tcW w:w="2551" w:type="dxa"/>
            <w:tcBorders>
              <w:top w:val="nil"/>
              <w:left w:val="nil"/>
              <w:bottom w:val="single" w:sz="4" w:space="0" w:color="auto"/>
              <w:right w:val="single" w:sz="4" w:space="0" w:color="auto"/>
            </w:tcBorders>
            <w:shd w:val="clear" w:color="auto" w:fill="auto"/>
            <w:vAlign w:val="center"/>
            <w:hideMark/>
          </w:tcPr>
          <w:p w14:paraId="2818ECCB" w14:textId="77777777" w:rsidR="00507F70" w:rsidRPr="00B92499" w:rsidRDefault="00507F70" w:rsidP="00CF534F">
            <w:pPr>
              <w:jc w:val="center"/>
              <w:rPr>
                <w:rFonts w:ascii="Arial" w:hAnsi="Arial" w:cs="Arial"/>
                <w:color w:val="000000"/>
                <w:sz w:val="16"/>
                <w:szCs w:val="16"/>
              </w:rPr>
            </w:pPr>
            <w:r w:rsidRPr="00B92499">
              <w:rPr>
                <w:rFonts w:ascii="Arial" w:hAnsi="Arial" w:cs="Arial"/>
                <w:color w:val="000000"/>
                <w:sz w:val="16"/>
                <w:szCs w:val="16"/>
              </w:rPr>
              <w:t>85.06</w:t>
            </w:r>
          </w:p>
        </w:tc>
      </w:tr>
      <w:tr w:rsidR="00507F70" w:rsidRPr="00B92499" w14:paraId="5710BF11" w14:textId="77777777" w:rsidTr="00CF534F">
        <w:trPr>
          <w:trHeight w:val="300"/>
        </w:trPr>
        <w:tc>
          <w:tcPr>
            <w:tcW w:w="1271" w:type="dxa"/>
            <w:tcBorders>
              <w:top w:val="nil"/>
              <w:left w:val="single" w:sz="4" w:space="0" w:color="auto"/>
              <w:bottom w:val="single" w:sz="4" w:space="0" w:color="auto"/>
              <w:right w:val="single" w:sz="4" w:space="0" w:color="auto"/>
            </w:tcBorders>
            <w:shd w:val="clear" w:color="000000" w:fill="FFFFFF"/>
            <w:vAlign w:val="center"/>
            <w:hideMark/>
          </w:tcPr>
          <w:p w14:paraId="5B2331F5" w14:textId="77777777" w:rsidR="00507F70" w:rsidRPr="00B92499" w:rsidRDefault="00507F70" w:rsidP="00CF534F">
            <w:pPr>
              <w:jc w:val="center"/>
              <w:rPr>
                <w:rFonts w:ascii="Arial" w:hAnsi="Arial" w:cs="Arial"/>
                <w:color w:val="000000"/>
                <w:sz w:val="16"/>
                <w:szCs w:val="16"/>
              </w:rPr>
            </w:pPr>
            <w:r w:rsidRPr="00B92499">
              <w:rPr>
                <w:rFonts w:ascii="Arial" w:hAnsi="Arial" w:cs="Arial"/>
                <w:color w:val="000000"/>
                <w:sz w:val="16"/>
                <w:szCs w:val="16"/>
              </w:rPr>
              <w:t>28</w:t>
            </w:r>
          </w:p>
        </w:tc>
        <w:tc>
          <w:tcPr>
            <w:tcW w:w="5812" w:type="dxa"/>
            <w:tcBorders>
              <w:top w:val="nil"/>
              <w:left w:val="nil"/>
              <w:bottom w:val="single" w:sz="4" w:space="0" w:color="auto"/>
              <w:right w:val="single" w:sz="4" w:space="0" w:color="auto"/>
            </w:tcBorders>
            <w:shd w:val="clear" w:color="000000" w:fill="FFFFFF"/>
            <w:noWrap/>
            <w:vAlign w:val="center"/>
            <w:hideMark/>
          </w:tcPr>
          <w:p w14:paraId="70406914" w14:textId="77777777" w:rsidR="00507F70" w:rsidRPr="00B92499" w:rsidRDefault="00507F70" w:rsidP="00CF534F">
            <w:pPr>
              <w:rPr>
                <w:rFonts w:ascii="Arial" w:hAnsi="Arial" w:cs="Arial"/>
                <w:color w:val="000000"/>
                <w:sz w:val="16"/>
                <w:szCs w:val="16"/>
              </w:rPr>
            </w:pPr>
            <w:r w:rsidRPr="00B92499">
              <w:rPr>
                <w:rFonts w:ascii="Arial" w:hAnsi="Arial" w:cs="Arial"/>
                <w:color w:val="000000"/>
                <w:sz w:val="16"/>
                <w:szCs w:val="16"/>
              </w:rPr>
              <w:t>Alcaldía Iztacalco</w:t>
            </w:r>
          </w:p>
        </w:tc>
        <w:tc>
          <w:tcPr>
            <w:tcW w:w="2551" w:type="dxa"/>
            <w:tcBorders>
              <w:top w:val="nil"/>
              <w:left w:val="nil"/>
              <w:bottom w:val="single" w:sz="4" w:space="0" w:color="auto"/>
              <w:right w:val="single" w:sz="4" w:space="0" w:color="auto"/>
            </w:tcBorders>
            <w:shd w:val="clear" w:color="auto" w:fill="auto"/>
            <w:vAlign w:val="center"/>
            <w:hideMark/>
          </w:tcPr>
          <w:p w14:paraId="720C25BD" w14:textId="77777777" w:rsidR="00507F70" w:rsidRPr="00B92499" w:rsidRDefault="00507F70" w:rsidP="00CF534F">
            <w:pPr>
              <w:jc w:val="center"/>
              <w:rPr>
                <w:rFonts w:ascii="Arial" w:hAnsi="Arial" w:cs="Arial"/>
                <w:color w:val="000000"/>
                <w:sz w:val="16"/>
                <w:szCs w:val="16"/>
              </w:rPr>
            </w:pPr>
            <w:r w:rsidRPr="00B92499">
              <w:rPr>
                <w:rFonts w:ascii="Arial" w:hAnsi="Arial" w:cs="Arial"/>
                <w:color w:val="000000"/>
                <w:sz w:val="16"/>
                <w:szCs w:val="16"/>
              </w:rPr>
              <w:t>84.06</w:t>
            </w:r>
          </w:p>
        </w:tc>
      </w:tr>
      <w:tr w:rsidR="00507F70" w:rsidRPr="00B92499" w14:paraId="710899C8" w14:textId="77777777" w:rsidTr="00CF534F">
        <w:trPr>
          <w:trHeight w:val="300"/>
        </w:trPr>
        <w:tc>
          <w:tcPr>
            <w:tcW w:w="1271" w:type="dxa"/>
            <w:tcBorders>
              <w:top w:val="nil"/>
              <w:left w:val="single" w:sz="4" w:space="0" w:color="auto"/>
              <w:bottom w:val="single" w:sz="4" w:space="0" w:color="auto"/>
              <w:right w:val="single" w:sz="4" w:space="0" w:color="auto"/>
            </w:tcBorders>
            <w:shd w:val="clear" w:color="000000" w:fill="FFFFFF"/>
            <w:vAlign w:val="center"/>
            <w:hideMark/>
          </w:tcPr>
          <w:p w14:paraId="387ECF4F" w14:textId="77777777" w:rsidR="00507F70" w:rsidRPr="00B92499" w:rsidRDefault="00507F70" w:rsidP="00CF534F">
            <w:pPr>
              <w:jc w:val="center"/>
              <w:rPr>
                <w:rFonts w:ascii="Arial" w:hAnsi="Arial" w:cs="Arial"/>
                <w:color w:val="000000"/>
                <w:sz w:val="16"/>
                <w:szCs w:val="16"/>
              </w:rPr>
            </w:pPr>
            <w:r w:rsidRPr="00B92499">
              <w:rPr>
                <w:rFonts w:ascii="Arial" w:hAnsi="Arial" w:cs="Arial"/>
                <w:color w:val="000000"/>
                <w:sz w:val="16"/>
                <w:szCs w:val="16"/>
              </w:rPr>
              <w:t>29</w:t>
            </w:r>
          </w:p>
        </w:tc>
        <w:tc>
          <w:tcPr>
            <w:tcW w:w="5812" w:type="dxa"/>
            <w:tcBorders>
              <w:top w:val="nil"/>
              <w:left w:val="nil"/>
              <w:bottom w:val="single" w:sz="4" w:space="0" w:color="auto"/>
              <w:right w:val="single" w:sz="4" w:space="0" w:color="auto"/>
            </w:tcBorders>
            <w:shd w:val="clear" w:color="000000" w:fill="FFFFFF"/>
            <w:noWrap/>
            <w:vAlign w:val="center"/>
            <w:hideMark/>
          </w:tcPr>
          <w:p w14:paraId="73E3E542" w14:textId="77777777" w:rsidR="00507F70" w:rsidRPr="00B92499" w:rsidRDefault="00507F70" w:rsidP="00CF534F">
            <w:pPr>
              <w:rPr>
                <w:rFonts w:ascii="Arial" w:hAnsi="Arial" w:cs="Arial"/>
                <w:color w:val="000000"/>
                <w:sz w:val="16"/>
                <w:szCs w:val="16"/>
              </w:rPr>
            </w:pPr>
            <w:r w:rsidRPr="00B92499">
              <w:rPr>
                <w:rFonts w:ascii="Arial" w:hAnsi="Arial" w:cs="Arial"/>
                <w:color w:val="000000"/>
                <w:sz w:val="16"/>
                <w:szCs w:val="16"/>
              </w:rPr>
              <w:t>Alcaldía Álvaro Obregón</w:t>
            </w:r>
          </w:p>
        </w:tc>
        <w:tc>
          <w:tcPr>
            <w:tcW w:w="2551" w:type="dxa"/>
            <w:tcBorders>
              <w:top w:val="nil"/>
              <w:left w:val="nil"/>
              <w:bottom w:val="single" w:sz="4" w:space="0" w:color="auto"/>
              <w:right w:val="single" w:sz="4" w:space="0" w:color="auto"/>
            </w:tcBorders>
            <w:shd w:val="clear" w:color="auto" w:fill="auto"/>
            <w:vAlign w:val="center"/>
            <w:hideMark/>
          </w:tcPr>
          <w:p w14:paraId="08DF13D5" w14:textId="77777777" w:rsidR="00507F70" w:rsidRPr="00B92499" w:rsidRDefault="00507F70" w:rsidP="00CF534F">
            <w:pPr>
              <w:jc w:val="center"/>
              <w:rPr>
                <w:rFonts w:ascii="Arial" w:hAnsi="Arial" w:cs="Arial"/>
                <w:color w:val="000000"/>
                <w:sz w:val="16"/>
                <w:szCs w:val="16"/>
              </w:rPr>
            </w:pPr>
            <w:r w:rsidRPr="00B92499">
              <w:rPr>
                <w:rFonts w:ascii="Arial" w:hAnsi="Arial" w:cs="Arial"/>
                <w:color w:val="000000"/>
                <w:sz w:val="16"/>
                <w:szCs w:val="16"/>
              </w:rPr>
              <w:t>83.96</w:t>
            </w:r>
          </w:p>
        </w:tc>
      </w:tr>
      <w:tr w:rsidR="00507F70" w:rsidRPr="00B92499" w14:paraId="6A275B83" w14:textId="77777777" w:rsidTr="00CF534F">
        <w:trPr>
          <w:trHeight w:val="300"/>
        </w:trPr>
        <w:tc>
          <w:tcPr>
            <w:tcW w:w="1271" w:type="dxa"/>
            <w:tcBorders>
              <w:top w:val="nil"/>
              <w:left w:val="single" w:sz="4" w:space="0" w:color="auto"/>
              <w:bottom w:val="single" w:sz="4" w:space="0" w:color="auto"/>
              <w:right w:val="single" w:sz="4" w:space="0" w:color="auto"/>
            </w:tcBorders>
            <w:shd w:val="clear" w:color="000000" w:fill="FFFFFF"/>
            <w:vAlign w:val="center"/>
            <w:hideMark/>
          </w:tcPr>
          <w:p w14:paraId="720091D4" w14:textId="77777777" w:rsidR="00507F70" w:rsidRPr="00B92499" w:rsidRDefault="00507F70" w:rsidP="00CF534F">
            <w:pPr>
              <w:jc w:val="center"/>
              <w:rPr>
                <w:rFonts w:ascii="Arial" w:hAnsi="Arial" w:cs="Arial"/>
                <w:color w:val="000000"/>
                <w:sz w:val="16"/>
                <w:szCs w:val="16"/>
              </w:rPr>
            </w:pPr>
            <w:r w:rsidRPr="00B92499">
              <w:rPr>
                <w:rFonts w:ascii="Arial" w:hAnsi="Arial" w:cs="Arial"/>
                <w:color w:val="000000"/>
                <w:sz w:val="16"/>
                <w:szCs w:val="16"/>
              </w:rPr>
              <w:t>30</w:t>
            </w:r>
          </w:p>
        </w:tc>
        <w:tc>
          <w:tcPr>
            <w:tcW w:w="5812" w:type="dxa"/>
            <w:tcBorders>
              <w:top w:val="nil"/>
              <w:left w:val="nil"/>
              <w:bottom w:val="single" w:sz="4" w:space="0" w:color="auto"/>
              <w:right w:val="single" w:sz="4" w:space="0" w:color="auto"/>
            </w:tcBorders>
            <w:shd w:val="clear" w:color="000000" w:fill="FFFFFF"/>
            <w:noWrap/>
            <w:vAlign w:val="center"/>
            <w:hideMark/>
          </w:tcPr>
          <w:p w14:paraId="1AE75BBE" w14:textId="77777777" w:rsidR="00507F70" w:rsidRPr="00B92499" w:rsidRDefault="00507F70" w:rsidP="00CF534F">
            <w:pPr>
              <w:rPr>
                <w:rFonts w:ascii="Arial" w:hAnsi="Arial" w:cs="Arial"/>
                <w:color w:val="000000"/>
                <w:sz w:val="16"/>
                <w:szCs w:val="16"/>
              </w:rPr>
            </w:pPr>
            <w:r w:rsidRPr="00B92499">
              <w:rPr>
                <w:rFonts w:ascii="Arial" w:hAnsi="Arial" w:cs="Arial"/>
                <w:color w:val="000000"/>
                <w:sz w:val="16"/>
                <w:szCs w:val="16"/>
              </w:rPr>
              <w:t>Alcaldía Benito Juárez</w:t>
            </w:r>
          </w:p>
        </w:tc>
        <w:tc>
          <w:tcPr>
            <w:tcW w:w="2551" w:type="dxa"/>
            <w:tcBorders>
              <w:top w:val="nil"/>
              <w:left w:val="nil"/>
              <w:bottom w:val="single" w:sz="4" w:space="0" w:color="auto"/>
              <w:right w:val="single" w:sz="4" w:space="0" w:color="auto"/>
            </w:tcBorders>
            <w:shd w:val="clear" w:color="auto" w:fill="auto"/>
            <w:vAlign w:val="center"/>
            <w:hideMark/>
          </w:tcPr>
          <w:p w14:paraId="38B746E4" w14:textId="77777777" w:rsidR="00507F70" w:rsidRPr="00B92499" w:rsidRDefault="00507F70" w:rsidP="00CF534F">
            <w:pPr>
              <w:jc w:val="center"/>
              <w:rPr>
                <w:rFonts w:ascii="Arial" w:hAnsi="Arial" w:cs="Arial"/>
                <w:color w:val="000000"/>
                <w:sz w:val="16"/>
                <w:szCs w:val="16"/>
              </w:rPr>
            </w:pPr>
            <w:r w:rsidRPr="00B92499">
              <w:rPr>
                <w:rFonts w:ascii="Arial" w:hAnsi="Arial" w:cs="Arial"/>
                <w:color w:val="000000"/>
                <w:sz w:val="16"/>
                <w:szCs w:val="16"/>
              </w:rPr>
              <w:t>76.88</w:t>
            </w:r>
          </w:p>
        </w:tc>
      </w:tr>
      <w:tr w:rsidR="00507F70" w:rsidRPr="00B92499" w14:paraId="5C67DB49" w14:textId="77777777" w:rsidTr="00CF534F">
        <w:trPr>
          <w:trHeight w:val="300"/>
        </w:trPr>
        <w:tc>
          <w:tcPr>
            <w:tcW w:w="1271" w:type="dxa"/>
            <w:tcBorders>
              <w:top w:val="nil"/>
              <w:left w:val="single" w:sz="4" w:space="0" w:color="auto"/>
              <w:bottom w:val="single" w:sz="4" w:space="0" w:color="auto"/>
              <w:right w:val="single" w:sz="4" w:space="0" w:color="auto"/>
            </w:tcBorders>
            <w:shd w:val="clear" w:color="000000" w:fill="FFFFFF"/>
            <w:vAlign w:val="center"/>
            <w:hideMark/>
          </w:tcPr>
          <w:p w14:paraId="02EEA3C2" w14:textId="77777777" w:rsidR="00507F70" w:rsidRPr="00B92499" w:rsidRDefault="00507F70" w:rsidP="00CF534F">
            <w:pPr>
              <w:jc w:val="center"/>
              <w:rPr>
                <w:rFonts w:ascii="Arial" w:hAnsi="Arial" w:cs="Arial"/>
                <w:color w:val="000000"/>
                <w:sz w:val="16"/>
                <w:szCs w:val="16"/>
              </w:rPr>
            </w:pPr>
            <w:r w:rsidRPr="00B92499">
              <w:rPr>
                <w:rFonts w:ascii="Arial" w:hAnsi="Arial" w:cs="Arial"/>
                <w:color w:val="000000"/>
                <w:sz w:val="16"/>
                <w:szCs w:val="16"/>
              </w:rPr>
              <w:t>31</w:t>
            </w:r>
          </w:p>
        </w:tc>
        <w:tc>
          <w:tcPr>
            <w:tcW w:w="5812" w:type="dxa"/>
            <w:tcBorders>
              <w:top w:val="nil"/>
              <w:left w:val="nil"/>
              <w:bottom w:val="single" w:sz="4" w:space="0" w:color="auto"/>
              <w:right w:val="single" w:sz="4" w:space="0" w:color="auto"/>
            </w:tcBorders>
            <w:shd w:val="clear" w:color="000000" w:fill="FFFFFF"/>
            <w:noWrap/>
            <w:vAlign w:val="center"/>
            <w:hideMark/>
          </w:tcPr>
          <w:p w14:paraId="180D03EC" w14:textId="77777777" w:rsidR="00507F70" w:rsidRPr="00B92499" w:rsidRDefault="00507F70" w:rsidP="00CF534F">
            <w:pPr>
              <w:rPr>
                <w:rFonts w:ascii="Arial" w:hAnsi="Arial" w:cs="Arial"/>
                <w:color w:val="000000"/>
                <w:sz w:val="16"/>
                <w:szCs w:val="16"/>
              </w:rPr>
            </w:pPr>
            <w:r w:rsidRPr="00B92499">
              <w:rPr>
                <w:rFonts w:ascii="Arial" w:hAnsi="Arial" w:cs="Arial"/>
                <w:color w:val="000000"/>
                <w:sz w:val="16"/>
                <w:szCs w:val="16"/>
              </w:rPr>
              <w:t>Alcaldía Coyoacán</w:t>
            </w:r>
          </w:p>
        </w:tc>
        <w:tc>
          <w:tcPr>
            <w:tcW w:w="2551" w:type="dxa"/>
            <w:tcBorders>
              <w:top w:val="nil"/>
              <w:left w:val="nil"/>
              <w:bottom w:val="single" w:sz="4" w:space="0" w:color="auto"/>
              <w:right w:val="single" w:sz="4" w:space="0" w:color="auto"/>
            </w:tcBorders>
            <w:shd w:val="clear" w:color="auto" w:fill="auto"/>
            <w:vAlign w:val="center"/>
            <w:hideMark/>
          </w:tcPr>
          <w:p w14:paraId="465C424A" w14:textId="77777777" w:rsidR="00507F70" w:rsidRPr="00B92499" w:rsidRDefault="00507F70" w:rsidP="00CF534F">
            <w:pPr>
              <w:jc w:val="center"/>
              <w:rPr>
                <w:rFonts w:ascii="Arial" w:hAnsi="Arial" w:cs="Arial"/>
                <w:color w:val="000000"/>
                <w:sz w:val="16"/>
                <w:szCs w:val="16"/>
              </w:rPr>
            </w:pPr>
            <w:r w:rsidRPr="00B92499">
              <w:rPr>
                <w:rFonts w:ascii="Arial" w:hAnsi="Arial" w:cs="Arial"/>
                <w:color w:val="000000"/>
                <w:sz w:val="16"/>
                <w:szCs w:val="16"/>
              </w:rPr>
              <w:t>68.91</w:t>
            </w:r>
          </w:p>
        </w:tc>
      </w:tr>
      <w:tr w:rsidR="00507F70" w:rsidRPr="00B92499" w14:paraId="16CE10B9" w14:textId="77777777" w:rsidTr="00CF534F">
        <w:trPr>
          <w:trHeight w:val="300"/>
        </w:trPr>
        <w:tc>
          <w:tcPr>
            <w:tcW w:w="1271" w:type="dxa"/>
            <w:tcBorders>
              <w:top w:val="nil"/>
              <w:left w:val="single" w:sz="4" w:space="0" w:color="auto"/>
              <w:bottom w:val="single" w:sz="4" w:space="0" w:color="auto"/>
              <w:right w:val="single" w:sz="4" w:space="0" w:color="auto"/>
            </w:tcBorders>
            <w:shd w:val="clear" w:color="000000" w:fill="FFFFFF"/>
            <w:vAlign w:val="center"/>
            <w:hideMark/>
          </w:tcPr>
          <w:p w14:paraId="17546786" w14:textId="77777777" w:rsidR="00507F70" w:rsidRPr="00B92499" w:rsidRDefault="00507F70" w:rsidP="00CF534F">
            <w:pPr>
              <w:jc w:val="center"/>
              <w:rPr>
                <w:rFonts w:ascii="Arial" w:hAnsi="Arial" w:cs="Arial"/>
                <w:color w:val="000000"/>
                <w:sz w:val="16"/>
                <w:szCs w:val="16"/>
              </w:rPr>
            </w:pPr>
            <w:r w:rsidRPr="00B92499">
              <w:rPr>
                <w:rFonts w:ascii="Arial" w:hAnsi="Arial" w:cs="Arial"/>
                <w:color w:val="000000"/>
                <w:sz w:val="16"/>
                <w:szCs w:val="16"/>
              </w:rPr>
              <w:lastRenderedPageBreak/>
              <w:t>32</w:t>
            </w:r>
          </w:p>
        </w:tc>
        <w:tc>
          <w:tcPr>
            <w:tcW w:w="5812" w:type="dxa"/>
            <w:tcBorders>
              <w:top w:val="nil"/>
              <w:left w:val="nil"/>
              <w:bottom w:val="single" w:sz="4" w:space="0" w:color="auto"/>
              <w:right w:val="single" w:sz="4" w:space="0" w:color="auto"/>
            </w:tcBorders>
            <w:shd w:val="clear" w:color="000000" w:fill="FFFFFF"/>
            <w:noWrap/>
            <w:vAlign w:val="center"/>
            <w:hideMark/>
          </w:tcPr>
          <w:p w14:paraId="1C1437A7" w14:textId="77777777" w:rsidR="00507F70" w:rsidRPr="00B92499" w:rsidRDefault="00507F70" w:rsidP="00CF534F">
            <w:pPr>
              <w:rPr>
                <w:rFonts w:ascii="Arial" w:hAnsi="Arial" w:cs="Arial"/>
                <w:color w:val="000000"/>
                <w:sz w:val="16"/>
                <w:szCs w:val="16"/>
              </w:rPr>
            </w:pPr>
            <w:r w:rsidRPr="00B92499">
              <w:rPr>
                <w:rFonts w:ascii="Arial" w:hAnsi="Arial" w:cs="Arial"/>
                <w:color w:val="000000"/>
                <w:sz w:val="16"/>
                <w:szCs w:val="16"/>
              </w:rPr>
              <w:t>Alcaldía Xochimilco</w:t>
            </w:r>
          </w:p>
        </w:tc>
        <w:tc>
          <w:tcPr>
            <w:tcW w:w="2551" w:type="dxa"/>
            <w:tcBorders>
              <w:top w:val="nil"/>
              <w:left w:val="nil"/>
              <w:bottom w:val="single" w:sz="4" w:space="0" w:color="auto"/>
              <w:right w:val="single" w:sz="4" w:space="0" w:color="auto"/>
            </w:tcBorders>
            <w:shd w:val="clear" w:color="auto" w:fill="auto"/>
            <w:vAlign w:val="center"/>
            <w:hideMark/>
          </w:tcPr>
          <w:p w14:paraId="4EA7CF71" w14:textId="77777777" w:rsidR="00507F70" w:rsidRPr="00B92499" w:rsidRDefault="00507F70" w:rsidP="00CF534F">
            <w:pPr>
              <w:jc w:val="center"/>
              <w:rPr>
                <w:rFonts w:ascii="Arial" w:hAnsi="Arial" w:cs="Arial"/>
                <w:color w:val="000000"/>
                <w:sz w:val="16"/>
                <w:szCs w:val="16"/>
              </w:rPr>
            </w:pPr>
            <w:r w:rsidRPr="00B92499">
              <w:rPr>
                <w:rFonts w:ascii="Arial" w:hAnsi="Arial" w:cs="Arial"/>
                <w:color w:val="000000"/>
                <w:sz w:val="16"/>
                <w:szCs w:val="16"/>
              </w:rPr>
              <w:t>62.39</w:t>
            </w:r>
          </w:p>
        </w:tc>
      </w:tr>
      <w:tr w:rsidR="00507F70" w:rsidRPr="00B92499" w14:paraId="7419A47E" w14:textId="77777777" w:rsidTr="00CF534F">
        <w:trPr>
          <w:trHeight w:val="300"/>
        </w:trPr>
        <w:tc>
          <w:tcPr>
            <w:tcW w:w="9634" w:type="dxa"/>
            <w:gridSpan w:val="3"/>
            <w:tcBorders>
              <w:top w:val="single" w:sz="4" w:space="0" w:color="auto"/>
              <w:left w:val="single" w:sz="4" w:space="0" w:color="auto"/>
              <w:bottom w:val="single" w:sz="4" w:space="0" w:color="auto"/>
              <w:right w:val="single" w:sz="4" w:space="0" w:color="auto"/>
            </w:tcBorders>
            <w:shd w:val="clear" w:color="000000" w:fill="33CCCC"/>
            <w:noWrap/>
            <w:vAlign w:val="center"/>
            <w:hideMark/>
          </w:tcPr>
          <w:p w14:paraId="7A64478B" w14:textId="77777777" w:rsidR="00507F70" w:rsidRPr="00B92499" w:rsidRDefault="00507F70" w:rsidP="00CF534F">
            <w:pPr>
              <w:jc w:val="center"/>
              <w:rPr>
                <w:rFonts w:ascii="Arial" w:hAnsi="Arial" w:cs="Arial"/>
                <w:b/>
                <w:bCs/>
                <w:color w:val="000000"/>
                <w:sz w:val="16"/>
                <w:szCs w:val="16"/>
              </w:rPr>
            </w:pPr>
            <w:r w:rsidRPr="00B92499">
              <w:rPr>
                <w:rFonts w:ascii="Arial" w:hAnsi="Arial" w:cs="Arial"/>
                <w:b/>
                <w:bCs/>
                <w:color w:val="000000"/>
                <w:sz w:val="16"/>
                <w:szCs w:val="16"/>
              </w:rPr>
              <w:t>Órganos Autónomos</w:t>
            </w:r>
          </w:p>
        </w:tc>
      </w:tr>
      <w:tr w:rsidR="00507F70" w:rsidRPr="00B92499" w14:paraId="6A29468B" w14:textId="77777777" w:rsidTr="00CF534F">
        <w:trPr>
          <w:trHeight w:val="300"/>
        </w:trPr>
        <w:tc>
          <w:tcPr>
            <w:tcW w:w="1271" w:type="dxa"/>
            <w:tcBorders>
              <w:top w:val="nil"/>
              <w:left w:val="single" w:sz="4" w:space="0" w:color="auto"/>
              <w:bottom w:val="single" w:sz="4" w:space="0" w:color="auto"/>
              <w:right w:val="single" w:sz="4" w:space="0" w:color="auto"/>
            </w:tcBorders>
            <w:shd w:val="clear" w:color="000000" w:fill="FFFFFF"/>
            <w:vAlign w:val="center"/>
            <w:hideMark/>
          </w:tcPr>
          <w:p w14:paraId="16C85F80" w14:textId="77777777" w:rsidR="00507F70" w:rsidRPr="00B92499" w:rsidRDefault="00507F70" w:rsidP="00CF534F">
            <w:pPr>
              <w:jc w:val="center"/>
              <w:rPr>
                <w:rFonts w:ascii="Arial" w:hAnsi="Arial" w:cs="Arial"/>
                <w:color w:val="000000"/>
                <w:sz w:val="16"/>
                <w:szCs w:val="16"/>
              </w:rPr>
            </w:pPr>
            <w:r w:rsidRPr="00B92499">
              <w:rPr>
                <w:rFonts w:ascii="Arial" w:hAnsi="Arial" w:cs="Arial"/>
                <w:color w:val="000000"/>
                <w:sz w:val="16"/>
                <w:szCs w:val="16"/>
              </w:rPr>
              <w:t>33</w:t>
            </w:r>
          </w:p>
        </w:tc>
        <w:tc>
          <w:tcPr>
            <w:tcW w:w="5812" w:type="dxa"/>
            <w:tcBorders>
              <w:top w:val="nil"/>
              <w:left w:val="nil"/>
              <w:bottom w:val="single" w:sz="4" w:space="0" w:color="auto"/>
              <w:right w:val="single" w:sz="4" w:space="0" w:color="auto"/>
            </w:tcBorders>
            <w:shd w:val="clear" w:color="000000" w:fill="FFFFFF"/>
            <w:noWrap/>
            <w:vAlign w:val="center"/>
            <w:hideMark/>
          </w:tcPr>
          <w:p w14:paraId="2004705E" w14:textId="77777777" w:rsidR="00507F70" w:rsidRPr="00B92499" w:rsidRDefault="00507F70" w:rsidP="00CF534F">
            <w:pPr>
              <w:rPr>
                <w:rFonts w:ascii="Arial" w:hAnsi="Arial" w:cs="Arial"/>
                <w:color w:val="000000"/>
                <w:sz w:val="16"/>
                <w:szCs w:val="16"/>
              </w:rPr>
            </w:pPr>
            <w:r w:rsidRPr="00B92499">
              <w:rPr>
                <w:rFonts w:ascii="Arial" w:hAnsi="Arial" w:cs="Arial"/>
                <w:color w:val="000000"/>
                <w:sz w:val="16"/>
                <w:szCs w:val="16"/>
              </w:rPr>
              <w:t>Instituto de Transparencia, Acceso a la Información Pública, Protección de Datos Personales y Rendición de Cuentas de la Ciudad de México</w:t>
            </w:r>
          </w:p>
        </w:tc>
        <w:tc>
          <w:tcPr>
            <w:tcW w:w="2551" w:type="dxa"/>
            <w:tcBorders>
              <w:top w:val="nil"/>
              <w:left w:val="nil"/>
              <w:bottom w:val="single" w:sz="4" w:space="0" w:color="auto"/>
              <w:right w:val="single" w:sz="4" w:space="0" w:color="auto"/>
            </w:tcBorders>
            <w:shd w:val="clear" w:color="000000" w:fill="FFFFFF"/>
            <w:vAlign w:val="center"/>
            <w:hideMark/>
          </w:tcPr>
          <w:p w14:paraId="655788D5" w14:textId="77777777" w:rsidR="00507F70" w:rsidRPr="00B92499" w:rsidRDefault="00507F70" w:rsidP="00CF534F">
            <w:pPr>
              <w:jc w:val="center"/>
              <w:rPr>
                <w:rFonts w:ascii="Arial" w:hAnsi="Arial" w:cs="Arial"/>
                <w:color w:val="000000"/>
                <w:sz w:val="16"/>
                <w:szCs w:val="16"/>
              </w:rPr>
            </w:pPr>
            <w:r w:rsidRPr="00B92499">
              <w:rPr>
                <w:rFonts w:ascii="Arial" w:hAnsi="Arial" w:cs="Arial"/>
                <w:color w:val="000000"/>
                <w:sz w:val="16"/>
                <w:szCs w:val="16"/>
              </w:rPr>
              <w:t>96.24</w:t>
            </w:r>
          </w:p>
        </w:tc>
      </w:tr>
      <w:tr w:rsidR="00507F70" w:rsidRPr="00B92499" w14:paraId="044B34E4" w14:textId="77777777" w:rsidTr="00CF534F">
        <w:trPr>
          <w:trHeight w:val="300"/>
        </w:trPr>
        <w:tc>
          <w:tcPr>
            <w:tcW w:w="9634" w:type="dxa"/>
            <w:gridSpan w:val="3"/>
            <w:tcBorders>
              <w:top w:val="single" w:sz="4" w:space="0" w:color="auto"/>
              <w:left w:val="single" w:sz="4" w:space="0" w:color="auto"/>
              <w:bottom w:val="single" w:sz="4" w:space="0" w:color="auto"/>
              <w:right w:val="single" w:sz="4" w:space="0" w:color="auto"/>
            </w:tcBorders>
            <w:shd w:val="clear" w:color="000000" w:fill="33CCCC"/>
            <w:noWrap/>
            <w:vAlign w:val="center"/>
            <w:hideMark/>
          </w:tcPr>
          <w:p w14:paraId="4C84234E" w14:textId="77777777" w:rsidR="00507F70" w:rsidRPr="00B92499" w:rsidRDefault="00507F70" w:rsidP="00CF534F">
            <w:pPr>
              <w:jc w:val="center"/>
              <w:rPr>
                <w:rFonts w:ascii="Arial" w:hAnsi="Arial" w:cs="Arial"/>
                <w:b/>
                <w:bCs/>
                <w:color w:val="000000"/>
                <w:sz w:val="16"/>
                <w:szCs w:val="16"/>
              </w:rPr>
            </w:pPr>
            <w:r w:rsidRPr="00B92499">
              <w:rPr>
                <w:rFonts w:ascii="Arial" w:hAnsi="Arial" w:cs="Arial"/>
                <w:b/>
                <w:bCs/>
                <w:color w:val="000000"/>
                <w:sz w:val="16"/>
                <w:szCs w:val="16"/>
              </w:rPr>
              <w:t>Poder Legislativo</w:t>
            </w:r>
          </w:p>
        </w:tc>
      </w:tr>
      <w:tr w:rsidR="00507F70" w:rsidRPr="00B92499" w14:paraId="1E13A6EC" w14:textId="77777777" w:rsidTr="00CF534F">
        <w:trPr>
          <w:trHeight w:val="300"/>
        </w:trPr>
        <w:tc>
          <w:tcPr>
            <w:tcW w:w="1271" w:type="dxa"/>
            <w:tcBorders>
              <w:top w:val="nil"/>
              <w:left w:val="single" w:sz="4" w:space="0" w:color="auto"/>
              <w:bottom w:val="single" w:sz="4" w:space="0" w:color="auto"/>
              <w:right w:val="single" w:sz="4" w:space="0" w:color="auto"/>
            </w:tcBorders>
            <w:shd w:val="clear" w:color="000000" w:fill="FFFFFF"/>
            <w:vAlign w:val="center"/>
            <w:hideMark/>
          </w:tcPr>
          <w:p w14:paraId="5438C23A" w14:textId="77777777" w:rsidR="00507F70" w:rsidRPr="00B92499" w:rsidRDefault="00507F70" w:rsidP="00CF534F">
            <w:pPr>
              <w:jc w:val="center"/>
              <w:rPr>
                <w:rFonts w:ascii="Arial" w:hAnsi="Arial" w:cs="Arial"/>
                <w:color w:val="000000"/>
                <w:sz w:val="16"/>
                <w:szCs w:val="16"/>
              </w:rPr>
            </w:pPr>
            <w:r w:rsidRPr="00B92499">
              <w:rPr>
                <w:rFonts w:ascii="Arial" w:hAnsi="Arial" w:cs="Arial"/>
                <w:color w:val="000000"/>
                <w:sz w:val="16"/>
                <w:szCs w:val="16"/>
              </w:rPr>
              <w:t>34</w:t>
            </w:r>
          </w:p>
        </w:tc>
        <w:tc>
          <w:tcPr>
            <w:tcW w:w="5812" w:type="dxa"/>
            <w:tcBorders>
              <w:top w:val="nil"/>
              <w:left w:val="nil"/>
              <w:bottom w:val="single" w:sz="4" w:space="0" w:color="auto"/>
              <w:right w:val="single" w:sz="4" w:space="0" w:color="auto"/>
            </w:tcBorders>
            <w:shd w:val="clear" w:color="000000" w:fill="FFFFFF"/>
            <w:noWrap/>
            <w:vAlign w:val="center"/>
            <w:hideMark/>
          </w:tcPr>
          <w:p w14:paraId="20801C24" w14:textId="77777777" w:rsidR="00507F70" w:rsidRPr="00B92499" w:rsidRDefault="00507F70" w:rsidP="00CF534F">
            <w:pPr>
              <w:rPr>
                <w:rFonts w:ascii="Arial" w:hAnsi="Arial" w:cs="Arial"/>
                <w:color w:val="000000"/>
                <w:sz w:val="16"/>
                <w:szCs w:val="16"/>
              </w:rPr>
            </w:pPr>
            <w:r w:rsidRPr="00B92499">
              <w:rPr>
                <w:rFonts w:ascii="Arial" w:hAnsi="Arial" w:cs="Arial"/>
                <w:color w:val="000000"/>
                <w:sz w:val="16"/>
                <w:szCs w:val="16"/>
              </w:rPr>
              <w:t>Congreso de la Ciudad de México</w:t>
            </w:r>
          </w:p>
        </w:tc>
        <w:tc>
          <w:tcPr>
            <w:tcW w:w="2551" w:type="dxa"/>
            <w:tcBorders>
              <w:top w:val="nil"/>
              <w:left w:val="nil"/>
              <w:bottom w:val="single" w:sz="4" w:space="0" w:color="auto"/>
              <w:right w:val="single" w:sz="4" w:space="0" w:color="auto"/>
            </w:tcBorders>
            <w:shd w:val="clear" w:color="000000" w:fill="FFFFFF"/>
            <w:vAlign w:val="center"/>
            <w:hideMark/>
          </w:tcPr>
          <w:p w14:paraId="6DC44839" w14:textId="77777777" w:rsidR="00507F70" w:rsidRPr="00B92499" w:rsidRDefault="00507F70" w:rsidP="00CF534F">
            <w:pPr>
              <w:jc w:val="center"/>
              <w:rPr>
                <w:rFonts w:ascii="Arial" w:hAnsi="Arial" w:cs="Arial"/>
                <w:color w:val="000000"/>
                <w:sz w:val="16"/>
                <w:szCs w:val="16"/>
              </w:rPr>
            </w:pPr>
            <w:r w:rsidRPr="00B92499">
              <w:rPr>
                <w:rFonts w:ascii="Arial" w:hAnsi="Arial" w:cs="Arial"/>
                <w:color w:val="000000"/>
                <w:sz w:val="16"/>
                <w:szCs w:val="16"/>
              </w:rPr>
              <w:t>95.03</w:t>
            </w:r>
          </w:p>
        </w:tc>
      </w:tr>
      <w:tr w:rsidR="00507F70" w:rsidRPr="00B92499" w14:paraId="1B39BC2F" w14:textId="77777777" w:rsidTr="00CF534F">
        <w:trPr>
          <w:trHeight w:val="300"/>
        </w:trPr>
        <w:tc>
          <w:tcPr>
            <w:tcW w:w="9634" w:type="dxa"/>
            <w:gridSpan w:val="3"/>
            <w:tcBorders>
              <w:top w:val="single" w:sz="4" w:space="0" w:color="auto"/>
              <w:left w:val="single" w:sz="4" w:space="0" w:color="auto"/>
              <w:bottom w:val="single" w:sz="4" w:space="0" w:color="auto"/>
              <w:right w:val="single" w:sz="4" w:space="0" w:color="auto"/>
            </w:tcBorders>
            <w:shd w:val="clear" w:color="000000" w:fill="33CCCC"/>
            <w:noWrap/>
            <w:vAlign w:val="center"/>
            <w:hideMark/>
          </w:tcPr>
          <w:p w14:paraId="72F77B15" w14:textId="77777777" w:rsidR="00507F70" w:rsidRPr="00B92499" w:rsidRDefault="00507F70" w:rsidP="00CF534F">
            <w:pPr>
              <w:jc w:val="center"/>
              <w:rPr>
                <w:rFonts w:ascii="Arial" w:hAnsi="Arial" w:cs="Arial"/>
                <w:b/>
                <w:bCs/>
                <w:color w:val="000000"/>
                <w:sz w:val="16"/>
                <w:szCs w:val="16"/>
              </w:rPr>
            </w:pPr>
            <w:r w:rsidRPr="00B92499">
              <w:rPr>
                <w:rFonts w:ascii="Arial" w:hAnsi="Arial" w:cs="Arial"/>
                <w:b/>
                <w:bCs/>
                <w:color w:val="000000"/>
                <w:sz w:val="16"/>
                <w:szCs w:val="16"/>
              </w:rPr>
              <w:t>Sindicatos</w:t>
            </w:r>
          </w:p>
        </w:tc>
      </w:tr>
      <w:tr w:rsidR="00507F70" w:rsidRPr="00B92499" w14:paraId="1E309B9A" w14:textId="77777777" w:rsidTr="00CF534F">
        <w:trPr>
          <w:trHeight w:val="300"/>
        </w:trPr>
        <w:tc>
          <w:tcPr>
            <w:tcW w:w="1271" w:type="dxa"/>
            <w:tcBorders>
              <w:top w:val="nil"/>
              <w:left w:val="single" w:sz="4" w:space="0" w:color="auto"/>
              <w:bottom w:val="single" w:sz="4" w:space="0" w:color="auto"/>
              <w:right w:val="single" w:sz="4" w:space="0" w:color="auto"/>
            </w:tcBorders>
            <w:shd w:val="clear" w:color="000000" w:fill="FFFFFF"/>
            <w:vAlign w:val="center"/>
            <w:hideMark/>
          </w:tcPr>
          <w:p w14:paraId="10F50BC1" w14:textId="77777777" w:rsidR="00507F70" w:rsidRPr="00B92499" w:rsidRDefault="00507F70" w:rsidP="00CF534F">
            <w:pPr>
              <w:jc w:val="center"/>
              <w:rPr>
                <w:rFonts w:ascii="Arial" w:hAnsi="Arial" w:cs="Arial"/>
                <w:color w:val="000000"/>
                <w:sz w:val="16"/>
                <w:szCs w:val="16"/>
              </w:rPr>
            </w:pPr>
            <w:r w:rsidRPr="00B92499">
              <w:rPr>
                <w:rFonts w:ascii="Arial" w:hAnsi="Arial" w:cs="Arial"/>
                <w:color w:val="000000"/>
                <w:sz w:val="16"/>
                <w:szCs w:val="16"/>
              </w:rPr>
              <w:t>35</w:t>
            </w:r>
          </w:p>
        </w:tc>
        <w:tc>
          <w:tcPr>
            <w:tcW w:w="5812" w:type="dxa"/>
            <w:tcBorders>
              <w:top w:val="nil"/>
              <w:left w:val="nil"/>
              <w:bottom w:val="single" w:sz="4" w:space="0" w:color="auto"/>
              <w:right w:val="single" w:sz="4" w:space="0" w:color="auto"/>
            </w:tcBorders>
            <w:shd w:val="clear" w:color="000000" w:fill="FFFFFF"/>
            <w:noWrap/>
            <w:vAlign w:val="center"/>
            <w:hideMark/>
          </w:tcPr>
          <w:p w14:paraId="23D092D4" w14:textId="77777777" w:rsidR="00507F70" w:rsidRPr="00B92499" w:rsidRDefault="00507F70" w:rsidP="00CF534F">
            <w:pPr>
              <w:rPr>
                <w:rFonts w:ascii="Arial" w:hAnsi="Arial" w:cs="Arial"/>
                <w:color w:val="000000"/>
                <w:sz w:val="16"/>
                <w:szCs w:val="16"/>
              </w:rPr>
            </w:pPr>
            <w:r w:rsidRPr="00B92499">
              <w:rPr>
                <w:rFonts w:ascii="Arial" w:hAnsi="Arial" w:cs="Arial"/>
                <w:color w:val="000000"/>
                <w:sz w:val="16"/>
                <w:szCs w:val="16"/>
              </w:rPr>
              <w:t>Sindicato de Trabajadores del Tribunal de Justicia Administrativa de la Ciudad de México</w:t>
            </w:r>
          </w:p>
        </w:tc>
        <w:tc>
          <w:tcPr>
            <w:tcW w:w="2551" w:type="dxa"/>
            <w:tcBorders>
              <w:top w:val="nil"/>
              <w:left w:val="nil"/>
              <w:bottom w:val="single" w:sz="4" w:space="0" w:color="auto"/>
              <w:right w:val="single" w:sz="4" w:space="0" w:color="auto"/>
            </w:tcBorders>
            <w:shd w:val="clear" w:color="000000" w:fill="FFFFFF"/>
            <w:vAlign w:val="center"/>
            <w:hideMark/>
          </w:tcPr>
          <w:p w14:paraId="139D8CD6" w14:textId="77777777" w:rsidR="00507F70" w:rsidRPr="00B92499" w:rsidRDefault="00507F70" w:rsidP="00CF534F">
            <w:pPr>
              <w:jc w:val="center"/>
              <w:rPr>
                <w:rFonts w:ascii="Arial" w:hAnsi="Arial" w:cs="Arial"/>
                <w:color w:val="000000"/>
                <w:sz w:val="16"/>
                <w:szCs w:val="16"/>
              </w:rPr>
            </w:pPr>
            <w:r w:rsidRPr="00B92499">
              <w:rPr>
                <w:rFonts w:ascii="Arial" w:hAnsi="Arial" w:cs="Arial"/>
                <w:color w:val="000000"/>
                <w:sz w:val="16"/>
                <w:szCs w:val="16"/>
              </w:rPr>
              <w:t>87.20</w:t>
            </w:r>
          </w:p>
        </w:tc>
      </w:tr>
    </w:tbl>
    <w:p w14:paraId="49CE1CB7" w14:textId="77777777" w:rsidR="00507F70" w:rsidRPr="00B92499" w:rsidRDefault="00507F70" w:rsidP="00507F70">
      <w:pPr>
        <w:jc w:val="both"/>
      </w:pPr>
    </w:p>
    <w:p w14:paraId="0330740C" w14:textId="77777777" w:rsidR="00507F70" w:rsidRPr="00B92499" w:rsidRDefault="00507F70" w:rsidP="00507F70">
      <w:pPr>
        <w:jc w:val="both"/>
      </w:pPr>
    </w:p>
    <w:p w14:paraId="18267A21" w14:textId="77777777" w:rsidR="00507F70" w:rsidRPr="00B92499" w:rsidRDefault="00507F70" w:rsidP="00C9398D">
      <w:pPr>
        <w:jc w:val="both"/>
      </w:pPr>
    </w:p>
    <w:p w14:paraId="7809534B" w14:textId="77777777" w:rsidR="00507F70" w:rsidRPr="00B92499" w:rsidRDefault="00507F70">
      <w:pPr>
        <w:spacing w:after="160" w:line="259" w:lineRule="auto"/>
        <w:rPr>
          <w:rFonts w:ascii="Arial" w:eastAsiaTheme="majorEastAsia" w:hAnsi="Arial" w:cs="Arial"/>
          <w:b/>
          <w:lang w:val="es-ES_tradnl" w:eastAsia="en-US"/>
        </w:rPr>
      </w:pPr>
      <w:r w:rsidRPr="00B92499">
        <w:rPr>
          <w:rFonts w:ascii="Arial" w:hAnsi="Arial" w:cs="Arial"/>
          <w:b/>
        </w:rPr>
        <w:br w:type="page"/>
      </w:r>
    </w:p>
    <w:p w14:paraId="6372337E" w14:textId="1CE0D2F2" w:rsidR="00940CBA" w:rsidRPr="00B92499" w:rsidRDefault="00AF69FA" w:rsidP="009F64B5">
      <w:pPr>
        <w:pStyle w:val="Ttulo1"/>
        <w:numPr>
          <w:ilvl w:val="0"/>
          <w:numId w:val="5"/>
        </w:numPr>
        <w:contextualSpacing/>
        <w:rPr>
          <w:rFonts w:ascii="Arial" w:hAnsi="Arial" w:cs="Arial"/>
          <w:b/>
          <w:color w:val="auto"/>
          <w:sz w:val="24"/>
          <w:szCs w:val="24"/>
        </w:rPr>
      </w:pPr>
      <w:bookmarkStart w:id="9" w:name="_Toc23252967"/>
      <w:r w:rsidRPr="00B92499">
        <w:rPr>
          <w:rFonts w:ascii="Arial" w:hAnsi="Arial" w:cs="Arial"/>
          <w:b/>
          <w:color w:val="auto"/>
          <w:sz w:val="24"/>
          <w:szCs w:val="24"/>
        </w:rPr>
        <w:lastRenderedPageBreak/>
        <w:t>PODER EJECUTIVO</w:t>
      </w:r>
      <w:bookmarkEnd w:id="9"/>
    </w:p>
    <w:p w14:paraId="2F2E5A4B" w14:textId="77777777" w:rsidR="00940CBA" w:rsidRPr="00B92499" w:rsidRDefault="00940CBA" w:rsidP="002E7D47">
      <w:pPr>
        <w:contextualSpacing/>
        <w:rPr>
          <w:rFonts w:ascii="Arial" w:hAnsi="Arial" w:cs="Arial"/>
          <w:b/>
        </w:rPr>
      </w:pPr>
    </w:p>
    <w:p w14:paraId="204AA9D8" w14:textId="77777777" w:rsidR="00940CBA" w:rsidRPr="00B92499" w:rsidRDefault="00AF69FA" w:rsidP="009F64B5">
      <w:pPr>
        <w:pStyle w:val="Ttulo2"/>
        <w:numPr>
          <w:ilvl w:val="1"/>
          <w:numId w:val="5"/>
        </w:numPr>
        <w:contextualSpacing/>
        <w:rPr>
          <w:rFonts w:ascii="Arial" w:hAnsi="Arial" w:cs="Arial"/>
          <w:b/>
          <w:color w:val="auto"/>
          <w:sz w:val="24"/>
          <w:szCs w:val="24"/>
        </w:rPr>
      </w:pPr>
      <w:bookmarkStart w:id="10" w:name="_Toc23252968"/>
      <w:r w:rsidRPr="00B92499">
        <w:rPr>
          <w:rFonts w:ascii="Arial" w:hAnsi="Arial" w:cs="Arial"/>
          <w:b/>
          <w:color w:val="auto"/>
          <w:sz w:val="24"/>
          <w:szCs w:val="24"/>
        </w:rPr>
        <w:t>ADMINISTRACIÓN CENTRAL</w:t>
      </w:r>
      <w:bookmarkEnd w:id="10"/>
    </w:p>
    <w:p w14:paraId="6B627897" w14:textId="6AC18287" w:rsidR="002E7D47" w:rsidRPr="00B92499" w:rsidRDefault="00940CBA" w:rsidP="002E7D47">
      <w:pPr>
        <w:spacing w:before="100" w:beforeAutospacing="1" w:after="100" w:afterAutospacing="1" w:line="360" w:lineRule="auto"/>
        <w:contextualSpacing/>
        <w:jc w:val="both"/>
        <w:rPr>
          <w:rFonts w:ascii="Arial" w:hAnsi="Arial" w:cs="Arial"/>
        </w:rPr>
      </w:pPr>
      <w:r w:rsidRPr="00B92499">
        <w:rPr>
          <w:rFonts w:ascii="Arial" w:hAnsi="Arial" w:cs="Arial"/>
        </w:rPr>
        <w:t>El ámbito del Poder Ejecutivo</w:t>
      </w:r>
      <w:r w:rsidR="00A972A3" w:rsidRPr="00B92499">
        <w:rPr>
          <w:rFonts w:ascii="Arial" w:hAnsi="Arial" w:cs="Arial"/>
        </w:rPr>
        <w:t>,</w:t>
      </w:r>
      <w:r w:rsidRPr="00B92499">
        <w:rPr>
          <w:rFonts w:ascii="Arial" w:hAnsi="Arial" w:cs="Arial"/>
        </w:rPr>
        <w:t xml:space="preserve"> por lo que corresponde a la Administración Central de la Ciudad de México</w:t>
      </w:r>
      <w:r w:rsidR="00A972A3" w:rsidRPr="00B92499">
        <w:rPr>
          <w:rFonts w:ascii="Arial" w:hAnsi="Arial" w:cs="Arial"/>
        </w:rPr>
        <w:t>, está conformado por</w:t>
      </w:r>
      <w:r w:rsidR="00C576D2" w:rsidRPr="00B92499">
        <w:rPr>
          <w:rFonts w:ascii="Arial" w:hAnsi="Arial" w:cs="Arial"/>
        </w:rPr>
        <w:t xml:space="preserve"> 22</w:t>
      </w:r>
      <w:r w:rsidR="00A972A3" w:rsidRPr="00B92499">
        <w:rPr>
          <w:rFonts w:ascii="Arial" w:hAnsi="Arial" w:cs="Arial"/>
        </w:rPr>
        <w:t xml:space="preserve"> </w:t>
      </w:r>
      <w:r w:rsidR="008710F6" w:rsidRPr="00B92499">
        <w:rPr>
          <w:rFonts w:ascii="Arial" w:hAnsi="Arial" w:cs="Arial"/>
        </w:rPr>
        <w:t>sujeto</w:t>
      </w:r>
      <w:r w:rsidR="00A972A3" w:rsidRPr="00B92499">
        <w:rPr>
          <w:rFonts w:ascii="Arial" w:hAnsi="Arial" w:cs="Arial"/>
        </w:rPr>
        <w:t>s obligados</w:t>
      </w:r>
      <w:r w:rsidRPr="00B92499">
        <w:rPr>
          <w:rFonts w:ascii="Arial" w:hAnsi="Arial" w:cs="Arial"/>
        </w:rPr>
        <w:t xml:space="preserve"> de conformidad con el Padrón de </w:t>
      </w:r>
      <w:r w:rsidR="008710F6" w:rsidRPr="00B92499">
        <w:rPr>
          <w:rFonts w:ascii="Arial" w:hAnsi="Arial" w:cs="Arial"/>
        </w:rPr>
        <w:t>sujeto</w:t>
      </w:r>
      <w:r w:rsidR="00EB5F64" w:rsidRPr="00B92499">
        <w:rPr>
          <w:rFonts w:ascii="Arial" w:hAnsi="Arial" w:cs="Arial"/>
        </w:rPr>
        <w:t xml:space="preserve">s </w:t>
      </w:r>
      <w:r w:rsidR="008710F6" w:rsidRPr="00B92499">
        <w:rPr>
          <w:rFonts w:ascii="Arial" w:hAnsi="Arial" w:cs="Arial"/>
        </w:rPr>
        <w:t>obligado</w:t>
      </w:r>
      <w:r w:rsidR="00EB5F64" w:rsidRPr="00B92499">
        <w:rPr>
          <w:rFonts w:ascii="Arial" w:hAnsi="Arial" w:cs="Arial"/>
        </w:rPr>
        <w:t>s</w:t>
      </w:r>
      <w:r w:rsidRPr="00B92499">
        <w:rPr>
          <w:rFonts w:ascii="Arial" w:hAnsi="Arial" w:cs="Arial"/>
        </w:rPr>
        <w:t xml:space="preserve"> supeditados al cumplimiento de la Ley de Transparencia, Acceso a la Información Pública y Rendición de Cuentas de la Ciudad de México</w:t>
      </w:r>
      <w:r w:rsidRPr="00B92499" w:rsidDel="005B5D1B">
        <w:rPr>
          <w:rFonts w:ascii="Arial" w:hAnsi="Arial" w:cs="Arial"/>
        </w:rPr>
        <w:t xml:space="preserve"> </w:t>
      </w:r>
      <w:r w:rsidRPr="00B92499">
        <w:rPr>
          <w:rFonts w:ascii="Arial" w:hAnsi="Arial" w:cs="Arial"/>
        </w:rPr>
        <w:t xml:space="preserve">y de la Ley de Protección de Datos Personales en Posesión de los </w:t>
      </w:r>
      <w:r w:rsidR="008710F6" w:rsidRPr="00B92499">
        <w:rPr>
          <w:rFonts w:ascii="Arial" w:hAnsi="Arial" w:cs="Arial"/>
        </w:rPr>
        <w:t>sujeto</w:t>
      </w:r>
      <w:r w:rsidR="00EB5F64" w:rsidRPr="00B92499">
        <w:rPr>
          <w:rFonts w:ascii="Arial" w:hAnsi="Arial" w:cs="Arial"/>
        </w:rPr>
        <w:t xml:space="preserve">s </w:t>
      </w:r>
      <w:r w:rsidR="008710F6" w:rsidRPr="00B92499">
        <w:rPr>
          <w:rFonts w:ascii="Arial" w:hAnsi="Arial" w:cs="Arial"/>
        </w:rPr>
        <w:t>obligado</w:t>
      </w:r>
      <w:r w:rsidR="00EB5F64" w:rsidRPr="00B92499">
        <w:rPr>
          <w:rFonts w:ascii="Arial" w:hAnsi="Arial" w:cs="Arial"/>
        </w:rPr>
        <w:t>s</w:t>
      </w:r>
      <w:r w:rsidRPr="00B92499">
        <w:rPr>
          <w:rFonts w:ascii="Arial" w:hAnsi="Arial" w:cs="Arial"/>
        </w:rPr>
        <w:t xml:space="preserve"> de la Ciudad de México (Padrón). </w:t>
      </w:r>
    </w:p>
    <w:p w14:paraId="3BB930BE" w14:textId="77777777" w:rsidR="002E7D47" w:rsidRPr="00B92499" w:rsidRDefault="002E7D47" w:rsidP="002E7D47">
      <w:pPr>
        <w:spacing w:before="100" w:beforeAutospacing="1" w:after="100" w:afterAutospacing="1" w:line="360" w:lineRule="auto"/>
        <w:contextualSpacing/>
        <w:jc w:val="both"/>
        <w:rPr>
          <w:rFonts w:ascii="Arial" w:hAnsi="Arial" w:cs="Arial"/>
        </w:rPr>
      </w:pPr>
    </w:p>
    <w:p w14:paraId="4A8FB47A" w14:textId="6907D843" w:rsidR="00940CBA" w:rsidRPr="00B92499" w:rsidRDefault="00940CBA" w:rsidP="002E7D47">
      <w:pPr>
        <w:spacing w:before="100" w:beforeAutospacing="1" w:after="100" w:afterAutospacing="1" w:line="360" w:lineRule="auto"/>
        <w:contextualSpacing/>
        <w:jc w:val="both"/>
        <w:rPr>
          <w:rFonts w:ascii="Arial" w:hAnsi="Arial" w:cs="Arial"/>
        </w:rPr>
      </w:pPr>
      <w:r w:rsidRPr="00B92499">
        <w:rPr>
          <w:rFonts w:ascii="Arial" w:hAnsi="Arial" w:cs="Arial"/>
        </w:rPr>
        <w:t xml:space="preserve">Los </w:t>
      </w:r>
      <w:r w:rsidR="008710F6" w:rsidRPr="00B92499">
        <w:rPr>
          <w:rFonts w:ascii="Arial" w:hAnsi="Arial" w:cs="Arial"/>
        </w:rPr>
        <w:t>sujeto</w:t>
      </w:r>
      <w:r w:rsidR="00EB5F64" w:rsidRPr="00B92499">
        <w:rPr>
          <w:rFonts w:ascii="Arial" w:hAnsi="Arial" w:cs="Arial"/>
        </w:rPr>
        <w:t xml:space="preserve">s </w:t>
      </w:r>
      <w:r w:rsidR="008710F6" w:rsidRPr="00B92499">
        <w:rPr>
          <w:rFonts w:ascii="Arial" w:hAnsi="Arial" w:cs="Arial"/>
        </w:rPr>
        <w:t>obligado</w:t>
      </w:r>
      <w:r w:rsidR="00EB5F64" w:rsidRPr="00B92499">
        <w:rPr>
          <w:rFonts w:ascii="Arial" w:hAnsi="Arial" w:cs="Arial"/>
        </w:rPr>
        <w:t>s</w:t>
      </w:r>
      <w:r w:rsidRPr="00B92499">
        <w:rPr>
          <w:rFonts w:ascii="Arial" w:hAnsi="Arial" w:cs="Arial"/>
        </w:rPr>
        <w:t xml:space="preserve">, así como su Índice de Cumplimiento de </w:t>
      </w:r>
      <w:r w:rsidR="008710F6" w:rsidRPr="00B92499">
        <w:rPr>
          <w:rFonts w:ascii="Arial" w:hAnsi="Arial" w:cs="Arial"/>
        </w:rPr>
        <w:t>obligaciones de transparencia</w:t>
      </w:r>
      <w:r w:rsidRPr="00B92499">
        <w:rPr>
          <w:rFonts w:ascii="Arial" w:hAnsi="Arial" w:cs="Arial"/>
        </w:rPr>
        <w:t xml:space="preserve"> del Portal de Internet (</w:t>
      </w:r>
      <w:r w:rsidR="00623A69" w:rsidRPr="00B92499">
        <w:rPr>
          <w:rFonts w:ascii="Arial" w:hAnsi="Arial" w:cs="Arial"/>
        </w:rPr>
        <w:t>ICOT-PT</w:t>
      </w:r>
      <w:r w:rsidRPr="00B92499">
        <w:rPr>
          <w:rFonts w:ascii="Arial" w:hAnsi="Arial" w:cs="Arial"/>
        </w:rPr>
        <w:t xml:space="preserve">), el de la Plataforma Nacional de Transparencia (ICOT-PNT) y el Índice General de Cumplimiento de </w:t>
      </w:r>
      <w:r w:rsidR="008710F6" w:rsidRPr="00B92499">
        <w:rPr>
          <w:rFonts w:ascii="Arial" w:hAnsi="Arial" w:cs="Arial"/>
        </w:rPr>
        <w:t>obligaciones de transparencia</w:t>
      </w:r>
      <w:r w:rsidRPr="00B92499">
        <w:rPr>
          <w:rFonts w:ascii="Arial" w:hAnsi="Arial" w:cs="Arial"/>
        </w:rPr>
        <w:t xml:space="preserve"> (IGOT) se presentan en la siguiente tabla, ordenados de forma descendente, respecto del IGOT: </w:t>
      </w:r>
    </w:p>
    <w:p w14:paraId="208A6AAC" w14:textId="77777777" w:rsidR="001568FE" w:rsidRPr="00B92499" w:rsidRDefault="001568FE" w:rsidP="002E7D47">
      <w:pPr>
        <w:spacing w:before="100" w:beforeAutospacing="1" w:after="100" w:afterAutospacing="1" w:line="360" w:lineRule="auto"/>
        <w:contextualSpacing/>
        <w:jc w:val="both"/>
        <w:rPr>
          <w:rFonts w:ascii="Arial" w:hAnsi="Arial" w:cs="Arial"/>
        </w:rPr>
      </w:pPr>
    </w:p>
    <w:tbl>
      <w:tblPr>
        <w:tblW w:w="9375" w:type="dxa"/>
        <w:tblLayout w:type="fixed"/>
        <w:tblCellMar>
          <w:left w:w="70" w:type="dxa"/>
          <w:right w:w="70" w:type="dxa"/>
        </w:tblCellMar>
        <w:tblLook w:val="04A0" w:firstRow="1" w:lastRow="0" w:firstColumn="1" w:lastColumn="0" w:noHBand="0" w:noVBand="1"/>
      </w:tblPr>
      <w:tblGrid>
        <w:gridCol w:w="421"/>
        <w:gridCol w:w="1304"/>
        <w:gridCol w:w="850"/>
        <w:gridCol w:w="850"/>
        <w:gridCol w:w="850"/>
        <w:gridCol w:w="850"/>
        <w:gridCol w:w="850"/>
        <w:gridCol w:w="850"/>
        <w:gridCol w:w="850"/>
        <w:gridCol w:w="850"/>
        <w:gridCol w:w="850"/>
      </w:tblGrid>
      <w:tr w:rsidR="00A972A3" w:rsidRPr="00B92499" w14:paraId="20B76DBF" w14:textId="77777777" w:rsidTr="00BF7A5D">
        <w:trPr>
          <w:trHeight w:val="217"/>
          <w:tblHeader/>
        </w:trPr>
        <w:tc>
          <w:tcPr>
            <w:tcW w:w="9375" w:type="dxa"/>
            <w:gridSpan w:val="11"/>
            <w:tcBorders>
              <w:top w:val="single" w:sz="4" w:space="0" w:color="auto"/>
              <w:left w:val="single" w:sz="4" w:space="0" w:color="auto"/>
              <w:bottom w:val="single" w:sz="4" w:space="0" w:color="auto"/>
              <w:right w:val="single" w:sz="4" w:space="0" w:color="auto"/>
            </w:tcBorders>
            <w:shd w:val="clear" w:color="auto" w:fill="00B0F0"/>
            <w:noWrap/>
            <w:vAlign w:val="center"/>
          </w:tcPr>
          <w:p w14:paraId="4603F414" w14:textId="77777777" w:rsidR="00A972A3" w:rsidRPr="00B92499" w:rsidRDefault="00A972A3" w:rsidP="00BF7A5D">
            <w:pPr>
              <w:jc w:val="center"/>
              <w:rPr>
                <w:rFonts w:ascii="Arial" w:hAnsi="Arial" w:cs="Arial"/>
                <w:b/>
                <w:bCs/>
                <w:color w:val="000000"/>
                <w:sz w:val="16"/>
                <w:szCs w:val="16"/>
              </w:rPr>
            </w:pPr>
            <w:r w:rsidRPr="00B92499">
              <w:rPr>
                <w:rFonts w:ascii="Arial" w:hAnsi="Arial" w:cs="Arial"/>
                <w:b/>
                <w:bCs/>
                <w:color w:val="000000"/>
                <w:sz w:val="16"/>
                <w:szCs w:val="16"/>
              </w:rPr>
              <w:t>Resultados de la Segunda Evaluación Vinculante 2019, respecto del primer semestre del año 2019</w:t>
            </w:r>
          </w:p>
        </w:tc>
      </w:tr>
      <w:tr w:rsidR="00A972A3" w:rsidRPr="00B92499" w14:paraId="64B2352A" w14:textId="77777777" w:rsidTr="00BF7A5D">
        <w:trPr>
          <w:trHeight w:val="217"/>
          <w:tblHeader/>
        </w:trPr>
        <w:tc>
          <w:tcPr>
            <w:tcW w:w="421" w:type="dxa"/>
            <w:tcBorders>
              <w:top w:val="single" w:sz="4" w:space="0" w:color="auto"/>
              <w:left w:val="single" w:sz="4" w:space="0" w:color="auto"/>
              <w:bottom w:val="single" w:sz="4" w:space="0" w:color="auto"/>
              <w:right w:val="single" w:sz="4" w:space="0" w:color="auto"/>
            </w:tcBorders>
            <w:shd w:val="clear" w:color="auto" w:fill="00B0F0"/>
            <w:noWrap/>
            <w:vAlign w:val="center"/>
            <w:hideMark/>
          </w:tcPr>
          <w:p w14:paraId="37FA00FE" w14:textId="77777777" w:rsidR="00A972A3" w:rsidRPr="00B92499" w:rsidRDefault="00A972A3" w:rsidP="00BF7A5D">
            <w:pPr>
              <w:jc w:val="center"/>
              <w:rPr>
                <w:rFonts w:ascii="Arial" w:hAnsi="Arial" w:cs="Arial"/>
                <w:b/>
                <w:bCs/>
                <w:color w:val="000000"/>
                <w:sz w:val="16"/>
                <w:szCs w:val="16"/>
              </w:rPr>
            </w:pPr>
            <w:r w:rsidRPr="00B92499">
              <w:rPr>
                <w:rFonts w:ascii="Arial" w:hAnsi="Arial" w:cs="Arial"/>
                <w:b/>
                <w:bCs/>
                <w:color w:val="000000"/>
                <w:sz w:val="16"/>
                <w:szCs w:val="16"/>
              </w:rPr>
              <w:t>No.</w:t>
            </w:r>
          </w:p>
        </w:tc>
        <w:tc>
          <w:tcPr>
            <w:tcW w:w="1304" w:type="dxa"/>
            <w:tcBorders>
              <w:top w:val="single" w:sz="4" w:space="0" w:color="auto"/>
              <w:left w:val="nil"/>
              <w:bottom w:val="single" w:sz="4" w:space="0" w:color="auto"/>
              <w:right w:val="single" w:sz="4" w:space="0" w:color="auto"/>
            </w:tcBorders>
            <w:shd w:val="clear" w:color="auto" w:fill="00B0F0"/>
            <w:vAlign w:val="center"/>
            <w:hideMark/>
          </w:tcPr>
          <w:p w14:paraId="0D04EA7E" w14:textId="64EFF8E7" w:rsidR="00A972A3" w:rsidRPr="00B92499" w:rsidRDefault="00A972A3" w:rsidP="00BF7A5D">
            <w:pPr>
              <w:jc w:val="center"/>
              <w:rPr>
                <w:rFonts w:ascii="Arial" w:hAnsi="Arial" w:cs="Arial"/>
                <w:b/>
                <w:bCs/>
                <w:color w:val="000000"/>
                <w:sz w:val="16"/>
                <w:szCs w:val="16"/>
              </w:rPr>
            </w:pPr>
            <w:r w:rsidRPr="00B92499">
              <w:rPr>
                <w:rFonts w:ascii="Arial" w:hAnsi="Arial" w:cs="Arial"/>
                <w:b/>
                <w:bCs/>
                <w:color w:val="000000"/>
                <w:sz w:val="16"/>
                <w:szCs w:val="16"/>
              </w:rPr>
              <w:t xml:space="preserve">Denominación del </w:t>
            </w:r>
            <w:r w:rsidR="008710F6" w:rsidRPr="00B92499">
              <w:rPr>
                <w:rFonts w:ascii="Arial" w:hAnsi="Arial" w:cs="Arial"/>
                <w:b/>
                <w:bCs/>
                <w:color w:val="000000"/>
                <w:sz w:val="16"/>
                <w:szCs w:val="16"/>
              </w:rPr>
              <w:t>sujeto obligado</w:t>
            </w:r>
          </w:p>
        </w:tc>
        <w:tc>
          <w:tcPr>
            <w:tcW w:w="850" w:type="dxa"/>
            <w:tcBorders>
              <w:top w:val="single" w:sz="4" w:space="0" w:color="auto"/>
              <w:left w:val="nil"/>
              <w:bottom w:val="single" w:sz="4" w:space="0" w:color="auto"/>
              <w:right w:val="single" w:sz="4" w:space="0" w:color="auto"/>
            </w:tcBorders>
            <w:shd w:val="clear" w:color="auto" w:fill="00B0F0"/>
            <w:vAlign w:val="center"/>
            <w:hideMark/>
          </w:tcPr>
          <w:p w14:paraId="10A48B90" w14:textId="77777777" w:rsidR="00A972A3" w:rsidRPr="00B92499" w:rsidRDefault="00A972A3" w:rsidP="00BF7A5D">
            <w:pPr>
              <w:jc w:val="center"/>
              <w:rPr>
                <w:rFonts w:ascii="Arial" w:hAnsi="Arial" w:cs="Arial"/>
                <w:b/>
                <w:bCs/>
                <w:color w:val="000000"/>
                <w:sz w:val="16"/>
                <w:szCs w:val="16"/>
              </w:rPr>
            </w:pPr>
            <w:r w:rsidRPr="00B92499">
              <w:rPr>
                <w:rFonts w:ascii="Arial" w:hAnsi="Arial" w:cs="Arial"/>
                <w:b/>
                <w:bCs/>
                <w:color w:val="000000"/>
                <w:sz w:val="16"/>
                <w:szCs w:val="16"/>
              </w:rPr>
              <w:t>%Inf PT</w:t>
            </w:r>
          </w:p>
        </w:tc>
        <w:tc>
          <w:tcPr>
            <w:tcW w:w="850" w:type="dxa"/>
            <w:tcBorders>
              <w:top w:val="single" w:sz="4" w:space="0" w:color="auto"/>
              <w:left w:val="nil"/>
              <w:bottom w:val="single" w:sz="4" w:space="0" w:color="auto"/>
              <w:right w:val="single" w:sz="4" w:space="0" w:color="auto"/>
            </w:tcBorders>
            <w:shd w:val="clear" w:color="auto" w:fill="00B0F0"/>
            <w:vAlign w:val="center"/>
            <w:hideMark/>
          </w:tcPr>
          <w:p w14:paraId="138AD81A" w14:textId="77777777" w:rsidR="00A972A3" w:rsidRPr="00B92499" w:rsidRDefault="00A972A3" w:rsidP="00BF7A5D">
            <w:pPr>
              <w:jc w:val="center"/>
              <w:rPr>
                <w:rFonts w:ascii="Arial" w:hAnsi="Arial" w:cs="Arial"/>
                <w:b/>
                <w:bCs/>
                <w:color w:val="000000"/>
                <w:sz w:val="16"/>
                <w:szCs w:val="16"/>
              </w:rPr>
            </w:pPr>
            <w:r w:rsidRPr="00B92499">
              <w:rPr>
                <w:rFonts w:ascii="Arial" w:hAnsi="Arial" w:cs="Arial"/>
                <w:b/>
                <w:bCs/>
                <w:color w:val="000000"/>
                <w:sz w:val="16"/>
                <w:szCs w:val="16"/>
              </w:rPr>
              <w:t>% Nota PT</w:t>
            </w:r>
          </w:p>
        </w:tc>
        <w:tc>
          <w:tcPr>
            <w:tcW w:w="850" w:type="dxa"/>
            <w:tcBorders>
              <w:top w:val="single" w:sz="4" w:space="0" w:color="auto"/>
              <w:left w:val="nil"/>
              <w:bottom w:val="single" w:sz="4" w:space="0" w:color="auto"/>
              <w:right w:val="single" w:sz="4" w:space="0" w:color="auto"/>
            </w:tcBorders>
            <w:shd w:val="clear" w:color="auto" w:fill="00B0F0"/>
            <w:vAlign w:val="center"/>
            <w:hideMark/>
          </w:tcPr>
          <w:p w14:paraId="5091072E" w14:textId="77777777" w:rsidR="00A972A3" w:rsidRPr="00B92499" w:rsidRDefault="00A972A3" w:rsidP="00BF7A5D">
            <w:pPr>
              <w:jc w:val="center"/>
              <w:rPr>
                <w:rFonts w:ascii="Arial" w:hAnsi="Arial" w:cs="Arial"/>
                <w:b/>
                <w:bCs/>
                <w:color w:val="000000"/>
                <w:sz w:val="16"/>
                <w:szCs w:val="16"/>
              </w:rPr>
            </w:pPr>
            <w:r w:rsidRPr="00B92499">
              <w:rPr>
                <w:rFonts w:ascii="Arial" w:hAnsi="Arial" w:cs="Arial"/>
                <w:b/>
                <w:bCs/>
                <w:color w:val="000000"/>
                <w:sz w:val="16"/>
                <w:szCs w:val="16"/>
              </w:rPr>
              <w:t>ICOT-PT</w:t>
            </w:r>
          </w:p>
        </w:tc>
        <w:tc>
          <w:tcPr>
            <w:tcW w:w="850" w:type="dxa"/>
            <w:tcBorders>
              <w:top w:val="single" w:sz="4" w:space="0" w:color="auto"/>
              <w:left w:val="nil"/>
              <w:bottom w:val="single" w:sz="4" w:space="0" w:color="auto"/>
              <w:right w:val="single" w:sz="4" w:space="0" w:color="auto"/>
            </w:tcBorders>
            <w:shd w:val="clear" w:color="auto" w:fill="00B0F0"/>
            <w:vAlign w:val="center"/>
            <w:hideMark/>
          </w:tcPr>
          <w:p w14:paraId="66CD5037" w14:textId="77777777" w:rsidR="00A972A3" w:rsidRPr="00B92499" w:rsidRDefault="00A972A3" w:rsidP="00BF7A5D">
            <w:pPr>
              <w:jc w:val="center"/>
              <w:rPr>
                <w:rFonts w:ascii="Arial" w:hAnsi="Arial" w:cs="Arial"/>
                <w:b/>
                <w:bCs/>
                <w:color w:val="000000"/>
                <w:sz w:val="16"/>
                <w:szCs w:val="16"/>
              </w:rPr>
            </w:pPr>
            <w:r w:rsidRPr="00B92499">
              <w:rPr>
                <w:rFonts w:ascii="Arial" w:hAnsi="Arial" w:cs="Arial"/>
                <w:b/>
                <w:bCs/>
                <w:color w:val="000000"/>
                <w:sz w:val="16"/>
                <w:szCs w:val="16"/>
              </w:rPr>
              <w:t>%Inf PNT</w:t>
            </w:r>
          </w:p>
        </w:tc>
        <w:tc>
          <w:tcPr>
            <w:tcW w:w="850" w:type="dxa"/>
            <w:tcBorders>
              <w:top w:val="single" w:sz="4" w:space="0" w:color="auto"/>
              <w:left w:val="nil"/>
              <w:bottom w:val="single" w:sz="4" w:space="0" w:color="auto"/>
              <w:right w:val="single" w:sz="4" w:space="0" w:color="auto"/>
            </w:tcBorders>
            <w:shd w:val="clear" w:color="auto" w:fill="00B0F0"/>
            <w:vAlign w:val="center"/>
            <w:hideMark/>
          </w:tcPr>
          <w:p w14:paraId="6D8B4C62" w14:textId="77777777" w:rsidR="00A972A3" w:rsidRPr="00B92499" w:rsidRDefault="00A972A3" w:rsidP="00BF7A5D">
            <w:pPr>
              <w:jc w:val="center"/>
              <w:rPr>
                <w:rFonts w:ascii="Arial" w:hAnsi="Arial" w:cs="Arial"/>
                <w:b/>
                <w:bCs/>
                <w:color w:val="000000"/>
                <w:sz w:val="16"/>
                <w:szCs w:val="16"/>
              </w:rPr>
            </w:pPr>
            <w:r w:rsidRPr="00B92499">
              <w:rPr>
                <w:rFonts w:ascii="Arial" w:hAnsi="Arial" w:cs="Arial"/>
                <w:b/>
                <w:bCs/>
                <w:color w:val="000000"/>
                <w:sz w:val="16"/>
                <w:szCs w:val="16"/>
              </w:rPr>
              <w:t>% Notas PNT</w:t>
            </w:r>
          </w:p>
        </w:tc>
        <w:tc>
          <w:tcPr>
            <w:tcW w:w="850" w:type="dxa"/>
            <w:tcBorders>
              <w:top w:val="single" w:sz="4" w:space="0" w:color="auto"/>
              <w:left w:val="nil"/>
              <w:bottom w:val="single" w:sz="4" w:space="0" w:color="auto"/>
              <w:right w:val="single" w:sz="4" w:space="0" w:color="auto"/>
            </w:tcBorders>
            <w:shd w:val="clear" w:color="auto" w:fill="00B0F0"/>
            <w:vAlign w:val="center"/>
            <w:hideMark/>
          </w:tcPr>
          <w:p w14:paraId="13FE35DA" w14:textId="77777777" w:rsidR="00A972A3" w:rsidRPr="00B92499" w:rsidRDefault="00A972A3" w:rsidP="00BF7A5D">
            <w:pPr>
              <w:jc w:val="center"/>
              <w:rPr>
                <w:rFonts w:ascii="Arial" w:hAnsi="Arial" w:cs="Arial"/>
                <w:b/>
                <w:bCs/>
                <w:color w:val="000000"/>
                <w:sz w:val="16"/>
                <w:szCs w:val="16"/>
              </w:rPr>
            </w:pPr>
            <w:r w:rsidRPr="00B92499">
              <w:rPr>
                <w:rFonts w:ascii="Arial" w:hAnsi="Arial" w:cs="Arial"/>
                <w:b/>
                <w:bCs/>
                <w:color w:val="000000"/>
                <w:sz w:val="16"/>
                <w:szCs w:val="16"/>
              </w:rPr>
              <w:t>ICOT-PNT</w:t>
            </w:r>
          </w:p>
        </w:tc>
        <w:tc>
          <w:tcPr>
            <w:tcW w:w="850" w:type="dxa"/>
            <w:tcBorders>
              <w:top w:val="single" w:sz="4" w:space="0" w:color="auto"/>
              <w:left w:val="nil"/>
              <w:bottom w:val="single" w:sz="4" w:space="0" w:color="auto"/>
              <w:right w:val="single" w:sz="4" w:space="0" w:color="auto"/>
            </w:tcBorders>
            <w:shd w:val="clear" w:color="auto" w:fill="00B0F0"/>
            <w:vAlign w:val="center"/>
            <w:hideMark/>
          </w:tcPr>
          <w:p w14:paraId="1A64B58D" w14:textId="77777777" w:rsidR="00A972A3" w:rsidRPr="00B92499" w:rsidRDefault="00A972A3" w:rsidP="00BF7A5D">
            <w:pPr>
              <w:jc w:val="center"/>
              <w:rPr>
                <w:rFonts w:ascii="Arial" w:hAnsi="Arial" w:cs="Arial"/>
                <w:b/>
                <w:bCs/>
                <w:color w:val="000000"/>
                <w:sz w:val="16"/>
                <w:szCs w:val="16"/>
              </w:rPr>
            </w:pPr>
            <w:r w:rsidRPr="00B92499">
              <w:rPr>
                <w:rFonts w:ascii="Arial" w:hAnsi="Arial" w:cs="Arial"/>
                <w:b/>
                <w:bCs/>
                <w:color w:val="000000"/>
                <w:sz w:val="16"/>
                <w:szCs w:val="16"/>
              </w:rPr>
              <w:t>%Inf IGOT</w:t>
            </w:r>
          </w:p>
        </w:tc>
        <w:tc>
          <w:tcPr>
            <w:tcW w:w="850" w:type="dxa"/>
            <w:tcBorders>
              <w:top w:val="single" w:sz="4" w:space="0" w:color="auto"/>
              <w:left w:val="nil"/>
              <w:bottom w:val="single" w:sz="4" w:space="0" w:color="auto"/>
              <w:right w:val="single" w:sz="4" w:space="0" w:color="auto"/>
            </w:tcBorders>
            <w:shd w:val="clear" w:color="auto" w:fill="00B0F0"/>
            <w:vAlign w:val="center"/>
            <w:hideMark/>
          </w:tcPr>
          <w:p w14:paraId="2495B565" w14:textId="77777777" w:rsidR="00A972A3" w:rsidRPr="00B92499" w:rsidRDefault="00A972A3" w:rsidP="00BF7A5D">
            <w:pPr>
              <w:jc w:val="center"/>
              <w:rPr>
                <w:rFonts w:ascii="Arial" w:hAnsi="Arial" w:cs="Arial"/>
                <w:b/>
                <w:bCs/>
                <w:color w:val="000000"/>
                <w:sz w:val="16"/>
                <w:szCs w:val="16"/>
              </w:rPr>
            </w:pPr>
            <w:r w:rsidRPr="00B92499">
              <w:rPr>
                <w:rFonts w:ascii="Arial" w:hAnsi="Arial" w:cs="Arial"/>
                <w:b/>
                <w:bCs/>
                <w:color w:val="000000"/>
                <w:sz w:val="16"/>
                <w:szCs w:val="16"/>
              </w:rPr>
              <w:t>% Notas IGOT</w:t>
            </w:r>
          </w:p>
        </w:tc>
        <w:tc>
          <w:tcPr>
            <w:tcW w:w="850" w:type="dxa"/>
            <w:tcBorders>
              <w:top w:val="single" w:sz="4" w:space="0" w:color="auto"/>
              <w:left w:val="nil"/>
              <w:bottom w:val="single" w:sz="4" w:space="0" w:color="auto"/>
              <w:right w:val="single" w:sz="4" w:space="0" w:color="auto"/>
            </w:tcBorders>
            <w:shd w:val="clear" w:color="auto" w:fill="00B0F0"/>
            <w:vAlign w:val="center"/>
            <w:hideMark/>
          </w:tcPr>
          <w:p w14:paraId="1E5CAEFF" w14:textId="77777777" w:rsidR="00A972A3" w:rsidRPr="00B92499" w:rsidRDefault="00A972A3" w:rsidP="00BF7A5D">
            <w:pPr>
              <w:jc w:val="center"/>
              <w:rPr>
                <w:rFonts w:ascii="Arial" w:hAnsi="Arial" w:cs="Arial"/>
                <w:b/>
                <w:bCs/>
                <w:color w:val="000000"/>
                <w:sz w:val="16"/>
                <w:szCs w:val="16"/>
              </w:rPr>
            </w:pPr>
            <w:r w:rsidRPr="00B92499">
              <w:rPr>
                <w:rFonts w:ascii="Arial" w:hAnsi="Arial" w:cs="Arial"/>
                <w:b/>
                <w:bCs/>
                <w:color w:val="000000"/>
                <w:sz w:val="16"/>
                <w:szCs w:val="16"/>
              </w:rPr>
              <w:t>IGOT</w:t>
            </w:r>
          </w:p>
        </w:tc>
      </w:tr>
      <w:tr w:rsidR="00116D85" w:rsidRPr="00B92499" w14:paraId="7F5392A2" w14:textId="77777777" w:rsidTr="00A972A3">
        <w:trPr>
          <w:trHeight w:val="680"/>
        </w:trPr>
        <w:tc>
          <w:tcPr>
            <w:tcW w:w="421" w:type="dxa"/>
            <w:tcBorders>
              <w:top w:val="nil"/>
              <w:left w:val="single" w:sz="4" w:space="0" w:color="auto"/>
              <w:bottom w:val="single" w:sz="4" w:space="0" w:color="auto"/>
              <w:right w:val="single" w:sz="4" w:space="0" w:color="auto"/>
            </w:tcBorders>
            <w:shd w:val="clear" w:color="000000" w:fill="FFFFFF"/>
            <w:vAlign w:val="center"/>
            <w:hideMark/>
          </w:tcPr>
          <w:p w14:paraId="7F7C2AEB" w14:textId="564896EC" w:rsidR="00116D85" w:rsidRPr="00B92499" w:rsidRDefault="00116D85" w:rsidP="00116D85">
            <w:pPr>
              <w:jc w:val="center"/>
              <w:rPr>
                <w:rFonts w:ascii="Arial" w:hAnsi="Arial" w:cs="Arial"/>
                <w:color w:val="000000"/>
                <w:sz w:val="16"/>
                <w:szCs w:val="16"/>
              </w:rPr>
            </w:pPr>
            <w:r w:rsidRPr="00B92499">
              <w:rPr>
                <w:rFonts w:ascii="Arial" w:hAnsi="Arial" w:cs="Arial"/>
                <w:color w:val="000000"/>
                <w:sz w:val="16"/>
                <w:szCs w:val="16"/>
              </w:rPr>
              <w:t>1</w:t>
            </w:r>
          </w:p>
        </w:tc>
        <w:tc>
          <w:tcPr>
            <w:tcW w:w="1304" w:type="dxa"/>
            <w:tcBorders>
              <w:top w:val="nil"/>
              <w:left w:val="nil"/>
              <w:bottom w:val="single" w:sz="4" w:space="0" w:color="auto"/>
              <w:right w:val="single" w:sz="4" w:space="0" w:color="auto"/>
            </w:tcBorders>
            <w:shd w:val="clear" w:color="000000" w:fill="FFFFFF"/>
            <w:vAlign w:val="center"/>
            <w:hideMark/>
          </w:tcPr>
          <w:p w14:paraId="59878782" w14:textId="65024943" w:rsidR="00116D85" w:rsidRPr="00B92499" w:rsidRDefault="00116D85" w:rsidP="00116D85">
            <w:pPr>
              <w:rPr>
                <w:rFonts w:ascii="Arial" w:hAnsi="Arial" w:cs="Arial"/>
                <w:color w:val="000000"/>
                <w:sz w:val="16"/>
                <w:szCs w:val="16"/>
              </w:rPr>
            </w:pPr>
            <w:r w:rsidRPr="00B92499">
              <w:rPr>
                <w:rFonts w:ascii="Arial" w:hAnsi="Arial" w:cs="Arial"/>
                <w:color w:val="000000"/>
                <w:sz w:val="16"/>
                <w:szCs w:val="16"/>
              </w:rPr>
              <w:t>Secretaría de Administración y Finanzas</w:t>
            </w:r>
          </w:p>
        </w:tc>
        <w:tc>
          <w:tcPr>
            <w:tcW w:w="850" w:type="dxa"/>
            <w:tcBorders>
              <w:top w:val="nil"/>
              <w:left w:val="nil"/>
              <w:bottom w:val="single" w:sz="4" w:space="0" w:color="auto"/>
              <w:right w:val="single" w:sz="4" w:space="0" w:color="auto"/>
            </w:tcBorders>
            <w:shd w:val="clear" w:color="000000" w:fill="BDD7EE"/>
            <w:noWrap/>
            <w:vAlign w:val="center"/>
            <w:hideMark/>
          </w:tcPr>
          <w:p w14:paraId="3F667618" w14:textId="5F4C48B0" w:rsidR="00116D85" w:rsidRPr="00B92499" w:rsidRDefault="00116D85" w:rsidP="00F218DB">
            <w:pPr>
              <w:jc w:val="center"/>
              <w:rPr>
                <w:rFonts w:ascii="Arial" w:hAnsi="Arial" w:cs="Arial"/>
                <w:color w:val="000000"/>
                <w:sz w:val="16"/>
                <w:szCs w:val="16"/>
              </w:rPr>
            </w:pPr>
            <w:r w:rsidRPr="00B92499">
              <w:rPr>
                <w:rFonts w:ascii="Arial" w:hAnsi="Arial" w:cs="Arial"/>
                <w:color w:val="000000"/>
                <w:sz w:val="16"/>
                <w:szCs w:val="16"/>
              </w:rPr>
              <w:t>100</w:t>
            </w:r>
          </w:p>
        </w:tc>
        <w:tc>
          <w:tcPr>
            <w:tcW w:w="850" w:type="dxa"/>
            <w:tcBorders>
              <w:top w:val="nil"/>
              <w:left w:val="nil"/>
              <w:bottom w:val="single" w:sz="4" w:space="0" w:color="auto"/>
              <w:right w:val="single" w:sz="4" w:space="0" w:color="auto"/>
            </w:tcBorders>
            <w:shd w:val="clear" w:color="000000" w:fill="D9D9D9"/>
            <w:noWrap/>
            <w:vAlign w:val="center"/>
            <w:hideMark/>
          </w:tcPr>
          <w:p w14:paraId="58CD57D3" w14:textId="239DFBEF" w:rsidR="00116D85" w:rsidRPr="00B92499" w:rsidRDefault="00116D85" w:rsidP="00116D85">
            <w:pPr>
              <w:jc w:val="center"/>
              <w:rPr>
                <w:rFonts w:ascii="Arial" w:hAnsi="Arial" w:cs="Arial"/>
                <w:color w:val="000000"/>
                <w:sz w:val="16"/>
                <w:szCs w:val="16"/>
              </w:rPr>
            </w:pPr>
            <w:r w:rsidRPr="00B92499">
              <w:rPr>
                <w:rFonts w:ascii="Arial" w:hAnsi="Arial" w:cs="Arial"/>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center"/>
            <w:hideMark/>
          </w:tcPr>
          <w:p w14:paraId="58AF2313" w14:textId="6D9857C6" w:rsidR="00116D85" w:rsidRPr="00B92499" w:rsidRDefault="00116D85" w:rsidP="00F218DB">
            <w:pPr>
              <w:jc w:val="center"/>
              <w:rPr>
                <w:rFonts w:ascii="Arial" w:hAnsi="Arial" w:cs="Arial"/>
                <w:color w:val="000000"/>
                <w:sz w:val="16"/>
                <w:szCs w:val="16"/>
              </w:rPr>
            </w:pPr>
            <w:r w:rsidRPr="00B92499">
              <w:rPr>
                <w:rFonts w:ascii="Arial" w:hAnsi="Arial" w:cs="Arial"/>
                <w:color w:val="000000"/>
                <w:sz w:val="16"/>
                <w:szCs w:val="16"/>
              </w:rPr>
              <w:t>100</w:t>
            </w:r>
          </w:p>
        </w:tc>
        <w:tc>
          <w:tcPr>
            <w:tcW w:w="850" w:type="dxa"/>
            <w:tcBorders>
              <w:top w:val="nil"/>
              <w:left w:val="nil"/>
              <w:bottom w:val="single" w:sz="4" w:space="0" w:color="auto"/>
              <w:right w:val="single" w:sz="4" w:space="0" w:color="auto"/>
            </w:tcBorders>
            <w:shd w:val="clear" w:color="000000" w:fill="BDD7EE"/>
            <w:noWrap/>
            <w:vAlign w:val="center"/>
            <w:hideMark/>
          </w:tcPr>
          <w:p w14:paraId="51E17F8B" w14:textId="3E0567A3" w:rsidR="00116D85" w:rsidRPr="00B92499" w:rsidRDefault="00116D85" w:rsidP="00F218DB">
            <w:pPr>
              <w:jc w:val="center"/>
              <w:rPr>
                <w:rFonts w:ascii="Arial" w:hAnsi="Arial" w:cs="Arial"/>
                <w:color w:val="000000"/>
                <w:sz w:val="16"/>
                <w:szCs w:val="16"/>
              </w:rPr>
            </w:pPr>
            <w:r w:rsidRPr="00B92499">
              <w:rPr>
                <w:rFonts w:ascii="Arial" w:hAnsi="Arial" w:cs="Arial"/>
                <w:color w:val="000000"/>
                <w:sz w:val="16"/>
                <w:szCs w:val="16"/>
              </w:rPr>
              <w:t>100</w:t>
            </w:r>
          </w:p>
        </w:tc>
        <w:tc>
          <w:tcPr>
            <w:tcW w:w="850" w:type="dxa"/>
            <w:tcBorders>
              <w:top w:val="nil"/>
              <w:left w:val="nil"/>
              <w:bottom w:val="single" w:sz="4" w:space="0" w:color="auto"/>
              <w:right w:val="single" w:sz="4" w:space="0" w:color="auto"/>
            </w:tcBorders>
            <w:shd w:val="clear" w:color="000000" w:fill="D9D9D9"/>
            <w:noWrap/>
            <w:vAlign w:val="center"/>
            <w:hideMark/>
          </w:tcPr>
          <w:p w14:paraId="52E6EA10" w14:textId="54623652" w:rsidR="00116D85" w:rsidRPr="00B92499" w:rsidRDefault="00116D85" w:rsidP="00116D85">
            <w:pPr>
              <w:jc w:val="center"/>
              <w:rPr>
                <w:rFonts w:ascii="Arial" w:hAnsi="Arial" w:cs="Arial"/>
                <w:color w:val="000000"/>
                <w:sz w:val="16"/>
                <w:szCs w:val="16"/>
              </w:rPr>
            </w:pPr>
            <w:r w:rsidRPr="00B92499">
              <w:rPr>
                <w:rFonts w:ascii="Arial" w:hAnsi="Arial" w:cs="Arial"/>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center"/>
            <w:hideMark/>
          </w:tcPr>
          <w:p w14:paraId="7FAE373C" w14:textId="130338D8" w:rsidR="00116D85" w:rsidRPr="00B92499" w:rsidRDefault="00116D85" w:rsidP="00EF2D1E">
            <w:pPr>
              <w:jc w:val="center"/>
              <w:rPr>
                <w:rFonts w:ascii="Arial" w:hAnsi="Arial" w:cs="Arial"/>
                <w:color w:val="000000"/>
                <w:sz w:val="16"/>
                <w:szCs w:val="16"/>
              </w:rPr>
            </w:pPr>
            <w:r w:rsidRPr="00B92499">
              <w:rPr>
                <w:rFonts w:ascii="Arial" w:hAnsi="Arial" w:cs="Arial"/>
                <w:color w:val="000000"/>
                <w:sz w:val="16"/>
                <w:szCs w:val="16"/>
              </w:rPr>
              <w:t>100</w:t>
            </w:r>
          </w:p>
        </w:tc>
        <w:tc>
          <w:tcPr>
            <w:tcW w:w="850" w:type="dxa"/>
            <w:tcBorders>
              <w:top w:val="nil"/>
              <w:left w:val="nil"/>
              <w:bottom w:val="single" w:sz="4" w:space="0" w:color="auto"/>
              <w:right w:val="single" w:sz="4" w:space="0" w:color="auto"/>
            </w:tcBorders>
            <w:shd w:val="clear" w:color="000000" w:fill="BDD7EE"/>
            <w:noWrap/>
            <w:vAlign w:val="center"/>
            <w:hideMark/>
          </w:tcPr>
          <w:p w14:paraId="5989E751" w14:textId="7065B067" w:rsidR="00116D85" w:rsidRPr="00B92499" w:rsidRDefault="00116D85" w:rsidP="00F218DB">
            <w:pPr>
              <w:jc w:val="center"/>
              <w:rPr>
                <w:rFonts w:ascii="Arial" w:hAnsi="Arial" w:cs="Arial"/>
                <w:color w:val="000000"/>
                <w:sz w:val="16"/>
                <w:szCs w:val="16"/>
              </w:rPr>
            </w:pPr>
            <w:r w:rsidRPr="00B92499">
              <w:rPr>
                <w:rFonts w:ascii="Arial" w:hAnsi="Arial" w:cs="Arial"/>
                <w:color w:val="000000"/>
                <w:sz w:val="16"/>
                <w:szCs w:val="16"/>
              </w:rPr>
              <w:t>100</w:t>
            </w:r>
          </w:p>
        </w:tc>
        <w:tc>
          <w:tcPr>
            <w:tcW w:w="850" w:type="dxa"/>
            <w:tcBorders>
              <w:top w:val="nil"/>
              <w:left w:val="nil"/>
              <w:bottom w:val="single" w:sz="4" w:space="0" w:color="auto"/>
              <w:right w:val="single" w:sz="4" w:space="0" w:color="auto"/>
            </w:tcBorders>
            <w:shd w:val="clear" w:color="000000" w:fill="D9D9D9"/>
            <w:noWrap/>
            <w:vAlign w:val="center"/>
            <w:hideMark/>
          </w:tcPr>
          <w:p w14:paraId="1A7BE545" w14:textId="205D63E2" w:rsidR="00116D85" w:rsidRPr="00B92499" w:rsidRDefault="00116D85" w:rsidP="00116D85">
            <w:pPr>
              <w:jc w:val="center"/>
              <w:rPr>
                <w:rFonts w:ascii="Arial" w:hAnsi="Arial" w:cs="Arial"/>
                <w:color w:val="000000"/>
                <w:sz w:val="16"/>
                <w:szCs w:val="16"/>
              </w:rPr>
            </w:pPr>
            <w:r w:rsidRPr="00B92499">
              <w:rPr>
                <w:rFonts w:ascii="Arial" w:hAnsi="Arial" w:cs="Arial"/>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center"/>
            <w:hideMark/>
          </w:tcPr>
          <w:p w14:paraId="1E174F8D" w14:textId="082D579B" w:rsidR="00116D85" w:rsidRPr="00B92499" w:rsidRDefault="00116D85" w:rsidP="00F218DB">
            <w:pPr>
              <w:jc w:val="center"/>
              <w:rPr>
                <w:rFonts w:ascii="Arial" w:hAnsi="Arial" w:cs="Arial"/>
                <w:color w:val="000000"/>
                <w:sz w:val="16"/>
                <w:szCs w:val="16"/>
              </w:rPr>
            </w:pPr>
            <w:r w:rsidRPr="00B92499">
              <w:rPr>
                <w:rFonts w:ascii="Arial" w:hAnsi="Arial" w:cs="Arial"/>
                <w:color w:val="000000"/>
                <w:sz w:val="16"/>
                <w:szCs w:val="16"/>
              </w:rPr>
              <w:t>100</w:t>
            </w:r>
          </w:p>
        </w:tc>
      </w:tr>
      <w:tr w:rsidR="00116D85" w:rsidRPr="00B92499" w14:paraId="4598D32F" w14:textId="77777777" w:rsidTr="00A972A3">
        <w:trPr>
          <w:trHeight w:val="680"/>
        </w:trPr>
        <w:tc>
          <w:tcPr>
            <w:tcW w:w="421" w:type="dxa"/>
            <w:tcBorders>
              <w:top w:val="nil"/>
              <w:left w:val="single" w:sz="4" w:space="0" w:color="auto"/>
              <w:bottom w:val="single" w:sz="4" w:space="0" w:color="auto"/>
              <w:right w:val="single" w:sz="4" w:space="0" w:color="auto"/>
            </w:tcBorders>
            <w:shd w:val="clear" w:color="000000" w:fill="FFFFFF"/>
            <w:vAlign w:val="center"/>
            <w:hideMark/>
          </w:tcPr>
          <w:p w14:paraId="442D5CD1" w14:textId="083DC4F7" w:rsidR="00116D85" w:rsidRPr="00B92499" w:rsidRDefault="00116D85" w:rsidP="00116D85">
            <w:pPr>
              <w:jc w:val="center"/>
              <w:rPr>
                <w:rFonts w:ascii="Arial" w:hAnsi="Arial" w:cs="Arial"/>
                <w:color w:val="000000"/>
                <w:sz w:val="16"/>
                <w:szCs w:val="16"/>
              </w:rPr>
            </w:pPr>
            <w:r w:rsidRPr="00B92499">
              <w:rPr>
                <w:rFonts w:ascii="Arial" w:hAnsi="Arial" w:cs="Arial"/>
                <w:color w:val="000000"/>
                <w:sz w:val="16"/>
                <w:szCs w:val="16"/>
              </w:rPr>
              <w:t>2</w:t>
            </w:r>
          </w:p>
        </w:tc>
        <w:tc>
          <w:tcPr>
            <w:tcW w:w="1304" w:type="dxa"/>
            <w:tcBorders>
              <w:top w:val="nil"/>
              <w:left w:val="nil"/>
              <w:bottom w:val="single" w:sz="4" w:space="0" w:color="auto"/>
              <w:right w:val="single" w:sz="4" w:space="0" w:color="auto"/>
            </w:tcBorders>
            <w:shd w:val="clear" w:color="000000" w:fill="FFFFFF"/>
            <w:vAlign w:val="center"/>
            <w:hideMark/>
          </w:tcPr>
          <w:p w14:paraId="1B4EA375" w14:textId="2C221AAF" w:rsidR="00116D85" w:rsidRPr="00B92499" w:rsidRDefault="00116D85" w:rsidP="00116D85">
            <w:pPr>
              <w:rPr>
                <w:rFonts w:ascii="Arial" w:hAnsi="Arial" w:cs="Arial"/>
                <w:color w:val="000000"/>
                <w:sz w:val="16"/>
                <w:szCs w:val="16"/>
              </w:rPr>
            </w:pPr>
            <w:r w:rsidRPr="00B92499">
              <w:rPr>
                <w:rFonts w:ascii="Arial" w:hAnsi="Arial" w:cs="Arial"/>
                <w:color w:val="000000"/>
                <w:sz w:val="16"/>
                <w:szCs w:val="16"/>
              </w:rPr>
              <w:t xml:space="preserve">Secretaría de la Contraloría General </w:t>
            </w:r>
          </w:p>
        </w:tc>
        <w:tc>
          <w:tcPr>
            <w:tcW w:w="850" w:type="dxa"/>
            <w:tcBorders>
              <w:top w:val="nil"/>
              <w:left w:val="nil"/>
              <w:bottom w:val="single" w:sz="4" w:space="0" w:color="auto"/>
              <w:right w:val="single" w:sz="4" w:space="0" w:color="auto"/>
            </w:tcBorders>
            <w:shd w:val="clear" w:color="000000" w:fill="BDD7EE"/>
            <w:noWrap/>
            <w:vAlign w:val="center"/>
            <w:hideMark/>
          </w:tcPr>
          <w:p w14:paraId="32E177B4" w14:textId="0C8D8239" w:rsidR="00116D85" w:rsidRPr="00B92499" w:rsidRDefault="00116D85" w:rsidP="00F218DB">
            <w:pPr>
              <w:jc w:val="center"/>
              <w:rPr>
                <w:rFonts w:ascii="Arial" w:hAnsi="Arial" w:cs="Arial"/>
                <w:color w:val="000000"/>
                <w:sz w:val="16"/>
                <w:szCs w:val="16"/>
              </w:rPr>
            </w:pPr>
            <w:r w:rsidRPr="00B92499">
              <w:rPr>
                <w:rFonts w:ascii="Arial" w:hAnsi="Arial" w:cs="Arial"/>
                <w:color w:val="000000"/>
                <w:sz w:val="16"/>
                <w:szCs w:val="16"/>
              </w:rPr>
              <w:t>100</w:t>
            </w:r>
          </w:p>
        </w:tc>
        <w:tc>
          <w:tcPr>
            <w:tcW w:w="850" w:type="dxa"/>
            <w:tcBorders>
              <w:top w:val="nil"/>
              <w:left w:val="nil"/>
              <w:bottom w:val="single" w:sz="4" w:space="0" w:color="auto"/>
              <w:right w:val="single" w:sz="4" w:space="0" w:color="auto"/>
            </w:tcBorders>
            <w:shd w:val="clear" w:color="000000" w:fill="D9D9D9"/>
            <w:noWrap/>
            <w:vAlign w:val="center"/>
            <w:hideMark/>
          </w:tcPr>
          <w:p w14:paraId="0EB9F0B6" w14:textId="2F9A43E8" w:rsidR="00116D85" w:rsidRPr="00B92499" w:rsidRDefault="00116D85" w:rsidP="00116D85">
            <w:pPr>
              <w:jc w:val="center"/>
              <w:rPr>
                <w:rFonts w:ascii="Arial" w:hAnsi="Arial" w:cs="Arial"/>
                <w:color w:val="000000"/>
                <w:sz w:val="16"/>
                <w:szCs w:val="16"/>
              </w:rPr>
            </w:pPr>
            <w:r w:rsidRPr="00B92499">
              <w:rPr>
                <w:rFonts w:ascii="Arial" w:hAnsi="Arial" w:cs="Arial"/>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center"/>
            <w:hideMark/>
          </w:tcPr>
          <w:p w14:paraId="0E543210" w14:textId="086C444A" w:rsidR="00116D85" w:rsidRPr="00B92499" w:rsidRDefault="00116D85" w:rsidP="00F218DB">
            <w:pPr>
              <w:jc w:val="center"/>
              <w:rPr>
                <w:rFonts w:ascii="Arial" w:hAnsi="Arial" w:cs="Arial"/>
                <w:color w:val="000000"/>
                <w:sz w:val="16"/>
                <w:szCs w:val="16"/>
              </w:rPr>
            </w:pPr>
            <w:r w:rsidRPr="00B92499">
              <w:rPr>
                <w:rFonts w:ascii="Arial" w:hAnsi="Arial" w:cs="Arial"/>
                <w:color w:val="000000"/>
                <w:sz w:val="16"/>
                <w:szCs w:val="16"/>
              </w:rPr>
              <w:t>100</w:t>
            </w:r>
          </w:p>
        </w:tc>
        <w:tc>
          <w:tcPr>
            <w:tcW w:w="850" w:type="dxa"/>
            <w:tcBorders>
              <w:top w:val="nil"/>
              <w:left w:val="nil"/>
              <w:bottom w:val="single" w:sz="4" w:space="0" w:color="auto"/>
              <w:right w:val="single" w:sz="4" w:space="0" w:color="auto"/>
            </w:tcBorders>
            <w:shd w:val="clear" w:color="000000" w:fill="BDD7EE"/>
            <w:noWrap/>
            <w:vAlign w:val="center"/>
            <w:hideMark/>
          </w:tcPr>
          <w:p w14:paraId="4F114F47" w14:textId="41D5B173" w:rsidR="00116D85" w:rsidRPr="00B92499" w:rsidRDefault="00116D85" w:rsidP="00F218DB">
            <w:pPr>
              <w:jc w:val="center"/>
              <w:rPr>
                <w:rFonts w:ascii="Arial" w:hAnsi="Arial" w:cs="Arial"/>
                <w:color w:val="000000"/>
                <w:sz w:val="16"/>
                <w:szCs w:val="16"/>
              </w:rPr>
            </w:pPr>
            <w:r w:rsidRPr="00B92499">
              <w:rPr>
                <w:rFonts w:ascii="Arial" w:hAnsi="Arial" w:cs="Arial"/>
                <w:color w:val="000000"/>
                <w:sz w:val="16"/>
                <w:szCs w:val="16"/>
              </w:rPr>
              <w:t>100</w:t>
            </w:r>
          </w:p>
        </w:tc>
        <w:tc>
          <w:tcPr>
            <w:tcW w:w="850" w:type="dxa"/>
            <w:tcBorders>
              <w:top w:val="nil"/>
              <w:left w:val="nil"/>
              <w:bottom w:val="single" w:sz="4" w:space="0" w:color="auto"/>
              <w:right w:val="single" w:sz="4" w:space="0" w:color="auto"/>
            </w:tcBorders>
            <w:shd w:val="clear" w:color="000000" w:fill="D9D9D9"/>
            <w:noWrap/>
            <w:vAlign w:val="center"/>
            <w:hideMark/>
          </w:tcPr>
          <w:p w14:paraId="661B2ADC" w14:textId="58E83DD6" w:rsidR="00116D85" w:rsidRPr="00B92499" w:rsidRDefault="00116D85" w:rsidP="00116D85">
            <w:pPr>
              <w:jc w:val="center"/>
              <w:rPr>
                <w:rFonts w:ascii="Arial" w:hAnsi="Arial" w:cs="Arial"/>
                <w:color w:val="000000"/>
                <w:sz w:val="16"/>
                <w:szCs w:val="16"/>
              </w:rPr>
            </w:pPr>
            <w:r w:rsidRPr="00B92499">
              <w:rPr>
                <w:rFonts w:ascii="Arial" w:hAnsi="Arial" w:cs="Arial"/>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center"/>
            <w:hideMark/>
          </w:tcPr>
          <w:p w14:paraId="3B48327B" w14:textId="0A73AEBD" w:rsidR="00116D85" w:rsidRPr="00B92499" w:rsidRDefault="00116D85" w:rsidP="00EF2D1E">
            <w:pPr>
              <w:jc w:val="center"/>
              <w:rPr>
                <w:rFonts w:ascii="Arial" w:hAnsi="Arial" w:cs="Arial"/>
                <w:color w:val="000000"/>
                <w:sz w:val="16"/>
                <w:szCs w:val="16"/>
              </w:rPr>
            </w:pPr>
            <w:r w:rsidRPr="00B92499">
              <w:rPr>
                <w:rFonts w:ascii="Arial" w:hAnsi="Arial" w:cs="Arial"/>
                <w:color w:val="000000"/>
                <w:sz w:val="16"/>
                <w:szCs w:val="16"/>
              </w:rPr>
              <w:t>100</w:t>
            </w:r>
          </w:p>
        </w:tc>
        <w:tc>
          <w:tcPr>
            <w:tcW w:w="850" w:type="dxa"/>
            <w:tcBorders>
              <w:top w:val="nil"/>
              <w:left w:val="nil"/>
              <w:bottom w:val="single" w:sz="4" w:space="0" w:color="auto"/>
              <w:right w:val="single" w:sz="4" w:space="0" w:color="auto"/>
            </w:tcBorders>
            <w:shd w:val="clear" w:color="000000" w:fill="BDD7EE"/>
            <w:noWrap/>
            <w:vAlign w:val="center"/>
            <w:hideMark/>
          </w:tcPr>
          <w:p w14:paraId="5BC57C7D" w14:textId="4DEB84A3" w:rsidR="00116D85" w:rsidRPr="00B92499" w:rsidRDefault="00116D85" w:rsidP="00F218DB">
            <w:pPr>
              <w:jc w:val="center"/>
              <w:rPr>
                <w:rFonts w:ascii="Arial" w:hAnsi="Arial" w:cs="Arial"/>
                <w:color w:val="000000"/>
                <w:sz w:val="16"/>
                <w:szCs w:val="16"/>
              </w:rPr>
            </w:pPr>
            <w:r w:rsidRPr="00B92499">
              <w:rPr>
                <w:rFonts w:ascii="Arial" w:hAnsi="Arial" w:cs="Arial"/>
                <w:color w:val="000000"/>
                <w:sz w:val="16"/>
                <w:szCs w:val="16"/>
              </w:rPr>
              <w:t>100</w:t>
            </w:r>
          </w:p>
        </w:tc>
        <w:tc>
          <w:tcPr>
            <w:tcW w:w="850" w:type="dxa"/>
            <w:tcBorders>
              <w:top w:val="nil"/>
              <w:left w:val="nil"/>
              <w:bottom w:val="single" w:sz="4" w:space="0" w:color="auto"/>
              <w:right w:val="single" w:sz="4" w:space="0" w:color="auto"/>
            </w:tcBorders>
            <w:shd w:val="clear" w:color="000000" w:fill="D9D9D9"/>
            <w:noWrap/>
            <w:vAlign w:val="center"/>
            <w:hideMark/>
          </w:tcPr>
          <w:p w14:paraId="42459F27" w14:textId="2B571209" w:rsidR="00116D85" w:rsidRPr="00B92499" w:rsidRDefault="00116D85" w:rsidP="00116D85">
            <w:pPr>
              <w:jc w:val="center"/>
              <w:rPr>
                <w:rFonts w:ascii="Arial" w:hAnsi="Arial" w:cs="Arial"/>
                <w:color w:val="000000"/>
                <w:sz w:val="16"/>
                <w:szCs w:val="16"/>
              </w:rPr>
            </w:pPr>
            <w:r w:rsidRPr="00B92499">
              <w:rPr>
                <w:rFonts w:ascii="Arial" w:hAnsi="Arial" w:cs="Arial"/>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center"/>
            <w:hideMark/>
          </w:tcPr>
          <w:p w14:paraId="03F7698C" w14:textId="4E869645" w:rsidR="00116D85" w:rsidRPr="00B92499" w:rsidRDefault="00116D85" w:rsidP="00F218DB">
            <w:pPr>
              <w:jc w:val="center"/>
              <w:rPr>
                <w:rFonts w:ascii="Arial" w:hAnsi="Arial" w:cs="Arial"/>
                <w:color w:val="000000"/>
                <w:sz w:val="16"/>
                <w:szCs w:val="16"/>
              </w:rPr>
            </w:pPr>
            <w:r w:rsidRPr="00B92499">
              <w:rPr>
                <w:rFonts w:ascii="Arial" w:hAnsi="Arial" w:cs="Arial"/>
                <w:color w:val="000000"/>
                <w:sz w:val="16"/>
                <w:szCs w:val="16"/>
              </w:rPr>
              <w:t>100</w:t>
            </w:r>
          </w:p>
        </w:tc>
      </w:tr>
      <w:tr w:rsidR="00116D85" w:rsidRPr="00B92499" w14:paraId="715486FE" w14:textId="77777777" w:rsidTr="00A972A3">
        <w:trPr>
          <w:trHeight w:val="680"/>
        </w:trPr>
        <w:tc>
          <w:tcPr>
            <w:tcW w:w="421" w:type="dxa"/>
            <w:tcBorders>
              <w:top w:val="nil"/>
              <w:left w:val="single" w:sz="4" w:space="0" w:color="auto"/>
              <w:bottom w:val="single" w:sz="4" w:space="0" w:color="auto"/>
              <w:right w:val="single" w:sz="4" w:space="0" w:color="auto"/>
            </w:tcBorders>
            <w:shd w:val="clear" w:color="000000" w:fill="FFFFFF"/>
            <w:vAlign w:val="center"/>
            <w:hideMark/>
          </w:tcPr>
          <w:p w14:paraId="12EA9C2D" w14:textId="52B6BA70" w:rsidR="00116D85" w:rsidRPr="00B92499" w:rsidRDefault="00116D85" w:rsidP="00116D85">
            <w:pPr>
              <w:jc w:val="center"/>
              <w:rPr>
                <w:rFonts w:ascii="Arial" w:hAnsi="Arial" w:cs="Arial"/>
                <w:color w:val="000000"/>
                <w:sz w:val="16"/>
                <w:szCs w:val="16"/>
              </w:rPr>
            </w:pPr>
            <w:r w:rsidRPr="00B92499">
              <w:rPr>
                <w:rFonts w:ascii="Arial" w:hAnsi="Arial" w:cs="Arial"/>
                <w:color w:val="000000"/>
                <w:sz w:val="16"/>
                <w:szCs w:val="16"/>
              </w:rPr>
              <w:t>3</w:t>
            </w:r>
          </w:p>
        </w:tc>
        <w:tc>
          <w:tcPr>
            <w:tcW w:w="1304" w:type="dxa"/>
            <w:tcBorders>
              <w:top w:val="nil"/>
              <w:left w:val="nil"/>
              <w:bottom w:val="single" w:sz="4" w:space="0" w:color="auto"/>
              <w:right w:val="single" w:sz="4" w:space="0" w:color="auto"/>
            </w:tcBorders>
            <w:shd w:val="clear" w:color="000000" w:fill="FFFFFF"/>
            <w:vAlign w:val="center"/>
            <w:hideMark/>
          </w:tcPr>
          <w:p w14:paraId="4D76259E" w14:textId="78C69BB4" w:rsidR="00116D85" w:rsidRPr="00B92499" w:rsidRDefault="00116D85" w:rsidP="00116D85">
            <w:pPr>
              <w:rPr>
                <w:rFonts w:ascii="Arial" w:hAnsi="Arial" w:cs="Arial"/>
                <w:color w:val="000000"/>
                <w:sz w:val="16"/>
                <w:szCs w:val="16"/>
              </w:rPr>
            </w:pPr>
            <w:r w:rsidRPr="00B92499">
              <w:rPr>
                <w:rFonts w:ascii="Arial" w:hAnsi="Arial" w:cs="Arial"/>
                <w:color w:val="000000"/>
                <w:sz w:val="16"/>
                <w:szCs w:val="16"/>
              </w:rPr>
              <w:t>Secretaría de Seguridad Ciudadana</w:t>
            </w:r>
          </w:p>
        </w:tc>
        <w:tc>
          <w:tcPr>
            <w:tcW w:w="850" w:type="dxa"/>
            <w:tcBorders>
              <w:top w:val="nil"/>
              <w:left w:val="nil"/>
              <w:bottom w:val="single" w:sz="4" w:space="0" w:color="auto"/>
              <w:right w:val="single" w:sz="4" w:space="0" w:color="auto"/>
            </w:tcBorders>
            <w:shd w:val="clear" w:color="000000" w:fill="BDD7EE"/>
            <w:noWrap/>
            <w:vAlign w:val="center"/>
            <w:hideMark/>
          </w:tcPr>
          <w:p w14:paraId="488DEBE0" w14:textId="2BC988F8" w:rsidR="00116D85" w:rsidRPr="00B92499" w:rsidRDefault="00116D85" w:rsidP="00F218DB">
            <w:pPr>
              <w:jc w:val="center"/>
              <w:rPr>
                <w:rFonts w:ascii="Arial" w:hAnsi="Arial" w:cs="Arial"/>
                <w:color w:val="000000"/>
                <w:sz w:val="16"/>
                <w:szCs w:val="16"/>
              </w:rPr>
            </w:pPr>
            <w:r w:rsidRPr="00B92499">
              <w:rPr>
                <w:rFonts w:ascii="Arial" w:hAnsi="Arial" w:cs="Arial"/>
                <w:color w:val="000000"/>
                <w:sz w:val="16"/>
                <w:szCs w:val="16"/>
              </w:rPr>
              <w:t>100</w:t>
            </w:r>
          </w:p>
        </w:tc>
        <w:tc>
          <w:tcPr>
            <w:tcW w:w="850" w:type="dxa"/>
            <w:tcBorders>
              <w:top w:val="nil"/>
              <w:left w:val="nil"/>
              <w:bottom w:val="single" w:sz="4" w:space="0" w:color="auto"/>
              <w:right w:val="single" w:sz="4" w:space="0" w:color="auto"/>
            </w:tcBorders>
            <w:shd w:val="clear" w:color="000000" w:fill="D9D9D9"/>
            <w:noWrap/>
            <w:vAlign w:val="center"/>
            <w:hideMark/>
          </w:tcPr>
          <w:p w14:paraId="079EC32D" w14:textId="1CEF62D0" w:rsidR="00116D85" w:rsidRPr="00B92499" w:rsidRDefault="00116D85" w:rsidP="00116D85">
            <w:pPr>
              <w:jc w:val="center"/>
              <w:rPr>
                <w:rFonts w:ascii="Arial" w:hAnsi="Arial" w:cs="Arial"/>
                <w:color w:val="000000"/>
                <w:sz w:val="16"/>
                <w:szCs w:val="16"/>
              </w:rPr>
            </w:pPr>
            <w:r w:rsidRPr="00B92499">
              <w:rPr>
                <w:rFonts w:ascii="Arial" w:hAnsi="Arial" w:cs="Arial"/>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center"/>
            <w:hideMark/>
          </w:tcPr>
          <w:p w14:paraId="70B23DCE" w14:textId="3C847A03" w:rsidR="00116D85" w:rsidRPr="00B92499" w:rsidRDefault="00116D85" w:rsidP="00F218DB">
            <w:pPr>
              <w:jc w:val="center"/>
              <w:rPr>
                <w:rFonts w:ascii="Arial" w:hAnsi="Arial" w:cs="Arial"/>
                <w:color w:val="000000"/>
                <w:sz w:val="16"/>
                <w:szCs w:val="16"/>
              </w:rPr>
            </w:pPr>
            <w:r w:rsidRPr="00B92499">
              <w:rPr>
                <w:rFonts w:ascii="Arial" w:hAnsi="Arial" w:cs="Arial"/>
                <w:color w:val="000000"/>
                <w:sz w:val="16"/>
                <w:szCs w:val="16"/>
              </w:rPr>
              <w:t>100</w:t>
            </w:r>
          </w:p>
        </w:tc>
        <w:tc>
          <w:tcPr>
            <w:tcW w:w="850" w:type="dxa"/>
            <w:tcBorders>
              <w:top w:val="nil"/>
              <w:left w:val="nil"/>
              <w:bottom w:val="single" w:sz="4" w:space="0" w:color="auto"/>
              <w:right w:val="single" w:sz="4" w:space="0" w:color="auto"/>
            </w:tcBorders>
            <w:shd w:val="clear" w:color="000000" w:fill="BDD7EE"/>
            <w:noWrap/>
            <w:vAlign w:val="center"/>
            <w:hideMark/>
          </w:tcPr>
          <w:p w14:paraId="00FA0B57" w14:textId="4149A898" w:rsidR="00116D85" w:rsidRPr="00B92499" w:rsidRDefault="00116D85" w:rsidP="00F218DB">
            <w:pPr>
              <w:jc w:val="center"/>
              <w:rPr>
                <w:rFonts w:ascii="Arial" w:hAnsi="Arial" w:cs="Arial"/>
                <w:color w:val="000000"/>
                <w:sz w:val="16"/>
                <w:szCs w:val="16"/>
              </w:rPr>
            </w:pPr>
            <w:r w:rsidRPr="00B92499">
              <w:rPr>
                <w:rFonts w:ascii="Arial" w:hAnsi="Arial" w:cs="Arial"/>
                <w:color w:val="000000"/>
                <w:sz w:val="16"/>
                <w:szCs w:val="16"/>
              </w:rPr>
              <w:t>100</w:t>
            </w:r>
          </w:p>
        </w:tc>
        <w:tc>
          <w:tcPr>
            <w:tcW w:w="850" w:type="dxa"/>
            <w:tcBorders>
              <w:top w:val="nil"/>
              <w:left w:val="nil"/>
              <w:bottom w:val="single" w:sz="4" w:space="0" w:color="auto"/>
              <w:right w:val="single" w:sz="4" w:space="0" w:color="auto"/>
            </w:tcBorders>
            <w:shd w:val="clear" w:color="000000" w:fill="D9D9D9"/>
            <w:noWrap/>
            <w:vAlign w:val="center"/>
            <w:hideMark/>
          </w:tcPr>
          <w:p w14:paraId="1391B3B1" w14:textId="3005A919" w:rsidR="00116D85" w:rsidRPr="00B92499" w:rsidRDefault="00116D85" w:rsidP="00116D85">
            <w:pPr>
              <w:jc w:val="center"/>
              <w:rPr>
                <w:rFonts w:ascii="Arial" w:hAnsi="Arial" w:cs="Arial"/>
                <w:color w:val="000000"/>
                <w:sz w:val="16"/>
                <w:szCs w:val="16"/>
              </w:rPr>
            </w:pPr>
            <w:r w:rsidRPr="00B92499">
              <w:rPr>
                <w:rFonts w:ascii="Arial" w:hAnsi="Arial" w:cs="Arial"/>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center"/>
            <w:hideMark/>
          </w:tcPr>
          <w:p w14:paraId="57A751C9" w14:textId="30BA8A5B" w:rsidR="00116D85" w:rsidRPr="00B92499" w:rsidRDefault="00116D85" w:rsidP="00F218DB">
            <w:pPr>
              <w:jc w:val="center"/>
              <w:rPr>
                <w:rFonts w:ascii="Arial" w:hAnsi="Arial" w:cs="Arial"/>
                <w:color w:val="000000"/>
                <w:sz w:val="16"/>
                <w:szCs w:val="16"/>
              </w:rPr>
            </w:pPr>
            <w:r w:rsidRPr="00B92499">
              <w:rPr>
                <w:rFonts w:ascii="Arial" w:hAnsi="Arial" w:cs="Arial"/>
                <w:color w:val="000000"/>
                <w:sz w:val="16"/>
                <w:szCs w:val="16"/>
              </w:rPr>
              <w:t>100</w:t>
            </w:r>
          </w:p>
        </w:tc>
        <w:tc>
          <w:tcPr>
            <w:tcW w:w="850" w:type="dxa"/>
            <w:tcBorders>
              <w:top w:val="nil"/>
              <w:left w:val="nil"/>
              <w:bottom w:val="single" w:sz="4" w:space="0" w:color="auto"/>
              <w:right w:val="single" w:sz="4" w:space="0" w:color="auto"/>
            </w:tcBorders>
            <w:shd w:val="clear" w:color="000000" w:fill="BDD7EE"/>
            <w:noWrap/>
            <w:vAlign w:val="center"/>
            <w:hideMark/>
          </w:tcPr>
          <w:p w14:paraId="48F9721C" w14:textId="7F5A7FF3" w:rsidR="00116D85" w:rsidRPr="00B92499" w:rsidRDefault="00116D85" w:rsidP="00F218DB">
            <w:pPr>
              <w:jc w:val="center"/>
              <w:rPr>
                <w:rFonts w:ascii="Arial" w:hAnsi="Arial" w:cs="Arial"/>
                <w:color w:val="000000"/>
                <w:sz w:val="16"/>
                <w:szCs w:val="16"/>
              </w:rPr>
            </w:pPr>
            <w:r w:rsidRPr="00B92499">
              <w:rPr>
                <w:rFonts w:ascii="Arial" w:hAnsi="Arial" w:cs="Arial"/>
                <w:color w:val="000000"/>
                <w:sz w:val="16"/>
                <w:szCs w:val="16"/>
              </w:rPr>
              <w:t>100</w:t>
            </w:r>
          </w:p>
        </w:tc>
        <w:tc>
          <w:tcPr>
            <w:tcW w:w="850" w:type="dxa"/>
            <w:tcBorders>
              <w:top w:val="nil"/>
              <w:left w:val="nil"/>
              <w:bottom w:val="single" w:sz="4" w:space="0" w:color="auto"/>
              <w:right w:val="single" w:sz="4" w:space="0" w:color="auto"/>
            </w:tcBorders>
            <w:shd w:val="clear" w:color="000000" w:fill="D9D9D9"/>
            <w:noWrap/>
            <w:vAlign w:val="center"/>
            <w:hideMark/>
          </w:tcPr>
          <w:p w14:paraId="249B757D" w14:textId="2449650D" w:rsidR="00116D85" w:rsidRPr="00B92499" w:rsidRDefault="00116D85" w:rsidP="00116D85">
            <w:pPr>
              <w:jc w:val="center"/>
              <w:rPr>
                <w:rFonts w:ascii="Arial" w:hAnsi="Arial" w:cs="Arial"/>
                <w:color w:val="000000"/>
                <w:sz w:val="16"/>
                <w:szCs w:val="16"/>
              </w:rPr>
            </w:pPr>
            <w:r w:rsidRPr="00B92499">
              <w:rPr>
                <w:rFonts w:ascii="Arial" w:hAnsi="Arial" w:cs="Arial"/>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center"/>
            <w:hideMark/>
          </w:tcPr>
          <w:p w14:paraId="7AF703AA" w14:textId="5ED1C68A" w:rsidR="00116D85" w:rsidRPr="00B92499" w:rsidRDefault="00116D85" w:rsidP="00F218DB">
            <w:pPr>
              <w:jc w:val="center"/>
              <w:rPr>
                <w:rFonts w:ascii="Arial" w:hAnsi="Arial" w:cs="Arial"/>
                <w:color w:val="000000"/>
                <w:sz w:val="16"/>
                <w:szCs w:val="16"/>
              </w:rPr>
            </w:pPr>
            <w:r w:rsidRPr="00B92499">
              <w:rPr>
                <w:rFonts w:ascii="Arial" w:hAnsi="Arial" w:cs="Arial"/>
                <w:color w:val="000000"/>
                <w:sz w:val="16"/>
                <w:szCs w:val="16"/>
              </w:rPr>
              <w:t>100</w:t>
            </w:r>
          </w:p>
        </w:tc>
      </w:tr>
      <w:tr w:rsidR="00116D85" w:rsidRPr="00B92499" w14:paraId="0C3335F2" w14:textId="77777777" w:rsidTr="00A972A3">
        <w:trPr>
          <w:trHeight w:val="680"/>
        </w:trPr>
        <w:tc>
          <w:tcPr>
            <w:tcW w:w="421" w:type="dxa"/>
            <w:tcBorders>
              <w:top w:val="nil"/>
              <w:left w:val="single" w:sz="4" w:space="0" w:color="auto"/>
              <w:bottom w:val="single" w:sz="4" w:space="0" w:color="auto"/>
              <w:right w:val="single" w:sz="4" w:space="0" w:color="auto"/>
            </w:tcBorders>
            <w:shd w:val="clear" w:color="000000" w:fill="FFFFFF"/>
            <w:vAlign w:val="center"/>
            <w:hideMark/>
          </w:tcPr>
          <w:p w14:paraId="52CBB063" w14:textId="3A1C7B78" w:rsidR="00116D85" w:rsidRPr="00B92499" w:rsidRDefault="00116D85" w:rsidP="00116D85">
            <w:pPr>
              <w:jc w:val="center"/>
              <w:rPr>
                <w:rFonts w:ascii="Arial" w:hAnsi="Arial" w:cs="Arial"/>
                <w:color w:val="000000"/>
                <w:sz w:val="16"/>
                <w:szCs w:val="16"/>
              </w:rPr>
            </w:pPr>
            <w:r w:rsidRPr="00B92499">
              <w:rPr>
                <w:rFonts w:ascii="Arial" w:hAnsi="Arial" w:cs="Arial"/>
                <w:color w:val="000000"/>
                <w:sz w:val="16"/>
                <w:szCs w:val="16"/>
              </w:rPr>
              <w:t>4</w:t>
            </w:r>
          </w:p>
        </w:tc>
        <w:tc>
          <w:tcPr>
            <w:tcW w:w="1304" w:type="dxa"/>
            <w:tcBorders>
              <w:top w:val="nil"/>
              <w:left w:val="nil"/>
              <w:bottom w:val="single" w:sz="4" w:space="0" w:color="auto"/>
              <w:right w:val="single" w:sz="4" w:space="0" w:color="auto"/>
            </w:tcBorders>
            <w:shd w:val="clear" w:color="000000" w:fill="FFFFFF"/>
            <w:vAlign w:val="center"/>
            <w:hideMark/>
          </w:tcPr>
          <w:p w14:paraId="6B3AB861" w14:textId="7303C00C" w:rsidR="00116D85" w:rsidRPr="00B92499" w:rsidRDefault="00116D85" w:rsidP="00116D85">
            <w:pPr>
              <w:rPr>
                <w:rFonts w:ascii="Arial" w:hAnsi="Arial" w:cs="Arial"/>
                <w:color w:val="000000"/>
                <w:sz w:val="16"/>
                <w:szCs w:val="16"/>
              </w:rPr>
            </w:pPr>
            <w:r w:rsidRPr="00B92499">
              <w:rPr>
                <w:rFonts w:ascii="Arial" w:hAnsi="Arial" w:cs="Arial"/>
                <w:color w:val="000000"/>
                <w:sz w:val="16"/>
                <w:szCs w:val="16"/>
              </w:rPr>
              <w:t>Secretaría de Inclusión y Bienestar Social</w:t>
            </w:r>
          </w:p>
        </w:tc>
        <w:tc>
          <w:tcPr>
            <w:tcW w:w="850" w:type="dxa"/>
            <w:tcBorders>
              <w:top w:val="nil"/>
              <w:left w:val="nil"/>
              <w:bottom w:val="single" w:sz="4" w:space="0" w:color="auto"/>
              <w:right w:val="single" w:sz="4" w:space="0" w:color="auto"/>
            </w:tcBorders>
            <w:shd w:val="clear" w:color="000000" w:fill="BDD7EE"/>
            <w:noWrap/>
            <w:vAlign w:val="center"/>
            <w:hideMark/>
          </w:tcPr>
          <w:p w14:paraId="46C04917" w14:textId="744E4420" w:rsidR="00116D85" w:rsidRPr="00B92499" w:rsidRDefault="00116D85" w:rsidP="00116D85">
            <w:pPr>
              <w:jc w:val="center"/>
              <w:rPr>
                <w:rFonts w:ascii="Arial" w:hAnsi="Arial" w:cs="Arial"/>
                <w:color w:val="000000"/>
                <w:sz w:val="16"/>
                <w:szCs w:val="16"/>
              </w:rPr>
            </w:pPr>
            <w:r w:rsidRPr="00B92499">
              <w:rPr>
                <w:rFonts w:ascii="Arial" w:hAnsi="Arial" w:cs="Arial"/>
                <w:color w:val="000000"/>
                <w:sz w:val="16"/>
                <w:szCs w:val="16"/>
              </w:rPr>
              <w:t>96.92</w:t>
            </w:r>
          </w:p>
        </w:tc>
        <w:tc>
          <w:tcPr>
            <w:tcW w:w="850" w:type="dxa"/>
            <w:tcBorders>
              <w:top w:val="nil"/>
              <w:left w:val="nil"/>
              <w:bottom w:val="single" w:sz="4" w:space="0" w:color="auto"/>
              <w:right w:val="single" w:sz="4" w:space="0" w:color="auto"/>
            </w:tcBorders>
            <w:shd w:val="clear" w:color="000000" w:fill="D9D9D9"/>
            <w:noWrap/>
            <w:vAlign w:val="center"/>
            <w:hideMark/>
          </w:tcPr>
          <w:p w14:paraId="59C0C7E7" w14:textId="69CBC101" w:rsidR="00116D85" w:rsidRPr="00B92499" w:rsidRDefault="00116D85" w:rsidP="00116D85">
            <w:pPr>
              <w:jc w:val="center"/>
              <w:rPr>
                <w:rFonts w:ascii="Arial" w:hAnsi="Arial" w:cs="Arial"/>
                <w:color w:val="000000"/>
                <w:sz w:val="16"/>
                <w:szCs w:val="16"/>
              </w:rPr>
            </w:pPr>
            <w:r w:rsidRPr="00B92499">
              <w:rPr>
                <w:rFonts w:ascii="Arial" w:hAnsi="Arial" w:cs="Arial"/>
                <w:color w:val="000000"/>
                <w:sz w:val="16"/>
                <w:szCs w:val="16"/>
              </w:rPr>
              <w:t>3.08</w:t>
            </w:r>
          </w:p>
        </w:tc>
        <w:tc>
          <w:tcPr>
            <w:tcW w:w="850" w:type="dxa"/>
            <w:tcBorders>
              <w:top w:val="nil"/>
              <w:left w:val="nil"/>
              <w:bottom w:val="single" w:sz="4" w:space="0" w:color="auto"/>
              <w:right w:val="single" w:sz="4" w:space="0" w:color="auto"/>
            </w:tcBorders>
            <w:shd w:val="clear" w:color="auto" w:fill="auto"/>
            <w:noWrap/>
            <w:vAlign w:val="center"/>
            <w:hideMark/>
          </w:tcPr>
          <w:p w14:paraId="53C1CCDF" w14:textId="34F61900" w:rsidR="00116D85" w:rsidRPr="00B92499" w:rsidRDefault="00116D85" w:rsidP="00F218DB">
            <w:pPr>
              <w:jc w:val="center"/>
              <w:rPr>
                <w:rFonts w:ascii="Arial" w:hAnsi="Arial" w:cs="Arial"/>
                <w:color w:val="000000"/>
                <w:sz w:val="16"/>
                <w:szCs w:val="16"/>
              </w:rPr>
            </w:pPr>
            <w:r w:rsidRPr="00B92499">
              <w:rPr>
                <w:rFonts w:ascii="Arial" w:hAnsi="Arial" w:cs="Arial"/>
                <w:color w:val="000000"/>
                <w:sz w:val="16"/>
                <w:szCs w:val="16"/>
              </w:rPr>
              <w:t>100</w:t>
            </w:r>
          </w:p>
        </w:tc>
        <w:tc>
          <w:tcPr>
            <w:tcW w:w="850" w:type="dxa"/>
            <w:tcBorders>
              <w:top w:val="nil"/>
              <w:left w:val="nil"/>
              <w:bottom w:val="single" w:sz="4" w:space="0" w:color="auto"/>
              <w:right w:val="single" w:sz="4" w:space="0" w:color="auto"/>
            </w:tcBorders>
            <w:shd w:val="clear" w:color="000000" w:fill="BDD7EE"/>
            <w:noWrap/>
            <w:vAlign w:val="center"/>
            <w:hideMark/>
          </w:tcPr>
          <w:p w14:paraId="4CDD6CB0" w14:textId="57108115" w:rsidR="00116D85" w:rsidRPr="00B92499" w:rsidRDefault="00116D85" w:rsidP="00116D85">
            <w:pPr>
              <w:jc w:val="center"/>
              <w:rPr>
                <w:rFonts w:ascii="Arial" w:hAnsi="Arial" w:cs="Arial"/>
                <w:color w:val="000000"/>
                <w:sz w:val="16"/>
                <w:szCs w:val="16"/>
              </w:rPr>
            </w:pPr>
            <w:r w:rsidRPr="00B92499">
              <w:rPr>
                <w:rFonts w:ascii="Arial" w:hAnsi="Arial" w:cs="Arial"/>
                <w:color w:val="000000"/>
                <w:sz w:val="16"/>
                <w:szCs w:val="16"/>
              </w:rPr>
              <w:t>98.07</w:t>
            </w:r>
          </w:p>
        </w:tc>
        <w:tc>
          <w:tcPr>
            <w:tcW w:w="850" w:type="dxa"/>
            <w:tcBorders>
              <w:top w:val="nil"/>
              <w:left w:val="nil"/>
              <w:bottom w:val="single" w:sz="4" w:space="0" w:color="auto"/>
              <w:right w:val="single" w:sz="4" w:space="0" w:color="auto"/>
            </w:tcBorders>
            <w:shd w:val="clear" w:color="000000" w:fill="D9D9D9"/>
            <w:noWrap/>
            <w:vAlign w:val="center"/>
            <w:hideMark/>
          </w:tcPr>
          <w:p w14:paraId="659F886F" w14:textId="18F2452B" w:rsidR="00116D85" w:rsidRPr="00B92499" w:rsidRDefault="00116D85" w:rsidP="00116D85">
            <w:pPr>
              <w:jc w:val="center"/>
              <w:rPr>
                <w:rFonts w:ascii="Arial" w:hAnsi="Arial" w:cs="Arial"/>
                <w:color w:val="000000"/>
                <w:sz w:val="16"/>
                <w:szCs w:val="16"/>
              </w:rPr>
            </w:pPr>
            <w:r w:rsidRPr="00B92499">
              <w:rPr>
                <w:rFonts w:ascii="Arial" w:hAnsi="Arial" w:cs="Arial"/>
                <w:color w:val="000000"/>
                <w:sz w:val="16"/>
                <w:szCs w:val="16"/>
              </w:rPr>
              <w:t>1.93</w:t>
            </w:r>
          </w:p>
        </w:tc>
        <w:tc>
          <w:tcPr>
            <w:tcW w:w="850" w:type="dxa"/>
            <w:tcBorders>
              <w:top w:val="nil"/>
              <w:left w:val="nil"/>
              <w:bottom w:val="single" w:sz="4" w:space="0" w:color="auto"/>
              <w:right w:val="single" w:sz="4" w:space="0" w:color="auto"/>
            </w:tcBorders>
            <w:shd w:val="clear" w:color="auto" w:fill="auto"/>
            <w:noWrap/>
            <w:vAlign w:val="center"/>
            <w:hideMark/>
          </w:tcPr>
          <w:p w14:paraId="3441E4C4" w14:textId="6029ED90" w:rsidR="00116D85" w:rsidRPr="00B92499" w:rsidRDefault="00116D85" w:rsidP="00F218DB">
            <w:pPr>
              <w:jc w:val="center"/>
              <w:rPr>
                <w:rFonts w:ascii="Arial" w:hAnsi="Arial" w:cs="Arial"/>
                <w:color w:val="000000"/>
                <w:sz w:val="16"/>
                <w:szCs w:val="16"/>
              </w:rPr>
            </w:pPr>
            <w:r w:rsidRPr="00B92499">
              <w:rPr>
                <w:rFonts w:ascii="Arial" w:hAnsi="Arial" w:cs="Arial"/>
                <w:color w:val="000000"/>
                <w:sz w:val="16"/>
                <w:szCs w:val="16"/>
              </w:rPr>
              <w:t>100</w:t>
            </w:r>
          </w:p>
        </w:tc>
        <w:tc>
          <w:tcPr>
            <w:tcW w:w="850" w:type="dxa"/>
            <w:tcBorders>
              <w:top w:val="nil"/>
              <w:left w:val="nil"/>
              <w:bottom w:val="single" w:sz="4" w:space="0" w:color="auto"/>
              <w:right w:val="single" w:sz="4" w:space="0" w:color="auto"/>
            </w:tcBorders>
            <w:shd w:val="clear" w:color="000000" w:fill="BDD7EE"/>
            <w:noWrap/>
            <w:vAlign w:val="center"/>
            <w:hideMark/>
          </w:tcPr>
          <w:p w14:paraId="5EF1EFE5" w14:textId="300424B5" w:rsidR="00116D85" w:rsidRPr="00B92499" w:rsidRDefault="00116D85" w:rsidP="00116D85">
            <w:pPr>
              <w:jc w:val="center"/>
              <w:rPr>
                <w:rFonts w:ascii="Arial" w:hAnsi="Arial" w:cs="Arial"/>
                <w:color w:val="000000"/>
                <w:sz w:val="16"/>
                <w:szCs w:val="16"/>
              </w:rPr>
            </w:pPr>
            <w:r w:rsidRPr="00B92499">
              <w:rPr>
                <w:rFonts w:ascii="Arial" w:hAnsi="Arial" w:cs="Arial"/>
                <w:color w:val="000000"/>
                <w:sz w:val="16"/>
                <w:szCs w:val="16"/>
              </w:rPr>
              <w:t>97.49</w:t>
            </w:r>
          </w:p>
        </w:tc>
        <w:tc>
          <w:tcPr>
            <w:tcW w:w="850" w:type="dxa"/>
            <w:tcBorders>
              <w:top w:val="nil"/>
              <w:left w:val="nil"/>
              <w:bottom w:val="single" w:sz="4" w:space="0" w:color="auto"/>
              <w:right w:val="single" w:sz="4" w:space="0" w:color="auto"/>
            </w:tcBorders>
            <w:shd w:val="clear" w:color="000000" w:fill="D9D9D9"/>
            <w:noWrap/>
            <w:vAlign w:val="center"/>
            <w:hideMark/>
          </w:tcPr>
          <w:p w14:paraId="028D02FB" w14:textId="03AD2654" w:rsidR="00116D85" w:rsidRPr="00B92499" w:rsidRDefault="00116D85" w:rsidP="00116D85">
            <w:pPr>
              <w:jc w:val="center"/>
              <w:rPr>
                <w:rFonts w:ascii="Arial" w:hAnsi="Arial" w:cs="Arial"/>
                <w:color w:val="000000"/>
                <w:sz w:val="16"/>
                <w:szCs w:val="16"/>
              </w:rPr>
            </w:pPr>
            <w:r w:rsidRPr="00B92499">
              <w:rPr>
                <w:rFonts w:ascii="Arial" w:hAnsi="Arial" w:cs="Arial"/>
                <w:color w:val="000000"/>
                <w:sz w:val="16"/>
                <w:szCs w:val="16"/>
              </w:rPr>
              <w:t>2.51</w:t>
            </w:r>
          </w:p>
        </w:tc>
        <w:tc>
          <w:tcPr>
            <w:tcW w:w="850" w:type="dxa"/>
            <w:tcBorders>
              <w:top w:val="nil"/>
              <w:left w:val="nil"/>
              <w:bottom w:val="single" w:sz="4" w:space="0" w:color="auto"/>
              <w:right w:val="single" w:sz="4" w:space="0" w:color="auto"/>
            </w:tcBorders>
            <w:shd w:val="clear" w:color="auto" w:fill="auto"/>
            <w:noWrap/>
            <w:vAlign w:val="center"/>
            <w:hideMark/>
          </w:tcPr>
          <w:p w14:paraId="76B8020A" w14:textId="438BA1FA" w:rsidR="00116D85" w:rsidRPr="00B92499" w:rsidRDefault="00116D85" w:rsidP="00F218DB">
            <w:pPr>
              <w:jc w:val="center"/>
              <w:rPr>
                <w:rFonts w:ascii="Arial" w:hAnsi="Arial" w:cs="Arial"/>
                <w:color w:val="000000"/>
                <w:sz w:val="16"/>
                <w:szCs w:val="16"/>
              </w:rPr>
            </w:pPr>
            <w:r w:rsidRPr="00B92499">
              <w:rPr>
                <w:rFonts w:ascii="Arial" w:hAnsi="Arial" w:cs="Arial"/>
                <w:color w:val="000000"/>
                <w:sz w:val="16"/>
                <w:szCs w:val="16"/>
              </w:rPr>
              <w:t>100</w:t>
            </w:r>
          </w:p>
        </w:tc>
      </w:tr>
      <w:tr w:rsidR="00116D85" w:rsidRPr="00B92499" w14:paraId="4E2A1E49" w14:textId="77777777" w:rsidTr="00A972A3">
        <w:trPr>
          <w:trHeight w:val="680"/>
        </w:trPr>
        <w:tc>
          <w:tcPr>
            <w:tcW w:w="421" w:type="dxa"/>
            <w:tcBorders>
              <w:top w:val="nil"/>
              <w:left w:val="single" w:sz="4" w:space="0" w:color="auto"/>
              <w:bottom w:val="single" w:sz="4" w:space="0" w:color="auto"/>
              <w:right w:val="single" w:sz="4" w:space="0" w:color="auto"/>
            </w:tcBorders>
            <w:shd w:val="clear" w:color="000000" w:fill="FFFFFF"/>
            <w:vAlign w:val="center"/>
            <w:hideMark/>
          </w:tcPr>
          <w:p w14:paraId="23A93625" w14:textId="2C83DF82" w:rsidR="00116D85" w:rsidRPr="00B92499" w:rsidRDefault="00116D85" w:rsidP="00116D85">
            <w:pPr>
              <w:jc w:val="center"/>
              <w:rPr>
                <w:rFonts w:ascii="Arial" w:hAnsi="Arial" w:cs="Arial"/>
                <w:color w:val="000000"/>
                <w:sz w:val="16"/>
                <w:szCs w:val="16"/>
              </w:rPr>
            </w:pPr>
            <w:r w:rsidRPr="00B92499">
              <w:rPr>
                <w:rFonts w:ascii="Arial" w:hAnsi="Arial" w:cs="Arial"/>
                <w:color w:val="000000"/>
                <w:sz w:val="16"/>
                <w:szCs w:val="16"/>
              </w:rPr>
              <w:t>5</w:t>
            </w:r>
          </w:p>
        </w:tc>
        <w:tc>
          <w:tcPr>
            <w:tcW w:w="1304" w:type="dxa"/>
            <w:tcBorders>
              <w:top w:val="nil"/>
              <w:left w:val="nil"/>
              <w:bottom w:val="single" w:sz="4" w:space="0" w:color="auto"/>
              <w:right w:val="single" w:sz="4" w:space="0" w:color="auto"/>
            </w:tcBorders>
            <w:shd w:val="clear" w:color="000000" w:fill="FFFFFF"/>
            <w:vAlign w:val="center"/>
            <w:hideMark/>
          </w:tcPr>
          <w:p w14:paraId="2D8EE9E2" w14:textId="6F8B7906" w:rsidR="00116D85" w:rsidRPr="00B92499" w:rsidRDefault="00116D85" w:rsidP="00116D85">
            <w:pPr>
              <w:rPr>
                <w:rFonts w:ascii="Arial" w:hAnsi="Arial" w:cs="Arial"/>
                <w:color w:val="000000"/>
                <w:sz w:val="16"/>
                <w:szCs w:val="16"/>
              </w:rPr>
            </w:pPr>
            <w:r w:rsidRPr="00B92499">
              <w:rPr>
                <w:rFonts w:ascii="Arial" w:hAnsi="Arial" w:cs="Arial"/>
                <w:color w:val="000000"/>
                <w:sz w:val="16"/>
                <w:szCs w:val="16"/>
              </w:rPr>
              <w:t>Secretaría de Educación, Ciencia, Tecnología e Innovación</w:t>
            </w:r>
          </w:p>
        </w:tc>
        <w:tc>
          <w:tcPr>
            <w:tcW w:w="850" w:type="dxa"/>
            <w:tcBorders>
              <w:top w:val="nil"/>
              <w:left w:val="nil"/>
              <w:bottom w:val="single" w:sz="4" w:space="0" w:color="auto"/>
              <w:right w:val="single" w:sz="4" w:space="0" w:color="auto"/>
            </w:tcBorders>
            <w:shd w:val="clear" w:color="000000" w:fill="BDD7EE"/>
            <w:noWrap/>
            <w:vAlign w:val="center"/>
            <w:hideMark/>
          </w:tcPr>
          <w:p w14:paraId="5EAF3EAB" w14:textId="4E9404DB" w:rsidR="00116D85" w:rsidRPr="00B92499" w:rsidRDefault="00116D85" w:rsidP="00116D85">
            <w:pPr>
              <w:jc w:val="center"/>
              <w:rPr>
                <w:rFonts w:ascii="Arial" w:hAnsi="Arial" w:cs="Arial"/>
                <w:color w:val="000000"/>
                <w:sz w:val="16"/>
                <w:szCs w:val="16"/>
              </w:rPr>
            </w:pPr>
            <w:r w:rsidRPr="00B92499">
              <w:rPr>
                <w:rFonts w:ascii="Arial" w:hAnsi="Arial" w:cs="Arial"/>
                <w:color w:val="000000"/>
                <w:sz w:val="16"/>
                <w:szCs w:val="16"/>
              </w:rPr>
              <w:t>97.44</w:t>
            </w:r>
          </w:p>
        </w:tc>
        <w:tc>
          <w:tcPr>
            <w:tcW w:w="850" w:type="dxa"/>
            <w:tcBorders>
              <w:top w:val="nil"/>
              <w:left w:val="nil"/>
              <w:bottom w:val="single" w:sz="4" w:space="0" w:color="auto"/>
              <w:right w:val="single" w:sz="4" w:space="0" w:color="auto"/>
            </w:tcBorders>
            <w:shd w:val="clear" w:color="000000" w:fill="D9D9D9"/>
            <w:noWrap/>
            <w:vAlign w:val="center"/>
            <w:hideMark/>
          </w:tcPr>
          <w:p w14:paraId="04040F79" w14:textId="36014C15" w:rsidR="00116D85" w:rsidRPr="00B92499" w:rsidRDefault="00116D85" w:rsidP="00116D85">
            <w:pPr>
              <w:jc w:val="center"/>
              <w:rPr>
                <w:rFonts w:ascii="Arial" w:hAnsi="Arial" w:cs="Arial"/>
                <w:color w:val="000000"/>
                <w:sz w:val="16"/>
                <w:szCs w:val="16"/>
              </w:rPr>
            </w:pPr>
            <w:r w:rsidRPr="00B92499">
              <w:rPr>
                <w:rFonts w:ascii="Arial" w:hAnsi="Arial" w:cs="Arial"/>
                <w:color w:val="000000"/>
                <w:sz w:val="16"/>
                <w:szCs w:val="16"/>
              </w:rPr>
              <w:t>1.04</w:t>
            </w:r>
          </w:p>
        </w:tc>
        <w:tc>
          <w:tcPr>
            <w:tcW w:w="850" w:type="dxa"/>
            <w:tcBorders>
              <w:top w:val="nil"/>
              <w:left w:val="nil"/>
              <w:bottom w:val="single" w:sz="4" w:space="0" w:color="auto"/>
              <w:right w:val="single" w:sz="4" w:space="0" w:color="auto"/>
            </w:tcBorders>
            <w:shd w:val="clear" w:color="auto" w:fill="auto"/>
            <w:noWrap/>
            <w:vAlign w:val="center"/>
            <w:hideMark/>
          </w:tcPr>
          <w:p w14:paraId="2AD25745" w14:textId="5F67C215" w:rsidR="00116D85" w:rsidRPr="00B92499" w:rsidRDefault="00116D85" w:rsidP="00116D85">
            <w:pPr>
              <w:jc w:val="center"/>
              <w:rPr>
                <w:rFonts w:ascii="Arial" w:hAnsi="Arial" w:cs="Arial"/>
                <w:color w:val="000000"/>
                <w:sz w:val="16"/>
                <w:szCs w:val="16"/>
              </w:rPr>
            </w:pPr>
            <w:r w:rsidRPr="00B92499">
              <w:rPr>
                <w:rFonts w:ascii="Arial" w:hAnsi="Arial" w:cs="Arial"/>
                <w:color w:val="000000"/>
                <w:sz w:val="16"/>
                <w:szCs w:val="16"/>
              </w:rPr>
              <w:t>98.48</w:t>
            </w:r>
          </w:p>
        </w:tc>
        <w:tc>
          <w:tcPr>
            <w:tcW w:w="850" w:type="dxa"/>
            <w:tcBorders>
              <w:top w:val="nil"/>
              <w:left w:val="nil"/>
              <w:bottom w:val="single" w:sz="4" w:space="0" w:color="auto"/>
              <w:right w:val="single" w:sz="4" w:space="0" w:color="auto"/>
            </w:tcBorders>
            <w:shd w:val="clear" w:color="000000" w:fill="BDD7EE"/>
            <w:noWrap/>
            <w:vAlign w:val="center"/>
            <w:hideMark/>
          </w:tcPr>
          <w:p w14:paraId="626AC263" w14:textId="1536CBB1" w:rsidR="00116D85" w:rsidRPr="00B92499" w:rsidRDefault="00116D85" w:rsidP="00116D85">
            <w:pPr>
              <w:jc w:val="center"/>
              <w:rPr>
                <w:rFonts w:ascii="Arial" w:hAnsi="Arial" w:cs="Arial"/>
                <w:color w:val="000000"/>
                <w:sz w:val="16"/>
                <w:szCs w:val="16"/>
              </w:rPr>
            </w:pPr>
            <w:r w:rsidRPr="00B92499">
              <w:rPr>
                <w:rFonts w:ascii="Arial" w:hAnsi="Arial" w:cs="Arial"/>
                <w:color w:val="000000"/>
                <w:sz w:val="16"/>
                <w:szCs w:val="16"/>
              </w:rPr>
              <w:t>98.79</w:t>
            </w:r>
          </w:p>
        </w:tc>
        <w:tc>
          <w:tcPr>
            <w:tcW w:w="850" w:type="dxa"/>
            <w:tcBorders>
              <w:top w:val="nil"/>
              <w:left w:val="nil"/>
              <w:bottom w:val="single" w:sz="4" w:space="0" w:color="auto"/>
              <w:right w:val="single" w:sz="4" w:space="0" w:color="auto"/>
            </w:tcBorders>
            <w:shd w:val="clear" w:color="000000" w:fill="D9D9D9"/>
            <w:noWrap/>
            <w:vAlign w:val="center"/>
            <w:hideMark/>
          </w:tcPr>
          <w:p w14:paraId="34B04561" w14:textId="5F8A9082" w:rsidR="00116D85" w:rsidRPr="00B92499" w:rsidRDefault="00116D85" w:rsidP="00116D85">
            <w:pPr>
              <w:jc w:val="center"/>
              <w:rPr>
                <w:rFonts w:ascii="Arial" w:hAnsi="Arial" w:cs="Arial"/>
                <w:color w:val="000000"/>
                <w:sz w:val="16"/>
                <w:szCs w:val="16"/>
              </w:rPr>
            </w:pPr>
            <w:r w:rsidRPr="00B92499">
              <w:rPr>
                <w:rFonts w:ascii="Arial" w:hAnsi="Arial" w:cs="Arial"/>
                <w:color w:val="000000"/>
                <w:sz w:val="16"/>
                <w:szCs w:val="16"/>
              </w:rPr>
              <w:t>0.57</w:t>
            </w:r>
          </w:p>
        </w:tc>
        <w:tc>
          <w:tcPr>
            <w:tcW w:w="850" w:type="dxa"/>
            <w:tcBorders>
              <w:top w:val="nil"/>
              <w:left w:val="nil"/>
              <w:bottom w:val="single" w:sz="4" w:space="0" w:color="auto"/>
              <w:right w:val="single" w:sz="4" w:space="0" w:color="auto"/>
            </w:tcBorders>
            <w:shd w:val="clear" w:color="auto" w:fill="auto"/>
            <w:noWrap/>
            <w:vAlign w:val="center"/>
            <w:hideMark/>
          </w:tcPr>
          <w:p w14:paraId="696265EA" w14:textId="07B1935D" w:rsidR="00116D85" w:rsidRPr="00B92499" w:rsidRDefault="00116D85" w:rsidP="00116D85">
            <w:pPr>
              <w:jc w:val="center"/>
              <w:rPr>
                <w:rFonts w:ascii="Arial" w:hAnsi="Arial" w:cs="Arial"/>
                <w:color w:val="000000"/>
                <w:sz w:val="16"/>
                <w:szCs w:val="16"/>
              </w:rPr>
            </w:pPr>
            <w:r w:rsidRPr="00B92499">
              <w:rPr>
                <w:rFonts w:ascii="Arial" w:hAnsi="Arial" w:cs="Arial"/>
                <w:color w:val="000000"/>
                <w:sz w:val="16"/>
                <w:szCs w:val="16"/>
              </w:rPr>
              <w:t>99.36</w:t>
            </w:r>
          </w:p>
        </w:tc>
        <w:tc>
          <w:tcPr>
            <w:tcW w:w="850" w:type="dxa"/>
            <w:tcBorders>
              <w:top w:val="nil"/>
              <w:left w:val="nil"/>
              <w:bottom w:val="single" w:sz="4" w:space="0" w:color="auto"/>
              <w:right w:val="single" w:sz="4" w:space="0" w:color="auto"/>
            </w:tcBorders>
            <w:shd w:val="clear" w:color="000000" w:fill="BDD7EE"/>
            <w:noWrap/>
            <w:vAlign w:val="center"/>
            <w:hideMark/>
          </w:tcPr>
          <w:p w14:paraId="7EECAD60" w14:textId="3676DA35" w:rsidR="00116D85" w:rsidRPr="00B92499" w:rsidRDefault="00116D85" w:rsidP="00116D85">
            <w:pPr>
              <w:jc w:val="center"/>
              <w:rPr>
                <w:rFonts w:ascii="Arial" w:hAnsi="Arial" w:cs="Arial"/>
                <w:color w:val="000000"/>
                <w:sz w:val="16"/>
                <w:szCs w:val="16"/>
              </w:rPr>
            </w:pPr>
            <w:r w:rsidRPr="00B92499">
              <w:rPr>
                <w:rFonts w:ascii="Arial" w:hAnsi="Arial" w:cs="Arial"/>
                <w:color w:val="000000"/>
                <w:sz w:val="16"/>
                <w:szCs w:val="16"/>
              </w:rPr>
              <w:t>98.11</w:t>
            </w:r>
          </w:p>
        </w:tc>
        <w:tc>
          <w:tcPr>
            <w:tcW w:w="850" w:type="dxa"/>
            <w:tcBorders>
              <w:top w:val="nil"/>
              <w:left w:val="nil"/>
              <w:bottom w:val="single" w:sz="4" w:space="0" w:color="auto"/>
              <w:right w:val="single" w:sz="4" w:space="0" w:color="auto"/>
            </w:tcBorders>
            <w:shd w:val="clear" w:color="000000" w:fill="D9D9D9"/>
            <w:noWrap/>
            <w:vAlign w:val="center"/>
            <w:hideMark/>
          </w:tcPr>
          <w:p w14:paraId="58C4473E" w14:textId="2C997AB5" w:rsidR="00116D85" w:rsidRPr="00B92499" w:rsidRDefault="00116D85" w:rsidP="00116D85">
            <w:pPr>
              <w:jc w:val="center"/>
              <w:rPr>
                <w:rFonts w:ascii="Arial" w:hAnsi="Arial" w:cs="Arial"/>
                <w:color w:val="000000"/>
                <w:sz w:val="16"/>
                <w:szCs w:val="16"/>
              </w:rPr>
            </w:pPr>
            <w:r w:rsidRPr="00B92499">
              <w:rPr>
                <w:rFonts w:ascii="Arial" w:hAnsi="Arial" w:cs="Arial"/>
                <w:color w:val="000000"/>
                <w:sz w:val="16"/>
                <w:szCs w:val="16"/>
              </w:rPr>
              <w:t>0.81</w:t>
            </w:r>
          </w:p>
        </w:tc>
        <w:tc>
          <w:tcPr>
            <w:tcW w:w="850" w:type="dxa"/>
            <w:tcBorders>
              <w:top w:val="nil"/>
              <w:left w:val="nil"/>
              <w:bottom w:val="single" w:sz="4" w:space="0" w:color="auto"/>
              <w:right w:val="single" w:sz="4" w:space="0" w:color="auto"/>
            </w:tcBorders>
            <w:shd w:val="clear" w:color="auto" w:fill="auto"/>
            <w:noWrap/>
            <w:vAlign w:val="center"/>
            <w:hideMark/>
          </w:tcPr>
          <w:p w14:paraId="7CEDE9AA" w14:textId="3F26AF6E" w:rsidR="00116D85" w:rsidRPr="00B92499" w:rsidRDefault="00116D85" w:rsidP="00116D85">
            <w:pPr>
              <w:jc w:val="center"/>
              <w:rPr>
                <w:rFonts w:ascii="Arial" w:hAnsi="Arial" w:cs="Arial"/>
                <w:color w:val="000000"/>
                <w:sz w:val="16"/>
                <w:szCs w:val="16"/>
              </w:rPr>
            </w:pPr>
            <w:r w:rsidRPr="00B92499">
              <w:rPr>
                <w:rFonts w:ascii="Arial" w:hAnsi="Arial" w:cs="Arial"/>
                <w:color w:val="000000"/>
                <w:sz w:val="16"/>
                <w:szCs w:val="16"/>
              </w:rPr>
              <w:t>98.92</w:t>
            </w:r>
          </w:p>
        </w:tc>
      </w:tr>
      <w:tr w:rsidR="00116D85" w:rsidRPr="00B92499" w14:paraId="3612CE08" w14:textId="77777777" w:rsidTr="00A972A3">
        <w:trPr>
          <w:trHeight w:val="680"/>
        </w:trPr>
        <w:tc>
          <w:tcPr>
            <w:tcW w:w="421" w:type="dxa"/>
            <w:tcBorders>
              <w:top w:val="nil"/>
              <w:left w:val="single" w:sz="4" w:space="0" w:color="auto"/>
              <w:bottom w:val="single" w:sz="4" w:space="0" w:color="auto"/>
              <w:right w:val="single" w:sz="4" w:space="0" w:color="auto"/>
            </w:tcBorders>
            <w:shd w:val="clear" w:color="000000" w:fill="FFFFFF"/>
            <w:vAlign w:val="center"/>
            <w:hideMark/>
          </w:tcPr>
          <w:p w14:paraId="40D8B65A" w14:textId="025D70AB" w:rsidR="00116D85" w:rsidRPr="00B92499" w:rsidRDefault="00116D85" w:rsidP="00116D85">
            <w:pPr>
              <w:jc w:val="center"/>
              <w:rPr>
                <w:rFonts w:ascii="Arial" w:hAnsi="Arial" w:cs="Arial"/>
                <w:color w:val="000000"/>
                <w:sz w:val="16"/>
                <w:szCs w:val="16"/>
              </w:rPr>
            </w:pPr>
            <w:r w:rsidRPr="00B92499">
              <w:rPr>
                <w:rFonts w:ascii="Arial" w:hAnsi="Arial" w:cs="Arial"/>
                <w:color w:val="000000"/>
                <w:sz w:val="16"/>
                <w:szCs w:val="16"/>
              </w:rPr>
              <w:t>6</w:t>
            </w:r>
          </w:p>
        </w:tc>
        <w:tc>
          <w:tcPr>
            <w:tcW w:w="1304" w:type="dxa"/>
            <w:tcBorders>
              <w:top w:val="nil"/>
              <w:left w:val="nil"/>
              <w:bottom w:val="single" w:sz="4" w:space="0" w:color="auto"/>
              <w:right w:val="single" w:sz="4" w:space="0" w:color="auto"/>
            </w:tcBorders>
            <w:shd w:val="clear" w:color="000000" w:fill="FFFFFF"/>
            <w:vAlign w:val="center"/>
            <w:hideMark/>
          </w:tcPr>
          <w:p w14:paraId="54D880BF" w14:textId="1162FFC2" w:rsidR="00116D85" w:rsidRPr="00B92499" w:rsidRDefault="00116D85" w:rsidP="00116D85">
            <w:pPr>
              <w:rPr>
                <w:rFonts w:ascii="Arial" w:hAnsi="Arial" w:cs="Arial"/>
                <w:color w:val="000000"/>
                <w:sz w:val="16"/>
                <w:szCs w:val="16"/>
              </w:rPr>
            </w:pPr>
            <w:r w:rsidRPr="00B92499">
              <w:rPr>
                <w:rFonts w:ascii="Arial" w:hAnsi="Arial" w:cs="Arial"/>
                <w:color w:val="000000"/>
                <w:sz w:val="16"/>
                <w:szCs w:val="16"/>
              </w:rPr>
              <w:t>Secretaría de las Mujeres</w:t>
            </w:r>
          </w:p>
        </w:tc>
        <w:tc>
          <w:tcPr>
            <w:tcW w:w="850" w:type="dxa"/>
            <w:tcBorders>
              <w:top w:val="nil"/>
              <w:left w:val="nil"/>
              <w:bottom w:val="single" w:sz="4" w:space="0" w:color="auto"/>
              <w:right w:val="single" w:sz="4" w:space="0" w:color="auto"/>
            </w:tcBorders>
            <w:shd w:val="clear" w:color="000000" w:fill="BDD7EE"/>
            <w:noWrap/>
            <w:vAlign w:val="center"/>
            <w:hideMark/>
          </w:tcPr>
          <w:p w14:paraId="10D0085D" w14:textId="2A00D12B" w:rsidR="00116D85" w:rsidRPr="00B92499" w:rsidRDefault="00116D85" w:rsidP="00116D85">
            <w:pPr>
              <w:jc w:val="center"/>
              <w:rPr>
                <w:rFonts w:ascii="Arial" w:hAnsi="Arial" w:cs="Arial"/>
                <w:color w:val="000000"/>
                <w:sz w:val="16"/>
                <w:szCs w:val="16"/>
              </w:rPr>
            </w:pPr>
            <w:r w:rsidRPr="00B92499">
              <w:rPr>
                <w:rFonts w:ascii="Arial" w:hAnsi="Arial" w:cs="Arial"/>
                <w:color w:val="000000"/>
                <w:sz w:val="16"/>
                <w:szCs w:val="16"/>
              </w:rPr>
              <w:t>86.07</w:t>
            </w:r>
          </w:p>
        </w:tc>
        <w:tc>
          <w:tcPr>
            <w:tcW w:w="850" w:type="dxa"/>
            <w:tcBorders>
              <w:top w:val="nil"/>
              <w:left w:val="nil"/>
              <w:bottom w:val="single" w:sz="4" w:space="0" w:color="auto"/>
              <w:right w:val="single" w:sz="4" w:space="0" w:color="auto"/>
            </w:tcBorders>
            <w:shd w:val="clear" w:color="000000" w:fill="D9D9D9"/>
            <w:noWrap/>
            <w:vAlign w:val="center"/>
            <w:hideMark/>
          </w:tcPr>
          <w:p w14:paraId="17DD9D9F" w14:textId="505F4D9E" w:rsidR="00116D85" w:rsidRPr="00B92499" w:rsidRDefault="00116D85" w:rsidP="00116D85">
            <w:pPr>
              <w:jc w:val="center"/>
              <w:rPr>
                <w:rFonts w:ascii="Arial" w:hAnsi="Arial" w:cs="Arial"/>
                <w:color w:val="000000"/>
                <w:sz w:val="16"/>
                <w:szCs w:val="16"/>
              </w:rPr>
            </w:pPr>
            <w:r w:rsidRPr="00B92499">
              <w:rPr>
                <w:rFonts w:ascii="Arial" w:hAnsi="Arial" w:cs="Arial"/>
                <w:color w:val="000000"/>
                <w:sz w:val="16"/>
                <w:szCs w:val="16"/>
              </w:rPr>
              <w:t>3.53</w:t>
            </w:r>
          </w:p>
        </w:tc>
        <w:tc>
          <w:tcPr>
            <w:tcW w:w="850" w:type="dxa"/>
            <w:tcBorders>
              <w:top w:val="nil"/>
              <w:left w:val="nil"/>
              <w:bottom w:val="single" w:sz="4" w:space="0" w:color="auto"/>
              <w:right w:val="single" w:sz="4" w:space="0" w:color="auto"/>
            </w:tcBorders>
            <w:shd w:val="clear" w:color="auto" w:fill="auto"/>
            <w:noWrap/>
            <w:vAlign w:val="center"/>
            <w:hideMark/>
          </w:tcPr>
          <w:p w14:paraId="2BF49B54" w14:textId="4FF154B9" w:rsidR="00116D85" w:rsidRPr="00B92499" w:rsidRDefault="00116D85" w:rsidP="00116D85">
            <w:pPr>
              <w:jc w:val="center"/>
              <w:rPr>
                <w:rFonts w:ascii="Arial" w:hAnsi="Arial" w:cs="Arial"/>
                <w:color w:val="000000"/>
                <w:sz w:val="16"/>
                <w:szCs w:val="16"/>
              </w:rPr>
            </w:pPr>
            <w:r w:rsidRPr="00B92499">
              <w:rPr>
                <w:rFonts w:ascii="Arial" w:hAnsi="Arial" w:cs="Arial"/>
                <w:color w:val="000000"/>
                <w:sz w:val="16"/>
                <w:szCs w:val="16"/>
              </w:rPr>
              <w:t>89.61</w:t>
            </w:r>
          </w:p>
        </w:tc>
        <w:tc>
          <w:tcPr>
            <w:tcW w:w="850" w:type="dxa"/>
            <w:tcBorders>
              <w:top w:val="nil"/>
              <w:left w:val="nil"/>
              <w:bottom w:val="single" w:sz="4" w:space="0" w:color="auto"/>
              <w:right w:val="single" w:sz="4" w:space="0" w:color="auto"/>
            </w:tcBorders>
            <w:shd w:val="clear" w:color="000000" w:fill="BDD7EE"/>
            <w:noWrap/>
            <w:vAlign w:val="center"/>
            <w:hideMark/>
          </w:tcPr>
          <w:p w14:paraId="61F7B2B1" w14:textId="1CF15872" w:rsidR="00116D85" w:rsidRPr="00B92499" w:rsidRDefault="00116D85" w:rsidP="00116D85">
            <w:pPr>
              <w:jc w:val="center"/>
              <w:rPr>
                <w:rFonts w:ascii="Arial" w:hAnsi="Arial" w:cs="Arial"/>
                <w:color w:val="000000"/>
                <w:sz w:val="16"/>
                <w:szCs w:val="16"/>
              </w:rPr>
            </w:pPr>
            <w:r w:rsidRPr="00B92499">
              <w:rPr>
                <w:rFonts w:ascii="Arial" w:hAnsi="Arial" w:cs="Arial"/>
                <w:color w:val="000000"/>
                <w:sz w:val="16"/>
                <w:szCs w:val="16"/>
              </w:rPr>
              <w:t>87.14</w:t>
            </w:r>
          </w:p>
        </w:tc>
        <w:tc>
          <w:tcPr>
            <w:tcW w:w="850" w:type="dxa"/>
            <w:tcBorders>
              <w:top w:val="nil"/>
              <w:left w:val="nil"/>
              <w:bottom w:val="single" w:sz="4" w:space="0" w:color="auto"/>
              <w:right w:val="single" w:sz="4" w:space="0" w:color="auto"/>
            </w:tcBorders>
            <w:shd w:val="clear" w:color="000000" w:fill="D9D9D9"/>
            <w:noWrap/>
            <w:vAlign w:val="center"/>
            <w:hideMark/>
          </w:tcPr>
          <w:p w14:paraId="768F0D95" w14:textId="6FB3C1AC" w:rsidR="00116D85" w:rsidRPr="00B92499" w:rsidRDefault="00116D85" w:rsidP="00116D85">
            <w:pPr>
              <w:jc w:val="center"/>
              <w:rPr>
                <w:rFonts w:ascii="Arial" w:hAnsi="Arial" w:cs="Arial"/>
                <w:color w:val="000000"/>
                <w:sz w:val="16"/>
                <w:szCs w:val="16"/>
              </w:rPr>
            </w:pPr>
            <w:r w:rsidRPr="00B92499">
              <w:rPr>
                <w:rFonts w:ascii="Arial" w:hAnsi="Arial" w:cs="Arial"/>
                <w:color w:val="000000"/>
                <w:sz w:val="16"/>
                <w:szCs w:val="16"/>
              </w:rPr>
              <w:t>7.05</w:t>
            </w:r>
          </w:p>
        </w:tc>
        <w:tc>
          <w:tcPr>
            <w:tcW w:w="850" w:type="dxa"/>
            <w:tcBorders>
              <w:top w:val="nil"/>
              <w:left w:val="nil"/>
              <w:bottom w:val="single" w:sz="4" w:space="0" w:color="auto"/>
              <w:right w:val="single" w:sz="4" w:space="0" w:color="auto"/>
            </w:tcBorders>
            <w:shd w:val="clear" w:color="auto" w:fill="auto"/>
            <w:noWrap/>
            <w:vAlign w:val="center"/>
            <w:hideMark/>
          </w:tcPr>
          <w:p w14:paraId="690912CC" w14:textId="1E2A57C3" w:rsidR="00116D85" w:rsidRPr="00B92499" w:rsidRDefault="00116D85" w:rsidP="00116D85">
            <w:pPr>
              <w:jc w:val="center"/>
              <w:rPr>
                <w:rFonts w:ascii="Arial" w:hAnsi="Arial" w:cs="Arial"/>
                <w:color w:val="000000"/>
                <w:sz w:val="16"/>
                <w:szCs w:val="16"/>
              </w:rPr>
            </w:pPr>
            <w:r w:rsidRPr="00B92499">
              <w:rPr>
                <w:rFonts w:ascii="Arial" w:hAnsi="Arial" w:cs="Arial"/>
                <w:color w:val="000000"/>
                <w:sz w:val="16"/>
                <w:szCs w:val="16"/>
              </w:rPr>
              <w:t>94.19</w:t>
            </w:r>
          </w:p>
        </w:tc>
        <w:tc>
          <w:tcPr>
            <w:tcW w:w="850" w:type="dxa"/>
            <w:tcBorders>
              <w:top w:val="nil"/>
              <w:left w:val="nil"/>
              <w:bottom w:val="single" w:sz="4" w:space="0" w:color="auto"/>
              <w:right w:val="single" w:sz="4" w:space="0" w:color="auto"/>
            </w:tcBorders>
            <w:shd w:val="clear" w:color="000000" w:fill="BDD7EE"/>
            <w:noWrap/>
            <w:vAlign w:val="center"/>
            <w:hideMark/>
          </w:tcPr>
          <w:p w14:paraId="1C231E1D" w14:textId="0E648E20" w:rsidR="00116D85" w:rsidRPr="00B92499" w:rsidRDefault="00116D85" w:rsidP="00116D85">
            <w:pPr>
              <w:jc w:val="center"/>
              <w:rPr>
                <w:rFonts w:ascii="Arial" w:hAnsi="Arial" w:cs="Arial"/>
                <w:color w:val="000000"/>
                <w:sz w:val="16"/>
                <w:szCs w:val="16"/>
              </w:rPr>
            </w:pPr>
            <w:r w:rsidRPr="00B92499">
              <w:rPr>
                <w:rFonts w:ascii="Arial" w:hAnsi="Arial" w:cs="Arial"/>
                <w:color w:val="000000"/>
                <w:sz w:val="16"/>
                <w:szCs w:val="16"/>
              </w:rPr>
              <w:t>86.61</w:t>
            </w:r>
          </w:p>
        </w:tc>
        <w:tc>
          <w:tcPr>
            <w:tcW w:w="850" w:type="dxa"/>
            <w:tcBorders>
              <w:top w:val="nil"/>
              <w:left w:val="nil"/>
              <w:bottom w:val="single" w:sz="4" w:space="0" w:color="auto"/>
              <w:right w:val="single" w:sz="4" w:space="0" w:color="auto"/>
            </w:tcBorders>
            <w:shd w:val="clear" w:color="000000" w:fill="D9D9D9"/>
            <w:noWrap/>
            <w:vAlign w:val="center"/>
            <w:hideMark/>
          </w:tcPr>
          <w:p w14:paraId="0A46F7A2" w14:textId="0562B45F" w:rsidR="00116D85" w:rsidRPr="00B92499" w:rsidRDefault="00116D85" w:rsidP="00116D85">
            <w:pPr>
              <w:jc w:val="center"/>
              <w:rPr>
                <w:rFonts w:ascii="Arial" w:hAnsi="Arial" w:cs="Arial"/>
                <w:color w:val="000000"/>
                <w:sz w:val="16"/>
                <w:szCs w:val="16"/>
              </w:rPr>
            </w:pPr>
            <w:r w:rsidRPr="00B92499">
              <w:rPr>
                <w:rFonts w:ascii="Arial" w:hAnsi="Arial" w:cs="Arial"/>
                <w:color w:val="000000"/>
                <w:sz w:val="16"/>
                <w:szCs w:val="16"/>
              </w:rPr>
              <w:t>5.29</w:t>
            </w:r>
          </w:p>
        </w:tc>
        <w:tc>
          <w:tcPr>
            <w:tcW w:w="850" w:type="dxa"/>
            <w:tcBorders>
              <w:top w:val="nil"/>
              <w:left w:val="nil"/>
              <w:bottom w:val="single" w:sz="4" w:space="0" w:color="auto"/>
              <w:right w:val="single" w:sz="4" w:space="0" w:color="auto"/>
            </w:tcBorders>
            <w:shd w:val="clear" w:color="auto" w:fill="auto"/>
            <w:noWrap/>
            <w:vAlign w:val="center"/>
            <w:hideMark/>
          </w:tcPr>
          <w:p w14:paraId="5F96C510" w14:textId="581E0AFD" w:rsidR="00116D85" w:rsidRPr="00B92499" w:rsidRDefault="00116D85" w:rsidP="00116D85">
            <w:pPr>
              <w:jc w:val="center"/>
              <w:rPr>
                <w:rFonts w:ascii="Arial" w:hAnsi="Arial" w:cs="Arial"/>
                <w:color w:val="000000"/>
                <w:sz w:val="16"/>
                <w:szCs w:val="16"/>
              </w:rPr>
            </w:pPr>
            <w:r w:rsidRPr="00B92499">
              <w:rPr>
                <w:rFonts w:ascii="Arial" w:hAnsi="Arial" w:cs="Arial"/>
                <w:color w:val="000000"/>
                <w:sz w:val="16"/>
                <w:szCs w:val="16"/>
              </w:rPr>
              <w:t>91.90</w:t>
            </w:r>
          </w:p>
        </w:tc>
      </w:tr>
      <w:tr w:rsidR="00116D85" w:rsidRPr="00B92499" w14:paraId="468DE10A" w14:textId="77777777" w:rsidTr="00A972A3">
        <w:trPr>
          <w:trHeight w:val="680"/>
        </w:trPr>
        <w:tc>
          <w:tcPr>
            <w:tcW w:w="421" w:type="dxa"/>
            <w:tcBorders>
              <w:top w:val="nil"/>
              <w:left w:val="single" w:sz="4" w:space="0" w:color="auto"/>
              <w:bottom w:val="single" w:sz="4" w:space="0" w:color="auto"/>
              <w:right w:val="single" w:sz="4" w:space="0" w:color="auto"/>
            </w:tcBorders>
            <w:shd w:val="clear" w:color="000000" w:fill="FFFFFF"/>
            <w:vAlign w:val="center"/>
            <w:hideMark/>
          </w:tcPr>
          <w:p w14:paraId="0A76CCDF" w14:textId="58592A5C" w:rsidR="00116D85" w:rsidRPr="00B92499" w:rsidRDefault="00116D85" w:rsidP="00116D85">
            <w:pPr>
              <w:jc w:val="center"/>
              <w:rPr>
                <w:rFonts w:ascii="Arial" w:hAnsi="Arial" w:cs="Arial"/>
                <w:color w:val="000000"/>
                <w:sz w:val="16"/>
                <w:szCs w:val="16"/>
              </w:rPr>
            </w:pPr>
            <w:r w:rsidRPr="00B92499">
              <w:rPr>
                <w:rFonts w:ascii="Arial" w:hAnsi="Arial" w:cs="Arial"/>
                <w:color w:val="000000"/>
                <w:sz w:val="16"/>
                <w:szCs w:val="16"/>
              </w:rPr>
              <w:t>7</w:t>
            </w:r>
          </w:p>
        </w:tc>
        <w:tc>
          <w:tcPr>
            <w:tcW w:w="1304" w:type="dxa"/>
            <w:tcBorders>
              <w:top w:val="nil"/>
              <w:left w:val="nil"/>
              <w:bottom w:val="single" w:sz="4" w:space="0" w:color="auto"/>
              <w:right w:val="single" w:sz="4" w:space="0" w:color="auto"/>
            </w:tcBorders>
            <w:shd w:val="clear" w:color="000000" w:fill="FFFFFF"/>
            <w:vAlign w:val="center"/>
            <w:hideMark/>
          </w:tcPr>
          <w:p w14:paraId="0A9E30D3" w14:textId="736C854E" w:rsidR="00116D85" w:rsidRPr="00B92499" w:rsidRDefault="00116D85" w:rsidP="00116D85">
            <w:pPr>
              <w:rPr>
                <w:rFonts w:ascii="Arial" w:hAnsi="Arial" w:cs="Arial"/>
                <w:color w:val="000000"/>
                <w:sz w:val="16"/>
                <w:szCs w:val="16"/>
              </w:rPr>
            </w:pPr>
            <w:r w:rsidRPr="00B92499">
              <w:rPr>
                <w:rFonts w:ascii="Arial" w:hAnsi="Arial" w:cs="Arial"/>
                <w:color w:val="000000"/>
                <w:sz w:val="16"/>
                <w:szCs w:val="16"/>
              </w:rPr>
              <w:t>Secretaría de Gestión Integral de Riesgos y Protección Civil</w:t>
            </w:r>
          </w:p>
        </w:tc>
        <w:tc>
          <w:tcPr>
            <w:tcW w:w="850" w:type="dxa"/>
            <w:tcBorders>
              <w:top w:val="nil"/>
              <w:left w:val="nil"/>
              <w:bottom w:val="single" w:sz="4" w:space="0" w:color="auto"/>
              <w:right w:val="single" w:sz="4" w:space="0" w:color="auto"/>
            </w:tcBorders>
            <w:shd w:val="clear" w:color="000000" w:fill="BDD7EE"/>
            <w:noWrap/>
            <w:vAlign w:val="center"/>
            <w:hideMark/>
          </w:tcPr>
          <w:p w14:paraId="71C3CFC3" w14:textId="16B01C1B" w:rsidR="00116D85" w:rsidRPr="00B92499" w:rsidRDefault="00116D85" w:rsidP="00116D85">
            <w:pPr>
              <w:jc w:val="center"/>
              <w:rPr>
                <w:rFonts w:ascii="Arial" w:hAnsi="Arial" w:cs="Arial"/>
                <w:color w:val="000000"/>
                <w:sz w:val="16"/>
                <w:szCs w:val="16"/>
              </w:rPr>
            </w:pPr>
            <w:r w:rsidRPr="00B92499">
              <w:rPr>
                <w:rFonts w:ascii="Arial" w:hAnsi="Arial" w:cs="Arial"/>
                <w:color w:val="000000"/>
                <w:sz w:val="16"/>
                <w:szCs w:val="16"/>
              </w:rPr>
              <w:t>93.21</w:t>
            </w:r>
          </w:p>
        </w:tc>
        <w:tc>
          <w:tcPr>
            <w:tcW w:w="850" w:type="dxa"/>
            <w:tcBorders>
              <w:top w:val="nil"/>
              <w:left w:val="nil"/>
              <w:bottom w:val="single" w:sz="4" w:space="0" w:color="auto"/>
              <w:right w:val="single" w:sz="4" w:space="0" w:color="auto"/>
            </w:tcBorders>
            <w:shd w:val="clear" w:color="000000" w:fill="D9D9D9"/>
            <w:noWrap/>
            <w:vAlign w:val="center"/>
            <w:hideMark/>
          </w:tcPr>
          <w:p w14:paraId="00066621" w14:textId="287E5E68" w:rsidR="00116D85" w:rsidRPr="00B92499" w:rsidRDefault="00116D85" w:rsidP="00116D85">
            <w:pPr>
              <w:jc w:val="center"/>
              <w:rPr>
                <w:rFonts w:ascii="Arial" w:hAnsi="Arial" w:cs="Arial"/>
                <w:color w:val="000000"/>
                <w:sz w:val="16"/>
                <w:szCs w:val="16"/>
              </w:rPr>
            </w:pPr>
            <w:r w:rsidRPr="00B92499">
              <w:rPr>
                <w:rFonts w:ascii="Arial" w:hAnsi="Arial" w:cs="Arial"/>
                <w:color w:val="000000"/>
                <w:sz w:val="16"/>
                <w:szCs w:val="16"/>
              </w:rPr>
              <w:t>0.05</w:t>
            </w:r>
          </w:p>
        </w:tc>
        <w:tc>
          <w:tcPr>
            <w:tcW w:w="850" w:type="dxa"/>
            <w:tcBorders>
              <w:top w:val="nil"/>
              <w:left w:val="nil"/>
              <w:bottom w:val="single" w:sz="4" w:space="0" w:color="auto"/>
              <w:right w:val="single" w:sz="4" w:space="0" w:color="auto"/>
            </w:tcBorders>
            <w:shd w:val="clear" w:color="auto" w:fill="auto"/>
            <w:noWrap/>
            <w:vAlign w:val="center"/>
            <w:hideMark/>
          </w:tcPr>
          <w:p w14:paraId="10889DE3" w14:textId="605B0270" w:rsidR="00116D85" w:rsidRPr="00B92499" w:rsidRDefault="00116D85" w:rsidP="00116D85">
            <w:pPr>
              <w:jc w:val="center"/>
              <w:rPr>
                <w:rFonts w:ascii="Arial" w:hAnsi="Arial" w:cs="Arial"/>
                <w:color w:val="000000"/>
                <w:sz w:val="16"/>
                <w:szCs w:val="16"/>
              </w:rPr>
            </w:pPr>
            <w:r w:rsidRPr="00B92499">
              <w:rPr>
                <w:rFonts w:ascii="Arial" w:hAnsi="Arial" w:cs="Arial"/>
                <w:color w:val="000000"/>
                <w:sz w:val="16"/>
                <w:szCs w:val="16"/>
              </w:rPr>
              <w:t>93.26</w:t>
            </w:r>
          </w:p>
        </w:tc>
        <w:tc>
          <w:tcPr>
            <w:tcW w:w="850" w:type="dxa"/>
            <w:tcBorders>
              <w:top w:val="nil"/>
              <w:left w:val="nil"/>
              <w:bottom w:val="single" w:sz="4" w:space="0" w:color="auto"/>
              <w:right w:val="single" w:sz="4" w:space="0" w:color="auto"/>
            </w:tcBorders>
            <w:shd w:val="clear" w:color="000000" w:fill="BDD7EE"/>
            <w:noWrap/>
            <w:vAlign w:val="center"/>
            <w:hideMark/>
          </w:tcPr>
          <w:p w14:paraId="641DD326" w14:textId="35A8019F" w:rsidR="00116D85" w:rsidRPr="00B92499" w:rsidRDefault="00116D85" w:rsidP="00116D85">
            <w:pPr>
              <w:jc w:val="center"/>
              <w:rPr>
                <w:rFonts w:ascii="Arial" w:hAnsi="Arial" w:cs="Arial"/>
                <w:color w:val="000000"/>
                <w:sz w:val="16"/>
                <w:szCs w:val="16"/>
              </w:rPr>
            </w:pPr>
            <w:r w:rsidRPr="00B92499">
              <w:rPr>
                <w:rFonts w:ascii="Arial" w:hAnsi="Arial" w:cs="Arial"/>
                <w:color w:val="000000"/>
                <w:sz w:val="16"/>
                <w:szCs w:val="16"/>
              </w:rPr>
              <w:t>87.06</w:t>
            </w:r>
          </w:p>
        </w:tc>
        <w:tc>
          <w:tcPr>
            <w:tcW w:w="850" w:type="dxa"/>
            <w:tcBorders>
              <w:top w:val="nil"/>
              <w:left w:val="nil"/>
              <w:bottom w:val="single" w:sz="4" w:space="0" w:color="auto"/>
              <w:right w:val="single" w:sz="4" w:space="0" w:color="auto"/>
            </w:tcBorders>
            <w:shd w:val="clear" w:color="000000" w:fill="D9D9D9"/>
            <w:noWrap/>
            <w:vAlign w:val="center"/>
            <w:hideMark/>
          </w:tcPr>
          <w:p w14:paraId="673A3D73" w14:textId="5317F89D" w:rsidR="00116D85" w:rsidRPr="00B92499" w:rsidRDefault="00116D85" w:rsidP="00116D85">
            <w:pPr>
              <w:jc w:val="center"/>
              <w:rPr>
                <w:rFonts w:ascii="Arial" w:hAnsi="Arial" w:cs="Arial"/>
                <w:color w:val="000000"/>
                <w:sz w:val="16"/>
                <w:szCs w:val="16"/>
              </w:rPr>
            </w:pPr>
            <w:r w:rsidRPr="00B92499">
              <w:rPr>
                <w:rFonts w:ascii="Arial" w:hAnsi="Arial" w:cs="Arial"/>
                <w:color w:val="000000"/>
                <w:sz w:val="16"/>
                <w:szCs w:val="16"/>
              </w:rPr>
              <w:t>0.05</w:t>
            </w:r>
          </w:p>
        </w:tc>
        <w:tc>
          <w:tcPr>
            <w:tcW w:w="850" w:type="dxa"/>
            <w:tcBorders>
              <w:top w:val="nil"/>
              <w:left w:val="nil"/>
              <w:bottom w:val="single" w:sz="4" w:space="0" w:color="auto"/>
              <w:right w:val="single" w:sz="4" w:space="0" w:color="auto"/>
            </w:tcBorders>
            <w:shd w:val="clear" w:color="auto" w:fill="auto"/>
            <w:noWrap/>
            <w:vAlign w:val="center"/>
            <w:hideMark/>
          </w:tcPr>
          <w:p w14:paraId="40545AF1" w14:textId="58971821" w:rsidR="00116D85" w:rsidRPr="00B92499" w:rsidRDefault="00116D85" w:rsidP="00116D85">
            <w:pPr>
              <w:jc w:val="center"/>
              <w:rPr>
                <w:rFonts w:ascii="Arial" w:hAnsi="Arial" w:cs="Arial"/>
                <w:color w:val="000000"/>
                <w:sz w:val="16"/>
                <w:szCs w:val="16"/>
              </w:rPr>
            </w:pPr>
            <w:r w:rsidRPr="00B92499">
              <w:rPr>
                <w:rFonts w:ascii="Arial" w:hAnsi="Arial" w:cs="Arial"/>
                <w:color w:val="000000"/>
                <w:sz w:val="16"/>
                <w:szCs w:val="16"/>
              </w:rPr>
              <w:t>87.10</w:t>
            </w:r>
          </w:p>
        </w:tc>
        <w:tc>
          <w:tcPr>
            <w:tcW w:w="850" w:type="dxa"/>
            <w:tcBorders>
              <w:top w:val="nil"/>
              <w:left w:val="nil"/>
              <w:bottom w:val="single" w:sz="4" w:space="0" w:color="auto"/>
              <w:right w:val="single" w:sz="4" w:space="0" w:color="auto"/>
            </w:tcBorders>
            <w:shd w:val="clear" w:color="000000" w:fill="BDD7EE"/>
            <w:noWrap/>
            <w:vAlign w:val="center"/>
            <w:hideMark/>
          </w:tcPr>
          <w:p w14:paraId="7F31942E" w14:textId="18082EBA" w:rsidR="00116D85" w:rsidRPr="00B92499" w:rsidRDefault="00116D85" w:rsidP="00116D85">
            <w:pPr>
              <w:jc w:val="center"/>
              <w:rPr>
                <w:rFonts w:ascii="Arial" w:hAnsi="Arial" w:cs="Arial"/>
                <w:color w:val="000000"/>
                <w:sz w:val="16"/>
                <w:szCs w:val="16"/>
              </w:rPr>
            </w:pPr>
            <w:r w:rsidRPr="00B92499">
              <w:rPr>
                <w:rFonts w:ascii="Arial" w:hAnsi="Arial" w:cs="Arial"/>
                <w:color w:val="000000"/>
                <w:sz w:val="16"/>
                <w:szCs w:val="16"/>
              </w:rPr>
              <w:t>90.13</w:t>
            </w:r>
          </w:p>
        </w:tc>
        <w:tc>
          <w:tcPr>
            <w:tcW w:w="850" w:type="dxa"/>
            <w:tcBorders>
              <w:top w:val="nil"/>
              <w:left w:val="nil"/>
              <w:bottom w:val="single" w:sz="4" w:space="0" w:color="auto"/>
              <w:right w:val="single" w:sz="4" w:space="0" w:color="auto"/>
            </w:tcBorders>
            <w:shd w:val="clear" w:color="000000" w:fill="D9D9D9"/>
            <w:noWrap/>
            <w:vAlign w:val="center"/>
            <w:hideMark/>
          </w:tcPr>
          <w:p w14:paraId="2C0EB79A" w14:textId="381FED1F" w:rsidR="00116D85" w:rsidRPr="00B92499" w:rsidRDefault="00116D85" w:rsidP="00116D85">
            <w:pPr>
              <w:jc w:val="center"/>
              <w:rPr>
                <w:rFonts w:ascii="Arial" w:hAnsi="Arial" w:cs="Arial"/>
                <w:color w:val="000000"/>
                <w:sz w:val="16"/>
                <w:szCs w:val="16"/>
              </w:rPr>
            </w:pPr>
            <w:r w:rsidRPr="00B92499">
              <w:rPr>
                <w:rFonts w:ascii="Arial" w:hAnsi="Arial" w:cs="Arial"/>
                <w:color w:val="000000"/>
                <w:sz w:val="16"/>
                <w:szCs w:val="16"/>
              </w:rPr>
              <w:t>0.05</w:t>
            </w:r>
          </w:p>
        </w:tc>
        <w:tc>
          <w:tcPr>
            <w:tcW w:w="850" w:type="dxa"/>
            <w:tcBorders>
              <w:top w:val="nil"/>
              <w:left w:val="nil"/>
              <w:bottom w:val="single" w:sz="4" w:space="0" w:color="auto"/>
              <w:right w:val="single" w:sz="4" w:space="0" w:color="auto"/>
            </w:tcBorders>
            <w:shd w:val="clear" w:color="auto" w:fill="auto"/>
            <w:noWrap/>
            <w:vAlign w:val="center"/>
            <w:hideMark/>
          </w:tcPr>
          <w:p w14:paraId="4BA65168" w14:textId="7BAC9904" w:rsidR="00116D85" w:rsidRPr="00B92499" w:rsidRDefault="00116D85" w:rsidP="00116D85">
            <w:pPr>
              <w:jc w:val="center"/>
              <w:rPr>
                <w:rFonts w:ascii="Arial" w:hAnsi="Arial" w:cs="Arial"/>
                <w:color w:val="000000"/>
                <w:sz w:val="16"/>
                <w:szCs w:val="16"/>
              </w:rPr>
            </w:pPr>
            <w:r w:rsidRPr="00B92499">
              <w:rPr>
                <w:rFonts w:ascii="Arial" w:hAnsi="Arial" w:cs="Arial"/>
                <w:color w:val="000000"/>
                <w:sz w:val="16"/>
                <w:szCs w:val="16"/>
              </w:rPr>
              <w:t>90.18</w:t>
            </w:r>
          </w:p>
        </w:tc>
      </w:tr>
      <w:tr w:rsidR="00116D85" w:rsidRPr="00B92499" w14:paraId="5DDB7025" w14:textId="77777777" w:rsidTr="00A972A3">
        <w:trPr>
          <w:trHeight w:val="680"/>
        </w:trPr>
        <w:tc>
          <w:tcPr>
            <w:tcW w:w="421" w:type="dxa"/>
            <w:tcBorders>
              <w:top w:val="nil"/>
              <w:left w:val="single" w:sz="4" w:space="0" w:color="auto"/>
              <w:bottom w:val="single" w:sz="4" w:space="0" w:color="auto"/>
              <w:right w:val="single" w:sz="4" w:space="0" w:color="auto"/>
            </w:tcBorders>
            <w:shd w:val="clear" w:color="000000" w:fill="FFFFFF"/>
            <w:vAlign w:val="center"/>
            <w:hideMark/>
          </w:tcPr>
          <w:p w14:paraId="4BFF29CE" w14:textId="2115027D" w:rsidR="00116D85" w:rsidRPr="00B92499" w:rsidRDefault="00116D85" w:rsidP="00116D85">
            <w:pPr>
              <w:jc w:val="center"/>
              <w:rPr>
                <w:rFonts w:ascii="Arial" w:hAnsi="Arial" w:cs="Arial"/>
                <w:color w:val="000000"/>
                <w:sz w:val="16"/>
                <w:szCs w:val="16"/>
              </w:rPr>
            </w:pPr>
            <w:r w:rsidRPr="00B92499">
              <w:rPr>
                <w:rFonts w:ascii="Arial" w:hAnsi="Arial" w:cs="Arial"/>
                <w:color w:val="000000"/>
                <w:sz w:val="16"/>
                <w:szCs w:val="16"/>
              </w:rPr>
              <w:lastRenderedPageBreak/>
              <w:t>8</w:t>
            </w:r>
          </w:p>
        </w:tc>
        <w:tc>
          <w:tcPr>
            <w:tcW w:w="1304" w:type="dxa"/>
            <w:tcBorders>
              <w:top w:val="nil"/>
              <w:left w:val="nil"/>
              <w:bottom w:val="single" w:sz="4" w:space="0" w:color="auto"/>
              <w:right w:val="single" w:sz="4" w:space="0" w:color="auto"/>
            </w:tcBorders>
            <w:shd w:val="clear" w:color="000000" w:fill="FFFFFF"/>
            <w:vAlign w:val="center"/>
            <w:hideMark/>
          </w:tcPr>
          <w:p w14:paraId="16F39044" w14:textId="1D199948" w:rsidR="00116D85" w:rsidRPr="00B92499" w:rsidRDefault="00116D85" w:rsidP="00116D85">
            <w:pPr>
              <w:rPr>
                <w:rFonts w:ascii="Arial" w:hAnsi="Arial" w:cs="Arial"/>
                <w:color w:val="000000"/>
                <w:sz w:val="16"/>
                <w:szCs w:val="16"/>
              </w:rPr>
            </w:pPr>
            <w:r w:rsidRPr="00B92499">
              <w:rPr>
                <w:rFonts w:ascii="Arial" w:hAnsi="Arial" w:cs="Arial"/>
                <w:color w:val="000000"/>
                <w:sz w:val="16"/>
                <w:szCs w:val="16"/>
              </w:rPr>
              <w:t>Secretaría de Pueblos y Barrios Originarios y Comunidades Indigenas Residentes</w:t>
            </w:r>
          </w:p>
        </w:tc>
        <w:tc>
          <w:tcPr>
            <w:tcW w:w="850" w:type="dxa"/>
            <w:tcBorders>
              <w:top w:val="nil"/>
              <w:left w:val="nil"/>
              <w:bottom w:val="single" w:sz="4" w:space="0" w:color="auto"/>
              <w:right w:val="single" w:sz="4" w:space="0" w:color="auto"/>
            </w:tcBorders>
            <w:shd w:val="clear" w:color="000000" w:fill="BDD7EE"/>
            <w:noWrap/>
            <w:vAlign w:val="center"/>
            <w:hideMark/>
          </w:tcPr>
          <w:p w14:paraId="18F23EAC" w14:textId="576EA9D2" w:rsidR="00116D85" w:rsidRPr="00B92499" w:rsidRDefault="00116D85" w:rsidP="00116D85">
            <w:pPr>
              <w:jc w:val="center"/>
              <w:rPr>
                <w:rFonts w:ascii="Arial" w:hAnsi="Arial" w:cs="Arial"/>
                <w:color w:val="000000"/>
                <w:sz w:val="16"/>
                <w:szCs w:val="16"/>
              </w:rPr>
            </w:pPr>
            <w:r w:rsidRPr="00B92499">
              <w:rPr>
                <w:rFonts w:ascii="Arial" w:hAnsi="Arial" w:cs="Arial"/>
                <w:color w:val="000000"/>
                <w:sz w:val="16"/>
                <w:szCs w:val="16"/>
              </w:rPr>
              <w:t>84.29</w:t>
            </w:r>
          </w:p>
        </w:tc>
        <w:tc>
          <w:tcPr>
            <w:tcW w:w="850" w:type="dxa"/>
            <w:tcBorders>
              <w:top w:val="nil"/>
              <w:left w:val="nil"/>
              <w:bottom w:val="single" w:sz="4" w:space="0" w:color="auto"/>
              <w:right w:val="single" w:sz="4" w:space="0" w:color="auto"/>
            </w:tcBorders>
            <w:shd w:val="clear" w:color="000000" w:fill="D9D9D9"/>
            <w:noWrap/>
            <w:vAlign w:val="center"/>
            <w:hideMark/>
          </w:tcPr>
          <w:p w14:paraId="205B0848" w14:textId="00B6DF5E" w:rsidR="00116D85" w:rsidRPr="00B92499" w:rsidRDefault="00116D85" w:rsidP="00116D85">
            <w:pPr>
              <w:jc w:val="center"/>
              <w:rPr>
                <w:rFonts w:ascii="Arial" w:hAnsi="Arial" w:cs="Arial"/>
                <w:color w:val="000000"/>
                <w:sz w:val="16"/>
                <w:szCs w:val="16"/>
              </w:rPr>
            </w:pPr>
            <w:r w:rsidRPr="00B92499">
              <w:rPr>
                <w:rFonts w:ascii="Arial" w:hAnsi="Arial" w:cs="Arial"/>
                <w:color w:val="000000"/>
                <w:sz w:val="16"/>
                <w:szCs w:val="16"/>
              </w:rPr>
              <w:t>1.36</w:t>
            </w:r>
          </w:p>
        </w:tc>
        <w:tc>
          <w:tcPr>
            <w:tcW w:w="850" w:type="dxa"/>
            <w:tcBorders>
              <w:top w:val="nil"/>
              <w:left w:val="nil"/>
              <w:bottom w:val="single" w:sz="4" w:space="0" w:color="auto"/>
              <w:right w:val="single" w:sz="4" w:space="0" w:color="auto"/>
            </w:tcBorders>
            <w:shd w:val="clear" w:color="auto" w:fill="auto"/>
            <w:noWrap/>
            <w:vAlign w:val="center"/>
            <w:hideMark/>
          </w:tcPr>
          <w:p w14:paraId="5F5963AF" w14:textId="60E26850" w:rsidR="00116D85" w:rsidRPr="00B92499" w:rsidRDefault="00116D85" w:rsidP="00116D85">
            <w:pPr>
              <w:jc w:val="center"/>
              <w:rPr>
                <w:rFonts w:ascii="Arial" w:hAnsi="Arial" w:cs="Arial"/>
                <w:color w:val="000000"/>
                <w:sz w:val="16"/>
                <w:szCs w:val="16"/>
              </w:rPr>
            </w:pPr>
            <w:r w:rsidRPr="00B92499">
              <w:rPr>
                <w:rFonts w:ascii="Arial" w:hAnsi="Arial" w:cs="Arial"/>
                <w:color w:val="000000"/>
                <w:sz w:val="16"/>
                <w:szCs w:val="16"/>
              </w:rPr>
              <w:t>85.46</w:t>
            </w:r>
          </w:p>
        </w:tc>
        <w:tc>
          <w:tcPr>
            <w:tcW w:w="850" w:type="dxa"/>
            <w:tcBorders>
              <w:top w:val="nil"/>
              <w:left w:val="nil"/>
              <w:bottom w:val="single" w:sz="4" w:space="0" w:color="auto"/>
              <w:right w:val="single" w:sz="4" w:space="0" w:color="auto"/>
            </w:tcBorders>
            <w:shd w:val="clear" w:color="000000" w:fill="BDD7EE"/>
            <w:noWrap/>
            <w:vAlign w:val="center"/>
            <w:hideMark/>
          </w:tcPr>
          <w:p w14:paraId="03520CE4" w14:textId="77A51F18" w:rsidR="00116D85" w:rsidRPr="00B92499" w:rsidRDefault="00116D85" w:rsidP="00116D85">
            <w:pPr>
              <w:jc w:val="center"/>
              <w:rPr>
                <w:rFonts w:ascii="Arial" w:hAnsi="Arial" w:cs="Arial"/>
                <w:color w:val="000000"/>
                <w:sz w:val="16"/>
                <w:szCs w:val="16"/>
              </w:rPr>
            </w:pPr>
            <w:r w:rsidRPr="00B92499">
              <w:rPr>
                <w:rFonts w:ascii="Arial" w:hAnsi="Arial" w:cs="Arial"/>
                <w:color w:val="000000"/>
                <w:sz w:val="16"/>
                <w:szCs w:val="16"/>
              </w:rPr>
              <w:t>91.05</w:t>
            </w:r>
          </w:p>
        </w:tc>
        <w:tc>
          <w:tcPr>
            <w:tcW w:w="850" w:type="dxa"/>
            <w:tcBorders>
              <w:top w:val="nil"/>
              <w:left w:val="nil"/>
              <w:bottom w:val="single" w:sz="4" w:space="0" w:color="auto"/>
              <w:right w:val="single" w:sz="4" w:space="0" w:color="auto"/>
            </w:tcBorders>
            <w:shd w:val="clear" w:color="000000" w:fill="D9D9D9"/>
            <w:noWrap/>
            <w:vAlign w:val="center"/>
            <w:hideMark/>
          </w:tcPr>
          <w:p w14:paraId="7DC531E9" w14:textId="5F612923" w:rsidR="00116D85" w:rsidRPr="00B92499" w:rsidRDefault="00116D85" w:rsidP="00116D85">
            <w:pPr>
              <w:jc w:val="center"/>
              <w:rPr>
                <w:rFonts w:ascii="Arial" w:hAnsi="Arial" w:cs="Arial"/>
                <w:color w:val="000000"/>
                <w:sz w:val="16"/>
                <w:szCs w:val="16"/>
              </w:rPr>
            </w:pPr>
            <w:r w:rsidRPr="00B92499">
              <w:rPr>
                <w:rFonts w:ascii="Arial" w:hAnsi="Arial" w:cs="Arial"/>
                <w:color w:val="000000"/>
                <w:sz w:val="16"/>
                <w:szCs w:val="16"/>
              </w:rPr>
              <w:t>1.26</w:t>
            </w:r>
          </w:p>
        </w:tc>
        <w:tc>
          <w:tcPr>
            <w:tcW w:w="850" w:type="dxa"/>
            <w:tcBorders>
              <w:top w:val="nil"/>
              <w:left w:val="nil"/>
              <w:bottom w:val="single" w:sz="4" w:space="0" w:color="auto"/>
              <w:right w:val="single" w:sz="4" w:space="0" w:color="auto"/>
            </w:tcBorders>
            <w:shd w:val="clear" w:color="auto" w:fill="auto"/>
            <w:noWrap/>
            <w:vAlign w:val="center"/>
            <w:hideMark/>
          </w:tcPr>
          <w:p w14:paraId="1118A27F" w14:textId="5B05E661" w:rsidR="00116D85" w:rsidRPr="00B92499" w:rsidRDefault="00116D85" w:rsidP="00116D85">
            <w:pPr>
              <w:jc w:val="center"/>
              <w:rPr>
                <w:rFonts w:ascii="Arial" w:hAnsi="Arial" w:cs="Arial"/>
                <w:color w:val="000000"/>
                <w:sz w:val="16"/>
                <w:szCs w:val="16"/>
              </w:rPr>
            </w:pPr>
            <w:r w:rsidRPr="00B92499">
              <w:rPr>
                <w:rFonts w:ascii="Arial" w:hAnsi="Arial" w:cs="Arial"/>
                <w:color w:val="000000"/>
                <w:sz w:val="16"/>
                <w:szCs w:val="16"/>
              </w:rPr>
              <w:t>92.22</w:t>
            </w:r>
          </w:p>
        </w:tc>
        <w:tc>
          <w:tcPr>
            <w:tcW w:w="850" w:type="dxa"/>
            <w:tcBorders>
              <w:top w:val="nil"/>
              <w:left w:val="nil"/>
              <w:bottom w:val="single" w:sz="4" w:space="0" w:color="auto"/>
              <w:right w:val="single" w:sz="4" w:space="0" w:color="auto"/>
            </w:tcBorders>
            <w:shd w:val="clear" w:color="000000" w:fill="BDD7EE"/>
            <w:noWrap/>
            <w:vAlign w:val="center"/>
            <w:hideMark/>
          </w:tcPr>
          <w:p w14:paraId="791EAD70" w14:textId="72972D40" w:rsidR="00116D85" w:rsidRPr="00B92499" w:rsidRDefault="00116D85" w:rsidP="00116D85">
            <w:pPr>
              <w:jc w:val="center"/>
              <w:rPr>
                <w:rFonts w:ascii="Arial" w:hAnsi="Arial" w:cs="Arial"/>
                <w:color w:val="000000"/>
                <w:sz w:val="16"/>
                <w:szCs w:val="16"/>
              </w:rPr>
            </w:pPr>
            <w:r w:rsidRPr="00B92499">
              <w:rPr>
                <w:rFonts w:ascii="Arial" w:hAnsi="Arial" w:cs="Arial"/>
                <w:color w:val="000000"/>
                <w:sz w:val="16"/>
                <w:szCs w:val="16"/>
              </w:rPr>
              <w:t>87.67</w:t>
            </w:r>
          </w:p>
        </w:tc>
        <w:tc>
          <w:tcPr>
            <w:tcW w:w="850" w:type="dxa"/>
            <w:tcBorders>
              <w:top w:val="nil"/>
              <w:left w:val="nil"/>
              <w:bottom w:val="single" w:sz="4" w:space="0" w:color="auto"/>
              <w:right w:val="single" w:sz="4" w:space="0" w:color="auto"/>
            </w:tcBorders>
            <w:shd w:val="clear" w:color="000000" w:fill="D9D9D9"/>
            <w:noWrap/>
            <w:vAlign w:val="center"/>
            <w:hideMark/>
          </w:tcPr>
          <w:p w14:paraId="28F09095" w14:textId="7568FB4B" w:rsidR="00116D85" w:rsidRPr="00B92499" w:rsidRDefault="00116D85" w:rsidP="00116D85">
            <w:pPr>
              <w:jc w:val="center"/>
              <w:rPr>
                <w:rFonts w:ascii="Arial" w:hAnsi="Arial" w:cs="Arial"/>
                <w:color w:val="000000"/>
                <w:sz w:val="16"/>
                <w:szCs w:val="16"/>
              </w:rPr>
            </w:pPr>
            <w:r w:rsidRPr="00B92499">
              <w:rPr>
                <w:rFonts w:ascii="Arial" w:hAnsi="Arial" w:cs="Arial"/>
                <w:color w:val="000000"/>
                <w:sz w:val="16"/>
                <w:szCs w:val="16"/>
              </w:rPr>
              <w:t>1.31</w:t>
            </w:r>
          </w:p>
        </w:tc>
        <w:tc>
          <w:tcPr>
            <w:tcW w:w="850" w:type="dxa"/>
            <w:tcBorders>
              <w:top w:val="nil"/>
              <w:left w:val="nil"/>
              <w:bottom w:val="single" w:sz="4" w:space="0" w:color="auto"/>
              <w:right w:val="single" w:sz="4" w:space="0" w:color="auto"/>
            </w:tcBorders>
            <w:shd w:val="clear" w:color="auto" w:fill="auto"/>
            <w:noWrap/>
            <w:vAlign w:val="center"/>
            <w:hideMark/>
          </w:tcPr>
          <w:p w14:paraId="2FE77760" w14:textId="02995F63" w:rsidR="00116D85" w:rsidRPr="00B92499" w:rsidRDefault="00116D85" w:rsidP="00116D85">
            <w:pPr>
              <w:jc w:val="center"/>
              <w:rPr>
                <w:rFonts w:ascii="Arial" w:hAnsi="Arial" w:cs="Arial"/>
                <w:color w:val="000000"/>
                <w:sz w:val="16"/>
                <w:szCs w:val="16"/>
              </w:rPr>
            </w:pPr>
            <w:r w:rsidRPr="00B92499">
              <w:rPr>
                <w:rFonts w:ascii="Arial" w:hAnsi="Arial" w:cs="Arial"/>
                <w:color w:val="000000"/>
                <w:sz w:val="16"/>
                <w:szCs w:val="16"/>
              </w:rPr>
              <w:t>88.84</w:t>
            </w:r>
          </w:p>
        </w:tc>
      </w:tr>
    </w:tbl>
    <w:p w14:paraId="166EFF4F" w14:textId="77777777" w:rsidR="001568FE" w:rsidRPr="00B92499" w:rsidRDefault="001568FE" w:rsidP="001568FE">
      <w:pPr>
        <w:spacing w:before="100" w:beforeAutospacing="1" w:after="100" w:afterAutospacing="1" w:line="360" w:lineRule="auto"/>
        <w:contextualSpacing/>
        <w:jc w:val="both"/>
        <w:rPr>
          <w:rFonts w:ascii="Arial" w:hAnsi="Arial" w:cs="Arial"/>
          <w:sz w:val="16"/>
          <w:szCs w:val="16"/>
        </w:rPr>
      </w:pPr>
      <w:r w:rsidRPr="00B92499">
        <w:rPr>
          <w:rFonts w:ascii="Arial" w:hAnsi="Arial" w:cs="Arial"/>
          <w:b/>
          <w:sz w:val="16"/>
          <w:szCs w:val="16"/>
        </w:rPr>
        <w:t>Nota metodológica</w:t>
      </w:r>
      <w:r w:rsidRPr="00B92499">
        <w:rPr>
          <w:rFonts w:ascii="Arial" w:hAnsi="Arial" w:cs="Arial"/>
          <w:sz w:val="16"/>
          <w:szCs w:val="16"/>
        </w:rPr>
        <w:t xml:space="preserve">: </w:t>
      </w:r>
    </w:p>
    <w:p w14:paraId="3B453DF6" w14:textId="77777777" w:rsidR="001568FE" w:rsidRPr="00B92499" w:rsidRDefault="001568FE" w:rsidP="001568FE">
      <w:pPr>
        <w:spacing w:before="100" w:beforeAutospacing="1" w:after="100" w:afterAutospacing="1" w:line="360" w:lineRule="auto"/>
        <w:contextualSpacing/>
        <w:jc w:val="both"/>
        <w:rPr>
          <w:rFonts w:ascii="Arial" w:hAnsi="Arial" w:cs="Arial"/>
          <w:sz w:val="16"/>
          <w:szCs w:val="16"/>
        </w:rPr>
      </w:pPr>
      <w:r w:rsidRPr="00B92499">
        <w:rPr>
          <w:rFonts w:ascii="Arial" w:hAnsi="Arial" w:cs="Arial"/>
          <w:sz w:val="16"/>
          <w:szCs w:val="16"/>
        </w:rPr>
        <w:t>El IGOT se compone del promedio de ICOT-PT e ICOT-PNT.</w:t>
      </w:r>
    </w:p>
    <w:p w14:paraId="6A66CC0C" w14:textId="7C7C55A6" w:rsidR="001568FE" w:rsidRPr="00B92499" w:rsidRDefault="001568FE" w:rsidP="001568FE">
      <w:pPr>
        <w:spacing w:before="100" w:beforeAutospacing="1" w:after="100" w:afterAutospacing="1" w:line="360" w:lineRule="auto"/>
        <w:contextualSpacing/>
        <w:jc w:val="both"/>
        <w:rPr>
          <w:rFonts w:ascii="Arial" w:hAnsi="Arial" w:cs="Arial"/>
          <w:color w:val="000000"/>
          <w:sz w:val="16"/>
          <w:szCs w:val="16"/>
        </w:rPr>
      </w:pPr>
      <w:r w:rsidRPr="00B92499">
        <w:rPr>
          <w:rFonts w:ascii="Arial" w:hAnsi="Arial" w:cs="Arial"/>
          <w:b/>
          <w:bCs/>
          <w:color w:val="000000"/>
          <w:sz w:val="16"/>
          <w:szCs w:val="16"/>
        </w:rPr>
        <w:t>%Inf PT:</w:t>
      </w:r>
      <w:r w:rsidRPr="00B92499">
        <w:rPr>
          <w:rFonts w:ascii="Arial" w:hAnsi="Arial" w:cs="Arial"/>
          <w:color w:val="000000"/>
          <w:sz w:val="16"/>
          <w:szCs w:val="16"/>
        </w:rPr>
        <w:t xml:space="preserve"> corresponde al porcentaje del índice que hace referencia a la información que se encuentra publicada y actualizada en el Portal de Internet (PI) del </w:t>
      </w:r>
      <w:r w:rsidR="008710F6" w:rsidRPr="00B92499">
        <w:rPr>
          <w:rFonts w:ascii="Arial" w:hAnsi="Arial" w:cs="Arial"/>
          <w:color w:val="000000"/>
          <w:sz w:val="16"/>
          <w:szCs w:val="16"/>
        </w:rPr>
        <w:t>sujeto obligado</w:t>
      </w:r>
      <w:r w:rsidRPr="00B92499">
        <w:rPr>
          <w:rFonts w:ascii="Arial" w:hAnsi="Arial" w:cs="Arial"/>
          <w:color w:val="000000"/>
          <w:sz w:val="16"/>
          <w:szCs w:val="16"/>
        </w:rPr>
        <w:t xml:space="preserve">. </w:t>
      </w:r>
    </w:p>
    <w:p w14:paraId="04AEE5B8" w14:textId="0B76BEE9" w:rsidR="001568FE" w:rsidRPr="00B92499" w:rsidRDefault="001568FE" w:rsidP="001568FE">
      <w:pPr>
        <w:spacing w:before="100" w:beforeAutospacing="1" w:after="100" w:afterAutospacing="1" w:line="360" w:lineRule="auto"/>
        <w:contextualSpacing/>
        <w:jc w:val="both"/>
        <w:rPr>
          <w:rFonts w:ascii="Arial" w:hAnsi="Arial" w:cs="Arial"/>
          <w:color w:val="000000"/>
          <w:sz w:val="16"/>
          <w:szCs w:val="16"/>
        </w:rPr>
      </w:pPr>
      <w:r w:rsidRPr="00B92499">
        <w:rPr>
          <w:rFonts w:ascii="Arial" w:hAnsi="Arial" w:cs="Arial"/>
          <w:b/>
          <w:bCs/>
          <w:color w:val="000000"/>
          <w:sz w:val="16"/>
          <w:szCs w:val="16"/>
        </w:rPr>
        <w:t>%Inf PNT:</w:t>
      </w:r>
      <w:r w:rsidRPr="00B92499">
        <w:rPr>
          <w:rFonts w:ascii="Arial" w:hAnsi="Arial" w:cs="Arial"/>
          <w:color w:val="000000"/>
          <w:sz w:val="16"/>
          <w:szCs w:val="16"/>
        </w:rPr>
        <w:t xml:space="preserve"> corresponde al porcentaje del índice que hace referencia a la información que se encuentra publicada y actualizada en la Plataforma Nacional de Transparencia (PNT) del </w:t>
      </w:r>
      <w:r w:rsidR="008710F6" w:rsidRPr="00B92499">
        <w:rPr>
          <w:rFonts w:ascii="Arial" w:hAnsi="Arial" w:cs="Arial"/>
          <w:color w:val="000000"/>
          <w:sz w:val="16"/>
          <w:szCs w:val="16"/>
        </w:rPr>
        <w:t>sujeto obligado</w:t>
      </w:r>
      <w:r w:rsidRPr="00B92499">
        <w:rPr>
          <w:rFonts w:ascii="Arial" w:hAnsi="Arial" w:cs="Arial"/>
          <w:color w:val="000000"/>
          <w:sz w:val="16"/>
          <w:szCs w:val="16"/>
        </w:rPr>
        <w:t>.</w:t>
      </w:r>
    </w:p>
    <w:p w14:paraId="44AF72E6" w14:textId="7881345F" w:rsidR="001568FE" w:rsidRPr="00B92499" w:rsidRDefault="001568FE" w:rsidP="001568FE">
      <w:pPr>
        <w:spacing w:before="100" w:beforeAutospacing="1" w:after="100" w:afterAutospacing="1" w:line="360" w:lineRule="auto"/>
        <w:contextualSpacing/>
        <w:jc w:val="both"/>
        <w:rPr>
          <w:rFonts w:ascii="Arial" w:hAnsi="Arial" w:cs="Arial"/>
          <w:color w:val="000000"/>
          <w:sz w:val="16"/>
          <w:szCs w:val="16"/>
        </w:rPr>
      </w:pPr>
      <w:r w:rsidRPr="00B92499">
        <w:rPr>
          <w:rFonts w:ascii="Arial" w:hAnsi="Arial" w:cs="Arial"/>
          <w:b/>
          <w:bCs/>
          <w:color w:val="000000"/>
          <w:sz w:val="16"/>
          <w:szCs w:val="16"/>
        </w:rPr>
        <w:t xml:space="preserve">%Inf IGOT: </w:t>
      </w:r>
      <w:r w:rsidRPr="00B92499">
        <w:rPr>
          <w:rFonts w:ascii="Arial" w:hAnsi="Arial" w:cs="Arial"/>
          <w:color w:val="000000"/>
          <w:sz w:val="16"/>
          <w:szCs w:val="16"/>
        </w:rPr>
        <w:t xml:space="preserve">corresponde al porcentaje del índice que hace referencia a la información que se encuentra publicada y actualizada tanto en la PNT y el PI del </w:t>
      </w:r>
      <w:r w:rsidR="008710F6" w:rsidRPr="00B92499">
        <w:rPr>
          <w:rFonts w:ascii="Arial" w:hAnsi="Arial" w:cs="Arial"/>
          <w:color w:val="000000"/>
          <w:sz w:val="16"/>
          <w:szCs w:val="16"/>
        </w:rPr>
        <w:t>sujeto obligado</w:t>
      </w:r>
      <w:r w:rsidRPr="00B92499">
        <w:rPr>
          <w:rFonts w:ascii="Arial" w:hAnsi="Arial" w:cs="Arial"/>
          <w:color w:val="000000"/>
          <w:sz w:val="16"/>
          <w:szCs w:val="16"/>
        </w:rPr>
        <w:t>.</w:t>
      </w:r>
    </w:p>
    <w:p w14:paraId="19D7BE18" w14:textId="4AD0C967" w:rsidR="001568FE" w:rsidRPr="00B92499" w:rsidRDefault="001568FE" w:rsidP="001568FE">
      <w:pPr>
        <w:spacing w:before="100" w:beforeAutospacing="1" w:after="100" w:afterAutospacing="1" w:line="360" w:lineRule="auto"/>
        <w:contextualSpacing/>
        <w:jc w:val="both"/>
        <w:rPr>
          <w:rFonts w:ascii="Arial" w:hAnsi="Arial" w:cs="Arial"/>
          <w:color w:val="000000"/>
          <w:sz w:val="16"/>
          <w:szCs w:val="16"/>
        </w:rPr>
      </w:pPr>
      <w:r w:rsidRPr="00B92499">
        <w:rPr>
          <w:rFonts w:ascii="Arial" w:hAnsi="Arial" w:cs="Arial"/>
          <w:b/>
          <w:bCs/>
          <w:color w:val="000000"/>
          <w:sz w:val="16"/>
          <w:szCs w:val="16"/>
        </w:rPr>
        <w:t>%Nota PT:</w:t>
      </w:r>
      <w:r w:rsidRPr="00B92499">
        <w:rPr>
          <w:rFonts w:ascii="Arial" w:hAnsi="Arial" w:cs="Arial"/>
          <w:color w:val="000000"/>
          <w:sz w:val="16"/>
          <w:szCs w:val="16"/>
        </w:rPr>
        <w:t xml:space="preserve"> corresponde al porcentaje del índice que hace referencia a las notas aclaratorias por no generación, competencia, publicación o actualización de la información que se encuentra publicada y actualizada en el Portal de Internet (PI) del </w:t>
      </w:r>
      <w:r w:rsidR="008710F6" w:rsidRPr="00B92499">
        <w:rPr>
          <w:rFonts w:ascii="Arial" w:hAnsi="Arial" w:cs="Arial"/>
          <w:color w:val="000000"/>
          <w:sz w:val="16"/>
          <w:szCs w:val="16"/>
        </w:rPr>
        <w:t>sujeto obligado</w:t>
      </w:r>
      <w:r w:rsidRPr="00B92499">
        <w:rPr>
          <w:rFonts w:ascii="Arial" w:hAnsi="Arial" w:cs="Arial"/>
          <w:color w:val="000000"/>
          <w:sz w:val="16"/>
          <w:szCs w:val="16"/>
        </w:rPr>
        <w:t>.</w:t>
      </w:r>
    </w:p>
    <w:p w14:paraId="04A45EB6" w14:textId="0271958A" w:rsidR="001568FE" w:rsidRPr="00B92499" w:rsidRDefault="001568FE" w:rsidP="001568FE">
      <w:pPr>
        <w:spacing w:before="100" w:beforeAutospacing="1" w:after="100" w:afterAutospacing="1" w:line="360" w:lineRule="auto"/>
        <w:contextualSpacing/>
        <w:jc w:val="both"/>
        <w:rPr>
          <w:rFonts w:ascii="Arial" w:hAnsi="Arial" w:cs="Arial"/>
          <w:color w:val="000000"/>
          <w:sz w:val="16"/>
          <w:szCs w:val="16"/>
        </w:rPr>
      </w:pPr>
      <w:r w:rsidRPr="00B92499">
        <w:rPr>
          <w:rFonts w:ascii="Arial" w:hAnsi="Arial" w:cs="Arial"/>
          <w:b/>
          <w:bCs/>
          <w:color w:val="000000"/>
          <w:sz w:val="16"/>
          <w:szCs w:val="16"/>
        </w:rPr>
        <w:t>%Nota PNT:</w:t>
      </w:r>
      <w:r w:rsidRPr="00B92499">
        <w:rPr>
          <w:rFonts w:ascii="Arial" w:hAnsi="Arial" w:cs="Arial"/>
          <w:color w:val="000000"/>
          <w:sz w:val="16"/>
          <w:szCs w:val="16"/>
        </w:rPr>
        <w:t xml:space="preserve"> corresponde al porcentaje del índice que hace referencia a las notas aclaratorias por no generación, competencia, publicación o actualización de la información que se encuentra publicada y actualizada en la Plataforma Nacional de Transparencia (PNT) del </w:t>
      </w:r>
      <w:r w:rsidR="008710F6" w:rsidRPr="00B92499">
        <w:rPr>
          <w:rFonts w:ascii="Arial" w:hAnsi="Arial" w:cs="Arial"/>
          <w:color w:val="000000"/>
          <w:sz w:val="16"/>
          <w:szCs w:val="16"/>
        </w:rPr>
        <w:t>sujeto obligado</w:t>
      </w:r>
      <w:r w:rsidRPr="00B92499">
        <w:rPr>
          <w:rFonts w:ascii="Arial" w:hAnsi="Arial" w:cs="Arial"/>
          <w:color w:val="000000"/>
          <w:sz w:val="16"/>
          <w:szCs w:val="16"/>
        </w:rPr>
        <w:t>.</w:t>
      </w:r>
    </w:p>
    <w:p w14:paraId="30D2243D" w14:textId="59A8E590" w:rsidR="001568FE" w:rsidRPr="00B92499" w:rsidRDefault="001568FE" w:rsidP="001568FE">
      <w:pPr>
        <w:spacing w:before="100" w:beforeAutospacing="1" w:after="100" w:afterAutospacing="1" w:line="360" w:lineRule="auto"/>
        <w:contextualSpacing/>
        <w:jc w:val="both"/>
        <w:rPr>
          <w:rFonts w:ascii="Arial" w:hAnsi="Arial" w:cs="Arial"/>
          <w:color w:val="000000"/>
          <w:sz w:val="16"/>
          <w:szCs w:val="16"/>
        </w:rPr>
      </w:pPr>
      <w:r w:rsidRPr="00B92499">
        <w:rPr>
          <w:rFonts w:ascii="Arial" w:hAnsi="Arial" w:cs="Arial"/>
          <w:b/>
          <w:bCs/>
          <w:color w:val="000000"/>
          <w:sz w:val="16"/>
          <w:szCs w:val="16"/>
        </w:rPr>
        <w:t>%Nota IGOT:</w:t>
      </w:r>
      <w:r w:rsidRPr="00B92499">
        <w:rPr>
          <w:rFonts w:ascii="Arial" w:hAnsi="Arial" w:cs="Arial"/>
          <w:color w:val="000000"/>
          <w:sz w:val="16"/>
          <w:szCs w:val="16"/>
        </w:rPr>
        <w:t xml:space="preserve"> corresponde al porcentaje del índice que hace referencia a las notas aclaratorias por no generación, competencia, publicación o actualización de la información que se encuentra publicada y actualizada en la PNT y el PI del </w:t>
      </w:r>
      <w:r w:rsidR="008710F6" w:rsidRPr="00B92499">
        <w:rPr>
          <w:rFonts w:ascii="Arial" w:hAnsi="Arial" w:cs="Arial"/>
          <w:color w:val="000000"/>
          <w:sz w:val="16"/>
          <w:szCs w:val="16"/>
        </w:rPr>
        <w:t>sujeto obligado</w:t>
      </w:r>
      <w:r w:rsidRPr="00B92499">
        <w:rPr>
          <w:rFonts w:ascii="Arial" w:hAnsi="Arial" w:cs="Arial"/>
          <w:color w:val="000000"/>
          <w:sz w:val="16"/>
          <w:szCs w:val="16"/>
        </w:rPr>
        <w:t>.</w:t>
      </w:r>
    </w:p>
    <w:p w14:paraId="0B983871" w14:textId="77777777" w:rsidR="001568FE" w:rsidRPr="00B92499" w:rsidRDefault="001568FE" w:rsidP="002E7D47">
      <w:pPr>
        <w:spacing w:before="100" w:beforeAutospacing="1" w:after="100" w:afterAutospacing="1" w:line="360" w:lineRule="auto"/>
        <w:contextualSpacing/>
        <w:jc w:val="both"/>
        <w:rPr>
          <w:rFonts w:ascii="Arial" w:hAnsi="Arial" w:cs="Arial"/>
        </w:rPr>
      </w:pPr>
    </w:p>
    <w:p w14:paraId="187AB29E" w14:textId="65199F3D" w:rsidR="00940CBA" w:rsidRPr="00B92499" w:rsidRDefault="00940CBA" w:rsidP="002E7D47">
      <w:pPr>
        <w:spacing w:before="100" w:beforeAutospacing="1" w:after="100" w:afterAutospacing="1" w:line="360" w:lineRule="auto"/>
        <w:contextualSpacing/>
        <w:jc w:val="both"/>
        <w:rPr>
          <w:rFonts w:ascii="Arial" w:hAnsi="Arial" w:cs="Arial"/>
        </w:rPr>
      </w:pPr>
      <w:r w:rsidRPr="00B92499">
        <w:rPr>
          <w:rFonts w:ascii="Arial" w:hAnsi="Arial" w:cs="Arial"/>
        </w:rPr>
        <w:t xml:space="preserve">En atención a la Tabla de Aplicabilidad realizada por la Dirección de Estado Abierto, Estudios y Evaluación (DEAEE) del Instituto de Transparencia, Acceso a la Información Pública, Protección de Datos Personales y Rendición de Cuentas de la Ciudad de México (Instituto), las obligaciones que los </w:t>
      </w:r>
      <w:r w:rsidR="008710F6" w:rsidRPr="00B92499">
        <w:rPr>
          <w:rFonts w:ascii="Arial" w:hAnsi="Arial" w:cs="Arial"/>
        </w:rPr>
        <w:t>sujeto</w:t>
      </w:r>
      <w:r w:rsidR="00EB5F64" w:rsidRPr="00B92499">
        <w:rPr>
          <w:rFonts w:ascii="Arial" w:hAnsi="Arial" w:cs="Arial"/>
        </w:rPr>
        <w:t xml:space="preserve">s </w:t>
      </w:r>
      <w:r w:rsidR="008710F6" w:rsidRPr="00B92499">
        <w:rPr>
          <w:rFonts w:ascii="Arial" w:hAnsi="Arial" w:cs="Arial"/>
        </w:rPr>
        <w:t>obligado</w:t>
      </w:r>
      <w:r w:rsidR="00EB5F64" w:rsidRPr="00B92499">
        <w:rPr>
          <w:rFonts w:ascii="Arial" w:hAnsi="Arial" w:cs="Arial"/>
        </w:rPr>
        <w:t>s</w:t>
      </w:r>
      <w:r w:rsidRPr="00B92499">
        <w:rPr>
          <w:rFonts w:ascii="Arial" w:hAnsi="Arial" w:cs="Arial"/>
        </w:rPr>
        <w:t xml:space="preserve"> de la Administración Pública Central deben actualizar y publicar en el Sistema de Portales de </w:t>
      </w:r>
      <w:r w:rsidR="008710F6" w:rsidRPr="00B92499">
        <w:rPr>
          <w:rFonts w:ascii="Arial" w:hAnsi="Arial" w:cs="Arial"/>
        </w:rPr>
        <w:t>obligaciones de transparencia</w:t>
      </w:r>
      <w:r w:rsidRPr="00B92499">
        <w:rPr>
          <w:rFonts w:ascii="Arial" w:hAnsi="Arial" w:cs="Arial"/>
        </w:rPr>
        <w:t xml:space="preserve"> (SIPOT) de la Plataforma Nacional de Transparencia (PNT), así como en sus respectivos portales de internet son las contempladas en los siguientes </w:t>
      </w:r>
      <w:r w:rsidR="008F67E4" w:rsidRPr="00B92499">
        <w:rPr>
          <w:rFonts w:ascii="Arial" w:hAnsi="Arial" w:cs="Arial"/>
        </w:rPr>
        <w:t>artículo</w:t>
      </w:r>
      <w:r w:rsidRPr="00B92499">
        <w:rPr>
          <w:rFonts w:ascii="Arial" w:hAnsi="Arial" w:cs="Arial"/>
        </w:rPr>
        <w:t xml:space="preserve">s: </w:t>
      </w:r>
    </w:p>
    <w:p w14:paraId="36230781" w14:textId="3E283C20" w:rsidR="00940CBA" w:rsidRPr="00B92499" w:rsidRDefault="009D7771" w:rsidP="002E7D47">
      <w:pPr>
        <w:pStyle w:val="Prrafodelista"/>
        <w:numPr>
          <w:ilvl w:val="0"/>
          <w:numId w:val="1"/>
        </w:numPr>
        <w:spacing w:before="100" w:beforeAutospacing="1" w:after="100" w:afterAutospacing="1" w:line="360" w:lineRule="auto"/>
        <w:jc w:val="both"/>
        <w:rPr>
          <w:rFonts w:ascii="Arial" w:hAnsi="Arial" w:cs="Arial"/>
          <w:sz w:val="24"/>
          <w:szCs w:val="24"/>
          <w:lang w:val="es-ES_tradnl"/>
        </w:rPr>
      </w:pPr>
      <w:r w:rsidRPr="00B92499">
        <w:rPr>
          <w:rFonts w:ascii="Arial" w:hAnsi="Arial" w:cs="Arial"/>
          <w:sz w:val="24"/>
          <w:szCs w:val="24"/>
          <w:lang w:val="es-ES_tradnl"/>
        </w:rPr>
        <w:t>Artículo</w:t>
      </w:r>
      <w:r w:rsidR="00940CBA" w:rsidRPr="00B92499">
        <w:rPr>
          <w:rFonts w:ascii="Arial" w:hAnsi="Arial" w:cs="Arial"/>
          <w:sz w:val="24"/>
          <w:szCs w:val="24"/>
          <w:lang w:val="es-ES_tradnl"/>
        </w:rPr>
        <w:t xml:space="preserve"> 121. Obligaciones comunes, </w:t>
      </w:r>
    </w:p>
    <w:p w14:paraId="78E3AADD" w14:textId="28975F1C" w:rsidR="00940CBA" w:rsidRPr="00B92499" w:rsidRDefault="009D7771" w:rsidP="002E7D47">
      <w:pPr>
        <w:pStyle w:val="Prrafodelista"/>
        <w:numPr>
          <w:ilvl w:val="0"/>
          <w:numId w:val="1"/>
        </w:numPr>
        <w:spacing w:before="100" w:beforeAutospacing="1" w:after="100" w:afterAutospacing="1" w:line="360" w:lineRule="auto"/>
        <w:jc w:val="both"/>
        <w:rPr>
          <w:rFonts w:ascii="Arial" w:hAnsi="Arial" w:cs="Arial"/>
          <w:sz w:val="24"/>
          <w:szCs w:val="24"/>
          <w:lang w:val="es-ES_tradnl"/>
        </w:rPr>
      </w:pPr>
      <w:r w:rsidRPr="00B92499">
        <w:rPr>
          <w:rFonts w:ascii="Arial" w:hAnsi="Arial" w:cs="Arial"/>
          <w:sz w:val="24"/>
          <w:szCs w:val="24"/>
          <w:lang w:val="es-ES_tradnl"/>
        </w:rPr>
        <w:t>Artículo</w:t>
      </w:r>
      <w:r w:rsidR="002470B8" w:rsidRPr="00B92499">
        <w:rPr>
          <w:rFonts w:ascii="Arial" w:hAnsi="Arial" w:cs="Arial"/>
          <w:sz w:val="24"/>
          <w:szCs w:val="24"/>
          <w:lang w:val="es-ES_tradnl"/>
        </w:rPr>
        <w:t xml:space="preserve"> 122. </w:t>
      </w:r>
      <w:r w:rsidR="00940CBA" w:rsidRPr="00B92499">
        <w:rPr>
          <w:rFonts w:ascii="Arial" w:hAnsi="Arial" w:cs="Arial"/>
          <w:sz w:val="24"/>
          <w:szCs w:val="24"/>
          <w:lang w:val="es-ES_tradnl"/>
        </w:rPr>
        <w:t xml:space="preserve">Obligaciones comunes que únicamente le son aplicables a la </w:t>
      </w:r>
      <w:r w:rsidR="005B128B" w:rsidRPr="00B92499">
        <w:rPr>
          <w:rFonts w:ascii="Arial" w:hAnsi="Arial" w:cs="Arial"/>
          <w:sz w:val="24"/>
          <w:szCs w:val="24"/>
          <w:lang w:val="es-ES_tradnl"/>
        </w:rPr>
        <w:t>Secretaría de Educación, Ciencia, Tecnología e Innovación, Secretaría de Inclusión y Bienestar Social, Secretaría de las Mujeres y la Secretaría de Pueblos y Barrios Originarios y Comunidades Indígenas Residentes</w:t>
      </w:r>
      <w:r w:rsidR="00C576D2" w:rsidRPr="00B92499">
        <w:rPr>
          <w:rFonts w:ascii="Arial" w:hAnsi="Arial" w:cs="Arial"/>
          <w:sz w:val="24"/>
          <w:szCs w:val="24"/>
          <w:lang w:val="es-ES_tradnl"/>
        </w:rPr>
        <w:t>,</w:t>
      </w:r>
    </w:p>
    <w:p w14:paraId="511ED9AB" w14:textId="52287396" w:rsidR="00940CBA" w:rsidRPr="00B92499" w:rsidRDefault="009D7771" w:rsidP="002E7D47">
      <w:pPr>
        <w:pStyle w:val="Prrafodelista"/>
        <w:numPr>
          <w:ilvl w:val="0"/>
          <w:numId w:val="1"/>
        </w:numPr>
        <w:spacing w:before="100" w:beforeAutospacing="1" w:after="100" w:afterAutospacing="1" w:line="360" w:lineRule="auto"/>
        <w:jc w:val="both"/>
        <w:rPr>
          <w:rFonts w:ascii="Arial" w:hAnsi="Arial" w:cs="Arial"/>
          <w:sz w:val="24"/>
          <w:szCs w:val="24"/>
          <w:lang w:val="es-ES_tradnl"/>
        </w:rPr>
      </w:pPr>
      <w:r w:rsidRPr="00B92499">
        <w:rPr>
          <w:rFonts w:ascii="Arial" w:hAnsi="Arial" w:cs="Arial"/>
          <w:sz w:val="24"/>
          <w:szCs w:val="24"/>
          <w:lang w:val="es-ES_tradnl"/>
        </w:rPr>
        <w:lastRenderedPageBreak/>
        <w:t>Artículo</w:t>
      </w:r>
      <w:r w:rsidR="00940CBA" w:rsidRPr="00B92499">
        <w:rPr>
          <w:rFonts w:ascii="Arial" w:hAnsi="Arial" w:cs="Arial"/>
          <w:sz w:val="24"/>
          <w:szCs w:val="24"/>
          <w:lang w:val="es-ES_tradnl"/>
        </w:rPr>
        <w:t xml:space="preserve"> 123. Obligaciones específicas del Poder Ejecutivo,</w:t>
      </w:r>
    </w:p>
    <w:p w14:paraId="279158DA" w14:textId="74E72718" w:rsidR="00940CBA" w:rsidRPr="00B92499" w:rsidRDefault="009D7771" w:rsidP="002E7D47">
      <w:pPr>
        <w:pStyle w:val="Prrafodelista"/>
        <w:numPr>
          <w:ilvl w:val="0"/>
          <w:numId w:val="1"/>
        </w:numPr>
        <w:spacing w:before="100" w:beforeAutospacing="1" w:after="100" w:afterAutospacing="1" w:line="360" w:lineRule="auto"/>
        <w:jc w:val="both"/>
        <w:rPr>
          <w:rFonts w:ascii="Arial" w:hAnsi="Arial" w:cs="Arial"/>
          <w:sz w:val="24"/>
          <w:szCs w:val="24"/>
          <w:lang w:val="es-ES_tradnl"/>
        </w:rPr>
      </w:pPr>
      <w:r w:rsidRPr="00B92499">
        <w:rPr>
          <w:rFonts w:ascii="Arial" w:hAnsi="Arial" w:cs="Arial"/>
          <w:sz w:val="24"/>
          <w:szCs w:val="24"/>
          <w:lang w:val="es-ES_tradnl"/>
        </w:rPr>
        <w:t>Artículo</w:t>
      </w:r>
      <w:r w:rsidR="00940CBA" w:rsidRPr="00B92499">
        <w:rPr>
          <w:rFonts w:ascii="Arial" w:hAnsi="Arial" w:cs="Arial"/>
          <w:sz w:val="24"/>
          <w:szCs w:val="24"/>
          <w:lang w:val="es-ES_tradnl"/>
        </w:rPr>
        <w:t xml:space="preserve"> 143. Disposiciones Particulares,</w:t>
      </w:r>
    </w:p>
    <w:p w14:paraId="0E0A73F9" w14:textId="62D3A93F" w:rsidR="00940CBA" w:rsidRPr="00B92499" w:rsidRDefault="009D7771" w:rsidP="002E7D47">
      <w:pPr>
        <w:pStyle w:val="Prrafodelista"/>
        <w:numPr>
          <w:ilvl w:val="0"/>
          <w:numId w:val="1"/>
        </w:numPr>
        <w:spacing w:before="100" w:beforeAutospacing="1" w:after="100" w:afterAutospacing="1" w:line="360" w:lineRule="auto"/>
        <w:jc w:val="both"/>
        <w:rPr>
          <w:rFonts w:ascii="Arial" w:hAnsi="Arial" w:cs="Arial"/>
          <w:sz w:val="24"/>
          <w:szCs w:val="24"/>
          <w:lang w:val="es-ES_tradnl"/>
        </w:rPr>
      </w:pPr>
      <w:r w:rsidRPr="00B92499">
        <w:rPr>
          <w:rFonts w:ascii="Arial" w:hAnsi="Arial" w:cs="Arial"/>
          <w:sz w:val="24"/>
          <w:szCs w:val="24"/>
          <w:lang w:val="es-ES_tradnl"/>
        </w:rPr>
        <w:t>Artículo</w:t>
      </w:r>
      <w:r w:rsidR="00940CBA" w:rsidRPr="00B92499">
        <w:rPr>
          <w:rFonts w:ascii="Arial" w:hAnsi="Arial" w:cs="Arial"/>
          <w:sz w:val="24"/>
          <w:szCs w:val="24"/>
          <w:lang w:val="es-ES_tradnl"/>
        </w:rPr>
        <w:t xml:space="preserve"> 145. Disposiciones Particulares,</w:t>
      </w:r>
    </w:p>
    <w:p w14:paraId="420FC397" w14:textId="190B5111" w:rsidR="00940CBA" w:rsidRPr="00B92499" w:rsidRDefault="009D7771" w:rsidP="002E7D47">
      <w:pPr>
        <w:pStyle w:val="Prrafodelista"/>
        <w:numPr>
          <w:ilvl w:val="0"/>
          <w:numId w:val="1"/>
        </w:numPr>
        <w:spacing w:before="100" w:beforeAutospacing="1" w:after="100" w:afterAutospacing="1" w:line="360" w:lineRule="auto"/>
        <w:jc w:val="both"/>
        <w:rPr>
          <w:rFonts w:ascii="Arial" w:hAnsi="Arial" w:cs="Arial"/>
          <w:sz w:val="24"/>
          <w:szCs w:val="24"/>
          <w:lang w:val="es-ES_tradnl"/>
        </w:rPr>
      </w:pPr>
      <w:r w:rsidRPr="00B92499">
        <w:rPr>
          <w:rFonts w:ascii="Arial" w:hAnsi="Arial" w:cs="Arial"/>
          <w:sz w:val="24"/>
          <w:szCs w:val="24"/>
          <w:lang w:val="es-ES_tradnl"/>
        </w:rPr>
        <w:t>Artículo</w:t>
      </w:r>
      <w:r w:rsidR="00940CBA" w:rsidRPr="00B92499">
        <w:rPr>
          <w:rFonts w:ascii="Arial" w:hAnsi="Arial" w:cs="Arial"/>
          <w:sz w:val="24"/>
          <w:szCs w:val="24"/>
          <w:lang w:val="es-ES_tradnl"/>
        </w:rPr>
        <w:t xml:space="preserve"> 146. Disposiciones Particulares, y </w:t>
      </w:r>
    </w:p>
    <w:p w14:paraId="71CF512B" w14:textId="6231C6F3" w:rsidR="00940CBA" w:rsidRPr="00B92499" w:rsidRDefault="009D7771" w:rsidP="002E7D47">
      <w:pPr>
        <w:pStyle w:val="Prrafodelista"/>
        <w:numPr>
          <w:ilvl w:val="0"/>
          <w:numId w:val="1"/>
        </w:numPr>
        <w:spacing w:before="100" w:beforeAutospacing="1" w:after="100" w:afterAutospacing="1" w:line="360" w:lineRule="auto"/>
        <w:jc w:val="both"/>
        <w:rPr>
          <w:rFonts w:ascii="Arial" w:hAnsi="Arial" w:cs="Arial"/>
          <w:sz w:val="24"/>
          <w:szCs w:val="24"/>
          <w:lang w:val="es-ES_tradnl"/>
        </w:rPr>
      </w:pPr>
      <w:r w:rsidRPr="00B92499">
        <w:rPr>
          <w:rFonts w:ascii="Arial" w:hAnsi="Arial" w:cs="Arial"/>
          <w:sz w:val="24"/>
          <w:szCs w:val="24"/>
          <w:lang w:val="es-ES_tradnl"/>
        </w:rPr>
        <w:t>Artículo</w:t>
      </w:r>
      <w:r w:rsidR="00940CBA" w:rsidRPr="00B92499">
        <w:rPr>
          <w:rFonts w:ascii="Arial" w:hAnsi="Arial" w:cs="Arial"/>
          <w:sz w:val="24"/>
          <w:szCs w:val="24"/>
          <w:lang w:val="es-ES_tradnl"/>
        </w:rPr>
        <w:t xml:space="preserve"> 147. Disposiciones Particulares.</w:t>
      </w:r>
    </w:p>
    <w:p w14:paraId="0DB6079B" w14:textId="443FC72D" w:rsidR="001568FE" w:rsidRPr="00B92499" w:rsidRDefault="00940CBA" w:rsidP="009F64B5">
      <w:pPr>
        <w:pStyle w:val="Ttulo3"/>
        <w:numPr>
          <w:ilvl w:val="2"/>
          <w:numId w:val="7"/>
        </w:numPr>
        <w:contextualSpacing/>
        <w:jc w:val="both"/>
        <w:rPr>
          <w:rFonts w:ascii="Arial" w:hAnsi="Arial" w:cs="Arial"/>
          <w:b/>
          <w:color w:val="auto"/>
        </w:rPr>
      </w:pPr>
      <w:bookmarkStart w:id="11" w:name="_Toc23252969"/>
      <w:r w:rsidRPr="00B92499">
        <w:rPr>
          <w:rFonts w:ascii="Arial" w:hAnsi="Arial" w:cs="Arial"/>
          <w:b/>
          <w:color w:val="auto"/>
        </w:rPr>
        <w:t>Análisis global de cumplimiento de la Administración Central</w:t>
      </w:r>
      <w:bookmarkEnd w:id="11"/>
      <w:r w:rsidRPr="00B92499">
        <w:rPr>
          <w:rFonts w:ascii="Arial" w:hAnsi="Arial" w:cs="Arial"/>
          <w:b/>
          <w:color w:val="auto"/>
        </w:rPr>
        <w:t xml:space="preserve"> </w:t>
      </w:r>
    </w:p>
    <w:p w14:paraId="19847DB5" w14:textId="49411640" w:rsidR="001568FE" w:rsidRPr="00B92499" w:rsidRDefault="001568FE" w:rsidP="001568FE">
      <w:pPr>
        <w:spacing w:before="100" w:beforeAutospacing="1" w:after="100" w:afterAutospacing="1" w:line="360" w:lineRule="auto"/>
        <w:contextualSpacing/>
        <w:jc w:val="both"/>
        <w:rPr>
          <w:rFonts w:ascii="Arial" w:hAnsi="Arial" w:cs="Arial"/>
          <w:u w:val="single"/>
        </w:rPr>
      </w:pPr>
      <w:r w:rsidRPr="00B92499">
        <w:rPr>
          <w:rFonts w:ascii="Arial" w:hAnsi="Arial" w:cs="Arial"/>
          <w:u w:val="single"/>
        </w:rPr>
        <w:t xml:space="preserve">Índices Globales de Cumplimiento de las </w:t>
      </w:r>
      <w:r w:rsidR="008710F6" w:rsidRPr="00B92499">
        <w:rPr>
          <w:rFonts w:ascii="Arial" w:hAnsi="Arial" w:cs="Arial"/>
          <w:u w:val="single"/>
        </w:rPr>
        <w:t>obligaciones de transparencia</w:t>
      </w:r>
    </w:p>
    <w:p w14:paraId="22FDF9B1" w14:textId="77777777" w:rsidR="001568FE" w:rsidRPr="00B92499" w:rsidRDefault="001568FE" w:rsidP="001568FE">
      <w:pPr>
        <w:spacing w:before="100" w:beforeAutospacing="1" w:after="100" w:afterAutospacing="1" w:line="360" w:lineRule="auto"/>
        <w:contextualSpacing/>
        <w:jc w:val="both"/>
        <w:rPr>
          <w:rFonts w:ascii="Arial" w:hAnsi="Arial" w:cs="Arial"/>
          <w:u w:val="single"/>
        </w:rPr>
      </w:pPr>
    </w:p>
    <w:p w14:paraId="58B3394C" w14:textId="529B445C" w:rsidR="001568FE" w:rsidRPr="00B92499" w:rsidRDefault="001568FE" w:rsidP="001568FE">
      <w:pPr>
        <w:spacing w:before="100" w:beforeAutospacing="1" w:after="100" w:afterAutospacing="1" w:line="360" w:lineRule="auto"/>
        <w:contextualSpacing/>
        <w:jc w:val="both"/>
        <w:rPr>
          <w:rFonts w:ascii="Arial" w:hAnsi="Arial" w:cs="Arial"/>
        </w:rPr>
      </w:pPr>
      <w:r w:rsidRPr="00B92499">
        <w:rPr>
          <w:rFonts w:ascii="Arial" w:hAnsi="Arial" w:cs="Arial"/>
        </w:rPr>
        <w:t>Con relación al IGOT, la calificación más alta fue de 100</w:t>
      </w:r>
      <w:r w:rsidR="00116D85" w:rsidRPr="00B92499">
        <w:rPr>
          <w:rFonts w:ascii="Arial" w:hAnsi="Arial" w:cs="Arial"/>
        </w:rPr>
        <w:t>%</w:t>
      </w:r>
      <w:r w:rsidRPr="00B92499">
        <w:rPr>
          <w:rFonts w:ascii="Arial" w:hAnsi="Arial" w:cs="Arial"/>
        </w:rPr>
        <w:t xml:space="preserve"> y las más baja de </w:t>
      </w:r>
      <w:r w:rsidR="00116D85" w:rsidRPr="00B92499">
        <w:rPr>
          <w:rFonts w:ascii="Arial" w:hAnsi="Arial" w:cs="Arial"/>
        </w:rPr>
        <w:t>88.84%</w:t>
      </w:r>
      <w:r w:rsidRPr="00B92499">
        <w:rPr>
          <w:rFonts w:ascii="Arial" w:hAnsi="Arial" w:cs="Arial"/>
        </w:rPr>
        <w:t xml:space="preserve">; obteniendo este orden de gobierno una calificación promedio de </w:t>
      </w:r>
      <w:r w:rsidR="00116D85" w:rsidRPr="00B92499">
        <w:rPr>
          <w:rFonts w:ascii="Arial" w:hAnsi="Arial" w:cs="Arial"/>
        </w:rPr>
        <w:t>96.23%</w:t>
      </w:r>
      <w:r w:rsidRPr="00B92499">
        <w:rPr>
          <w:rFonts w:ascii="Arial" w:hAnsi="Arial" w:cs="Arial"/>
        </w:rPr>
        <w:t>.</w:t>
      </w:r>
      <w:r w:rsidR="000D67A7" w:rsidRPr="00B92499">
        <w:rPr>
          <w:rFonts w:ascii="Arial" w:hAnsi="Arial" w:cs="Arial"/>
        </w:rPr>
        <w:t xml:space="preserve"> 4 </w:t>
      </w:r>
      <w:r w:rsidR="008710F6" w:rsidRPr="00B92499">
        <w:rPr>
          <w:rFonts w:ascii="Arial" w:hAnsi="Arial" w:cs="Arial"/>
        </w:rPr>
        <w:t>sujeto</w:t>
      </w:r>
      <w:r w:rsidRPr="00B92499">
        <w:rPr>
          <w:rFonts w:ascii="Arial" w:hAnsi="Arial" w:cs="Arial"/>
        </w:rPr>
        <w:t xml:space="preserve">s </w:t>
      </w:r>
      <w:r w:rsidR="008710F6" w:rsidRPr="00B92499">
        <w:rPr>
          <w:rFonts w:ascii="Arial" w:hAnsi="Arial" w:cs="Arial"/>
        </w:rPr>
        <w:t>obligado</w:t>
      </w:r>
      <w:r w:rsidRPr="00B92499">
        <w:rPr>
          <w:rFonts w:ascii="Arial" w:hAnsi="Arial" w:cs="Arial"/>
        </w:rPr>
        <w:t>s obtuvieron un cumplimiento total</w:t>
      </w:r>
      <w:r w:rsidR="00116D85" w:rsidRPr="00B92499">
        <w:rPr>
          <w:rFonts w:ascii="Arial" w:hAnsi="Arial" w:cs="Arial"/>
        </w:rPr>
        <w:t xml:space="preserve"> y</w:t>
      </w:r>
      <w:r w:rsidR="000D67A7" w:rsidRPr="00B92499">
        <w:rPr>
          <w:rFonts w:ascii="Arial" w:hAnsi="Arial" w:cs="Arial"/>
        </w:rPr>
        <w:t xml:space="preserve"> 4 </w:t>
      </w:r>
      <w:r w:rsidR="00116D85" w:rsidRPr="00B92499">
        <w:rPr>
          <w:rFonts w:ascii="Arial" w:hAnsi="Arial" w:cs="Arial"/>
        </w:rPr>
        <w:t>un cumplimiento parcial</w:t>
      </w:r>
      <w:r w:rsidRPr="00B92499">
        <w:rPr>
          <w:rFonts w:ascii="Arial" w:hAnsi="Arial" w:cs="Arial"/>
        </w:rPr>
        <w:t xml:space="preserve"> obteniendo una calificación entre </w:t>
      </w:r>
      <w:r w:rsidR="00116D85" w:rsidRPr="00B92499">
        <w:rPr>
          <w:rFonts w:ascii="Arial" w:hAnsi="Arial" w:cs="Arial"/>
        </w:rPr>
        <w:t>88.84%</w:t>
      </w:r>
      <w:r w:rsidRPr="00B92499">
        <w:rPr>
          <w:rFonts w:ascii="Arial" w:hAnsi="Arial" w:cs="Arial"/>
        </w:rPr>
        <w:t xml:space="preserve"> y </w:t>
      </w:r>
      <w:r w:rsidR="00116D85" w:rsidRPr="00B92499">
        <w:rPr>
          <w:rFonts w:ascii="Arial" w:hAnsi="Arial" w:cs="Arial"/>
        </w:rPr>
        <w:t>98.92%</w:t>
      </w:r>
      <w:r w:rsidRPr="00B92499">
        <w:rPr>
          <w:rFonts w:ascii="Arial" w:hAnsi="Arial" w:cs="Arial"/>
        </w:rPr>
        <w:t>.</w:t>
      </w:r>
    </w:p>
    <w:p w14:paraId="74456825" w14:textId="77777777" w:rsidR="00116D85" w:rsidRPr="00B92499" w:rsidRDefault="00116D85" w:rsidP="001568FE">
      <w:pPr>
        <w:spacing w:before="100" w:beforeAutospacing="1" w:after="100" w:afterAutospacing="1" w:line="360" w:lineRule="auto"/>
        <w:contextualSpacing/>
        <w:jc w:val="both"/>
        <w:rPr>
          <w:rFonts w:ascii="Arial" w:hAnsi="Arial" w:cs="Arial"/>
        </w:rPr>
      </w:pPr>
    </w:p>
    <w:p w14:paraId="6EA9EE7A" w14:textId="1A531E1E" w:rsidR="001568FE" w:rsidRPr="00B92499" w:rsidRDefault="001568FE" w:rsidP="001568FE">
      <w:pPr>
        <w:spacing w:before="100" w:beforeAutospacing="1" w:after="100" w:afterAutospacing="1" w:line="360" w:lineRule="auto"/>
        <w:contextualSpacing/>
        <w:jc w:val="both"/>
        <w:rPr>
          <w:rFonts w:ascii="Arial" w:hAnsi="Arial" w:cs="Arial"/>
        </w:rPr>
      </w:pPr>
      <w:r w:rsidRPr="00B92499">
        <w:rPr>
          <w:rFonts w:ascii="Arial" w:hAnsi="Arial" w:cs="Arial"/>
        </w:rPr>
        <w:t xml:space="preserve">En este orden de gobierno existe un grado de cumplimiento de </w:t>
      </w:r>
      <w:r w:rsidR="00116D85" w:rsidRPr="00B92499">
        <w:rPr>
          <w:rFonts w:ascii="Arial" w:hAnsi="Arial" w:cs="Arial"/>
        </w:rPr>
        <w:t>96.23</w:t>
      </w:r>
      <w:r w:rsidRPr="00B92499">
        <w:rPr>
          <w:rFonts w:ascii="Arial" w:hAnsi="Arial" w:cs="Arial"/>
        </w:rPr>
        <w:t>% en lo que respecta a la publicación general de la información, 9</w:t>
      </w:r>
      <w:r w:rsidR="0022431F" w:rsidRPr="00B92499">
        <w:rPr>
          <w:rFonts w:ascii="Arial" w:hAnsi="Arial" w:cs="Arial"/>
        </w:rPr>
        <w:t>6.61</w:t>
      </w:r>
      <w:r w:rsidRPr="00B92499">
        <w:rPr>
          <w:rFonts w:ascii="Arial" w:hAnsi="Arial" w:cs="Arial"/>
        </w:rPr>
        <w:t xml:space="preserve">% sobre la publicación en la PNT y </w:t>
      </w:r>
      <w:r w:rsidR="0022431F" w:rsidRPr="00B92499">
        <w:rPr>
          <w:rFonts w:ascii="Arial" w:hAnsi="Arial" w:cs="Arial"/>
        </w:rPr>
        <w:t>95.85</w:t>
      </w:r>
      <w:r w:rsidRPr="00B92499">
        <w:rPr>
          <w:rFonts w:ascii="Arial" w:hAnsi="Arial" w:cs="Arial"/>
        </w:rPr>
        <w:t xml:space="preserve">% en los portales institucionales de los </w:t>
      </w:r>
      <w:r w:rsidR="008710F6" w:rsidRPr="00B92499">
        <w:rPr>
          <w:rFonts w:ascii="Arial" w:hAnsi="Arial" w:cs="Arial"/>
        </w:rPr>
        <w:t>sujeto</w:t>
      </w:r>
      <w:r w:rsidRPr="00B92499">
        <w:rPr>
          <w:rFonts w:ascii="Arial" w:hAnsi="Arial" w:cs="Arial"/>
        </w:rPr>
        <w:t xml:space="preserve">s </w:t>
      </w:r>
      <w:r w:rsidR="008710F6" w:rsidRPr="00B92499">
        <w:rPr>
          <w:rFonts w:ascii="Arial" w:hAnsi="Arial" w:cs="Arial"/>
        </w:rPr>
        <w:t>obligado</w:t>
      </w:r>
      <w:r w:rsidRPr="00B92499">
        <w:rPr>
          <w:rFonts w:ascii="Arial" w:hAnsi="Arial" w:cs="Arial"/>
        </w:rPr>
        <w:t xml:space="preserve">s. </w:t>
      </w:r>
    </w:p>
    <w:p w14:paraId="082E9E4F" w14:textId="77777777" w:rsidR="001568FE" w:rsidRPr="00B92499" w:rsidRDefault="001568FE" w:rsidP="001568FE">
      <w:pPr>
        <w:spacing w:before="100" w:beforeAutospacing="1" w:after="100" w:afterAutospacing="1" w:line="360" w:lineRule="auto"/>
        <w:contextualSpacing/>
        <w:jc w:val="both"/>
        <w:rPr>
          <w:rFonts w:ascii="Arial" w:hAnsi="Arial" w:cs="Arial"/>
        </w:rPr>
      </w:pPr>
    </w:p>
    <w:p w14:paraId="7F7BE408" w14:textId="350AA8CA" w:rsidR="001568FE" w:rsidRPr="00B92499" w:rsidRDefault="001568FE" w:rsidP="001568FE">
      <w:pPr>
        <w:spacing w:before="100" w:beforeAutospacing="1" w:after="100" w:afterAutospacing="1" w:line="360" w:lineRule="auto"/>
        <w:contextualSpacing/>
        <w:jc w:val="both"/>
        <w:rPr>
          <w:rFonts w:ascii="Arial" w:hAnsi="Arial" w:cs="Arial"/>
        </w:rPr>
      </w:pPr>
      <w:r w:rsidRPr="00B92499">
        <w:rPr>
          <w:rFonts w:ascii="Arial" w:hAnsi="Arial" w:cs="Arial"/>
        </w:rPr>
        <w:t xml:space="preserve">No obstante, el grado de cumplimiento anteriormente señalado respecto del ámbito de </w:t>
      </w:r>
      <w:r w:rsidR="0022431F" w:rsidRPr="00B92499">
        <w:rPr>
          <w:rFonts w:ascii="Arial" w:hAnsi="Arial" w:cs="Arial"/>
        </w:rPr>
        <w:t>la Administración Central</w:t>
      </w:r>
      <w:r w:rsidRPr="00B92499">
        <w:rPr>
          <w:rFonts w:ascii="Arial" w:hAnsi="Arial" w:cs="Arial"/>
        </w:rPr>
        <w:t xml:space="preserve"> está conformado por el índice de cumplimiento respecto de la información que se encuentra pública y actualizada tanto en los Portales de Internet Institucionales como en la Plataforma Nacional de Transparencia y el índice de cumplimiento respecto de lo mandatado en las obligaciones de transparencia a través de la publicación de una nota fundada y motivada que aclara el por qué no se generó, publicó o actualizó la información. </w:t>
      </w:r>
    </w:p>
    <w:p w14:paraId="4EE814F8" w14:textId="77777777" w:rsidR="001568FE" w:rsidRPr="00B92499" w:rsidRDefault="001568FE" w:rsidP="001568FE">
      <w:pPr>
        <w:spacing w:before="100" w:beforeAutospacing="1" w:after="100" w:afterAutospacing="1" w:line="360" w:lineRule="auto"/>
        <w:contextualSpacing/>
        <w:jc w:val="both"/>
        <w:rPr>
          <w:rFonts w:ascii="Arial" w:hAnsi="Arial" w:cs="Arial"/>
        </w:rPr>
      </w:pPr>
    </w:p>
    <w:p w14:paraId="387956EB" w14:textId="487AD0B6" w:rsidR="001568FE" w:rsidRPr="00B92499" w:rsidRDefault="001568FE" w:rsidP="001568FE">
      <w:pPr>
        <w:spacing w:before="100" w:beforeAutospacing="1" w:after="100" w:afterAutospacing="1" w:line="360" w:lineRule="auto"/>
        <w:contextualSpacing/>
        <w:jc w:val="both"/>
        <w:rPr>
          <w:rFonts w:ascii="Arial" w:hAnsi="Arial" w:cs="Arial"/>
        </w:rPr>
      </w:pPr>
      <w:r w:rsidRPr="00B92499">
        <w:rPr>
          <w:rFonts w:ascii="Arial" w:hAnsi="Arial" w:cs="Arial"/>
        </w:rPr>
        <w:t xml:space="preserve">El grado de cumplimiento de este ámbito, consistente en </w:t>
      </w:r>
      <w:r w:rsidR="0022431F" w:rsidRPr="00B92499">
        <w:rPr>
          <w:rFonts w:ascii="Arial" w:hAnsi="Arial" w:cs="Arial"/>
        </w:rPr>
        <w:t xml:space="preserve">96.23% </w:t>
      </w:r>
      <w:r w:rsidRPr="00B92499">
        <w:rPr>
          <w:rFonts w:ascii="Arial" w:hAnsi="Arial" w:cs="Arial"/>
        </w:rPr>
        <w:t xml:space="preserve">está integrado por </w:t>
      </w:r>
      <w:r w:rsidR="0022431F" w:rsidRPr="00B92499">
        <w:rPr>
          <w:rFonts w:ascii="Arial" w:hAnsi="Arial" w:cs="Arial"/>
        </w:rPr>
        <w:t>95</w:t>
      </w:r>
      <w:r w:rsidRPr="00B92499">
        <w:rPr>
          <w:rFonts w:ascii="Arial" w:hAnsi="Arial" w:cs="Arial"/>
        </w:rPr>
        <w:t xml:space="preserve">% de información publicada y actualizada en atención a los principios mandatados en la Ley de Transparencia Local y un </w:t>
      </w:r>
      <w:r w:rsidR="0022431F" w:rsidRPr="00B92499">
        <w:rPr>
          <w:rFonts w:ascii="Arial" w:hAnsi="Arial" w:cs="Arial"/>
        </w:rPr>
        <w:t>1.23</w:t>
      </w:r>
      <w:r w:rsidRPr="00B92499">
        <w:rPr>
          <w:rFonts w:ascii="Arial" w:hAnsi="Arial" w:cs="Arial"/>
        </w:rPr>
        <w:t xml:space="preserve">% que corresponde a notas aclaratorias. </w:t>
      </w:r>
    </w:p>
    <w:p w14:paraId="220853A2" w14:textId="77777777" w:rsidR="001568FE" w:rsidRPr="00B92499" w:rsidRDefault="001568FE" w:rsidP="001568FE">
      <w:pPr>
        <w:spacing w:before="100" w:beforeAutospacing="1" w:after="100" w:afterAutospacing="1" w:line="360" w:lineRule="auto"/>
        <w:contextualSpacing/>
        <w:jc w:val="both"/>
        <w:rPr>
          <w:rFonts w:ascii="Arial" w:hAnsi="Arial" w:cs="Arial"/>
        </w:rPr>
      </w:pPr>
    </w:p>
    <w:p w14:paraId="347D34A9" w14:textId="22FECE6A" w:rsidR="001568FE" w:rsidRPr="00B92499" w:rsidRDefault="001568FE" w:rsidP="001568FE">
      <w:pPr>
        <w:spacing w:before="100" w:beforeAutospacing="1" w:after="100" w:afterAutospacing="1" w:line="360" w:lineRule="auto"/>
        <w:contextualSpacing/>
        <w:jc w:val="both"/>
        <w:rPr>
          <w:rFonts w:ascii="Arial" w:hAnsi="Arial" w:cs="Arial"/>
          <w:u w:val="single"/>
        </w:rPr>
      </w:pPr>
      <w:r w:rsidRPr="00B92499">
        <w:rPr>
          <w:rFonts w:ascii="Arial" w:hAnsi="Arial" w:cs="Arial"/>
          <w:u w:val="single"/>
        </w:rPr>
        <w:lastRenderedPageBreak/>
        <w:t xml:space="preserve">Cumplimiento diferenciado por </w:t>
      </w:r>
      <w:r w:rsidR="008F67E4" w:rsidRPr="00B92499">
        <w:rPr>
          <w:rFonts w:ascii="Arial" w:hAnsi="Arial" w:cs="Arial"/>
          <w:u w:val="single"/>
        </w:rPr>
        <w:t>artículo</w:t>
      </w:r>
      <w:r w:rsidRPr="00B92499">
        <w:rPr>
          <w:rFonts w:ascii="Arial" w:hAnsi="Arial" w:cs="Arial"/>
          <w:u w:val="single"/>
        </w:rPr>
        <w:t xml:space="preserve">s </w:t>
      </w:r>
    </w:p>
    <w:p w14:paraId="425A03D2" w14:textId="77777777" w:rsidR="001568FE" w:rsidRPr="00B92499" w:rsidRDefault="001568FE" w:rsidP="001568FE">
      <w:pPr>
        <w:spacing w:before="100" w:beforeAutospacing="1" w:after="100" w:afterAutospacing="1" w:line="360" w:lineRule="auto"/>
        <w:contextualSpacing/>
        <w:jc w:val="both"/>
        <w:rPr>
          <w:rFonts w:ascii="Arial" w:hAnsi="Arial" w:cs="Arial"/>
          <w:u w:val="single"/>
        </w:rPr>
      </w:pPr>
    </w:p>
    <w:p w14:paraId="1251739F" w14:textId="67825D39" w:rsidR="001568FE" w:rsidRPr="00B92499" w:rsidRDefault="001568FE" w:rsidP="001568FE">
      <w:pPr>
        <w:spacing w:before="100" w:beforeAutospacing="1" w:after="100" w:afterAutospacing="1" w:line="360" w:lineRule="auto"/>
        <w:contextualSpacing/>
        <w:jc w:val="both"/>
        <w:rPr>
          <w:rFonts w:ascii="Arial" w:hAnsi="Arial" w:cs="Arial"/>
        </w:rPr>
      </w:pPr>
      <w:r w:rsidRPr="00B92499">
        <w:rPr>
          <w:rFonts w:ascii="Arial" w:hAnsi="Arial" w:cs="Arial"/>
        </w:rPr>
        <w:t xml:space="preserve">Con relación al tipo de obligaciones de transparencia, este orden de gobierno del ámbito ejecutivo ha cumplido parcialmente en la publicación y actualización de sus obligaciones comunes, específicas y disposiciones particulares; obteniendo un promedio de cumplimiento de </w:t>
      </w:r>
      <w:r w:rsidR="0022431F" w:rsidRPr="00B92499">
        <w:rPr>
          <w:rFonts w:ascii="Arial" w:hAnsi="Arial" w:cs="Arial"/>
        </w:rPr>
        <w:t>97.82</w:t>
      </w:r>
      <w:r w:rsidRPr="00B92499">
        <w:rPr>
          <w:rFonts w:ascii="Arial" w:hAnsi="Arial" w:cs="Arial"/>
        </w:rPr>
        <w:t xml:space="preserve">%, </w:t>
      </w:r>
      <w:r w:rsidR="0022431F" w:rsidRPr="00B92499">
        <w:rPr>
          <w:rFonts w:ascii="Arial" w:hAnsi="Arial" w:cs="Arial"/>
        </w:rPr>
        <w:t>97.14</w:t>
      </w:r>
      <w:r w:rsidRPr="00B92499">
        <w:rPr>
          <w:rFonts w:ascii="Arial" w:hAnsi="Arial" w:cs="Arial"/>
        </w:rPr>
        <w:t>% y 9</w:t>
      </w:r>
      <w:r w:rsidR="0022431F" w:rsidRPr="00B92499">
        <w:rPr>
          <w:rFonts w:ascii="Arial" w:hAnsi="Arial" w:cs="Arial"/>
        </w:rPr>
        <w:t>4.91</w:t>
      </w:r>
      <w:r w:rsidRPr="00B92499">
        <w:rPr>
          <w:rFonts w:ascii="Arial" w:hAnsi="Arial" w:cs="Arial"/>
        </w:rPr>
        <w:t xml:space="preserve">% respectivamente. </w:t>
      </w:r>
    </w:p>
    <w:p w14:paraId="59CD568E" w14:textId="77777777" w:rsidR="001568FE" w:rsidRPr="00B92499" w:rsidRDefault="001568FE" w:rsidP="001568FE">
      <w:pPr>
        <w:spacing w:before="100" w:beforeAutospacing="1" w:after="100" w:afterAutospacing="1" w:line="360" w:lineRule="auto"/>
        <w:contextualSpacing/>
        <w:jc w:val="both"/>
        <w:rPr>
          <w:rFonts w:ascii="Arial" w:hAnsi="Arial" w:cs="Arial"/>
        </w:rPr>
      </w:pPr>
    </w:p>
    <w:p w14:paraId="357E5D7A" w14:textId="08A3D62D" w:rsidR="001568FE" w:rsidRPr="00B92499" w:rsidRDefault="001568FE" w:rsidP="001568FE">
      <w:pPr>
        <w:spacing w:before="100" w:beforeAutospacing="1" w:after="100" w:afterAutospacing="1" w:line="360" w:lineRule="auto"/>
        <w:contextualSpacing/>
        <w:jc w:val="both"/>
        <w:rPr>
          <w:rFonts w:ascii="Arial" w:hAnsi="Arial" w:cs="Arial"/>
        </w:rPr>
      </w:pPr>
      <w:r w:rsidRPr="00B92499">
        <w:rPr>
          <w:rFonts w:ascii="Arial" w:hAnsi="Arial" w:cs="Arial"/>
        </w:rPr>
        <w:t xml:space="preserve">En esta misma línea, el </w:t>
      </w:r>
      <w:r w:rsidR="0022431F" w:rsidRPr="00B92499">
        <w:rPr>
          <w:rFonts w:ascii="Arial" w:hAnsi="Arial" w:cs="Arial"/>
        </w:rPr>
        <w:t>a</w:t>
      </w:r>
      <w:r w:rsidRPr="00B92499">
        <w:rPr>
          <w:rFonts w:ascii="Arial" w:hAnsi="Arial" w:cs="Arial"/>
        </w:rPr>
        <w:t xml:space="preserve">rtículo 145 tuvo </w:t>
      </w:r>
      <w:r w:rsidR="0022431F" w:rsidRPr="00B92499">
        <w:rPr>
          <w:rFonts w:ascii="Arial" w:hAnsi="Arial" w:cs="Arial"/>
        </w:rPr>
        <w:t xml:space="preserve">un cumplimiento total, el artículo 143 alcanzó </w:t>
      </w:r>
      <w:r w:rsidRPr="00B92499">
        <w:rPr>
          <w:rFonts w:ascii="Arial" w:hAnsi="Arial" w:cs="Arial"/>
        </w:rPr>
        <w:t>un ICP de 99.</w:t>
      </w:r>
      <w:r w:rsidR="0022431F" w:rsidRPr="00B92499">
        <w:rPr>
          <w:rFonts w:ascii="Arial" w:hAnsi="Arial" w:cs="Arial"/>
        </w:rPr>
        <w:t>69%</w:t>
      </w:r>
      <w:r w:rsidRPr="00B92499">
        <w:rPr>
          <w:rFonts w:ascii="Arial" w:hAnsi="Arial" w:cs="Arial"/>
        </w:rPr>
        <w:t xml:space="preserve">, el </w:t>
      </w:r>
      <w:r w:rsidR="0022431F" w:rsidRPr="00B92499">
        <w:rPr>
          <w:rFonts w:ascii="Arial" w:hAnsi="Arial" w:cs="Arial"/>
        </w:rPr>
        <w:t xml:space="preserve">artículo </w:t>
      </w:r>
      <w:r w:rsidRPr="00B92499">
        <w:rPr>
          <w:rFonts w:ascii="Arial" w:hAnsi="Arial" w:cs="Arial"/>
        </w:rPr>
        <w:t>1</w:t>
      </w:r>
      <w:r w:rsidR="0022431F" w:rsidRPr="00B92499">
        <w:rPr>
          <w:rFonts w:ascii="Arial" w:hAnsi="Arial" w:cs="Arial"/>
        </w:rPr>
        <w:t>22</w:t>
      </w:r>
      <w:r w:rsidRPr="00B92499">
        <w:rPr>
          <w:rFonts w:ascii="Arial" w:hAnsi="Arial" w:cs="Arial"/>
        </w:rPr>
        <w:t xml:space="preserve"> obtuvo ICP de 9</w:t>
      </w:r>
      <w:r w:rsidR="0022431F" w:rsidRPr="00B92499">
        <w:rPr>
          <w:rFonts w:ascii="Arial" w:hAnsi="Arial" w:cs="Arial"/>
        </w:rPr>
        <w:t>9.32</w:t>
      </w:r>
      <w:r w:rsidRPr="00B92499">
        <w:rPr>
          <w:rFonts w:ascii="Arial" w:hAnsi="Arial" w:cs="Arial"/>
        </w:rPr>
        <w:t>%, el</w:t>
      </w:r>
      <w:r w:rsidR="0022431F" w:rsidRPr="00B92499">
        <w:rPr>
          <w:rFonts w:ascii="Arial" w:hAnsi="Arial" w:cs="Arial"/>
        </w:rPr>
        <w:t xml:space="preserve"> artículo 123 logró </w:t>
      </w:r>
      <w:r w:rsidRPr="00B92499">
        <w:rPr>
          <w:rFonts w:ascii="Arial" w:hAnsi="Arial" w:cs="Arial"/>
        </w:rPr>
        <w:t>un ICP de 9</w:t>
      </w:r>
      <w:r w:rsidR="0022431F" w:rsidRPr="00B92499">
        <w:rPr>
          <w:rFonts w:ascii="Arial" w:hAnsi="Arial" w:cs="Arial"/>
        </w:rPr>
        <w:t>7.14</w:t>
      </w:r>
      <w:r w:rsidRPr="00B92499">
        <w:rPr>
          <w:rFonts w:ascii="Arial" w:hAnsi="Arial" w:cs="Arial"/>
        </w:rPr>
        <w:t xml:space="preserve">%, el </w:t>
      </w:r>
      <w:r w:rsidR="0022431F" w:rsidRPr="00B92499">
        <w:rPr>
          <w:rFonts w:ascii="Arial" w:hAnsi="Arial" w:cs="Arial"/>
        </w:rPr>
        <w:t xml:space="preserve">artículo </w:t>
      </w:r>
      <w:r w:rsidRPr="00B92499">
        <w:rPr>
          <w:rFonts w:ascii="Arial" w:hAnsi="Arial" w:cs="Arial"/>
        </w:rPr>
        <w:t>12</w:t>
      </w:r>
      <w:r w:rsidR="0022431F" w:rsidRPr="00B92499">
        <w:rPr>
          <w:rFonts w:ascii="Arial" w:hAnsi="Arial" w:cs="Arial"/>
        </w:rPr>
        <w:t>1 tuvo un ICP de 96.31</w:t>
      </w:r>
      <w:r w:rsidRPr="00B92499">
        <w:rPr>
          <w:rFonts w:ascii="Arial" w:hAnsi="Arial" w:cs="Arial"/>
        </w:rPr>
        <w:t xml:space="preserve">%, el </w:t>
      </w:r>
      <w:r w:rsidR="0022431F" w:rsidRPr="00B92499">
        <w:rPr>
          <w:rFonts w:ascii="Arial" w:hAnsi="Arial" w:cs="Arial"/>
        </w:rPr>
        <w:t xml:space="preserve">artículo </w:t>
      </w:r>
      <w:r w:rsidRPr="00B92499">
        <w:rPr>
          <w:rFonts w:ascii="Arial" w:hAnsi="Arial" w:cs="Arial"/>
        </w:rPr>
        <w:t>1</w:t>
      </w:r>
      <w:r w:rsidR="0022431F" w:rsidRPr="00B92499">
        <w:rPr>
          <w:rFonts w:ascii="Arial" w:hAnsi="Arial" w:cs="Arial"/>
        </w:rPr>
        <w:t>47 logró un ICP</w:t>
      </w:r>
      <w:r w:rsidRPr="00B92499">
        <w:rPr>
          <w:rFonts w:ascii="Arial" w:hAnsi="Arial" w:cs="Arial"/>
        </w:rPr>
        <w:t xml:space="preserve"> de </w:t>
      </w:r>
      <w:r w:rsidR="0022431F" w:rsidRPr="00B92499">
        <w:rPr>
          <w:rFonts w:ascii="Arial" w:hAnsi="Arial" w:cs="Arial"/>
        </w:rPr>
        <w:t>92.78</w:t>
      </w:r>
      <w:r w:rsidRPr="00B92499">
        <w:rPr>
          <w:rFonts w:ascii="Arial" w:hAnsi="Arial" w:cs="Arial"/>
        </w:rPr>
        <w:t>%</w:t>
      </w:r>
      <w:r w:rsidR="0022431F" w:rsidRPr="00B92499">
        <w:rPr>
          <w:rFonts w:ascii="Arial" w:hAnsi="Arial" w:cs="Arial"/>
        </w:rPr>
        <w:t xml:space="preserve"> y, </w:t>
      </w:r>
      <w:r w:rsidRPr="00B92499">
        <w:rPr>
          <w:rFonts w:ascii="Arial" w:hAnsi="Arial" w:cs="Arial"/>
        </w:rPr>
        <w:t>por último</w:t>
      </w:r>
      <w:r w:rsidR="0022431F" w:rsidRPr="00B92499">
        <w:rPr>
          <w:rFonts w:ascii="Arial" w:hAnsi="Arial" w:cs="Arial"/>
        </w:rPr>
        <w:t xml:space="preserve">, </w:t>
      </w:r>
      <w:r w:rsidRPr="00B92499">
        <w:rPr>
          <w:rFonts w:ascii="Arial" w:hAnsi="Arial" w:cs="Arial"/>
        </w:rPr>
        <w:t xml:space="preserve">el </w:t>
      </w:r>
      <w:r w:rsidR="0022431F" w:rsidRPr="00B92499">
        <w:rPr>
          <w:rFonts w:ascii="Arial" w:hAnsi="Arial" w:cs="Arial"/>
        </w:rPr>
        <w:t xml:space="preserve">artículo </w:t>
      </w:r>
      <w:r w:rsidRPr="00B92499">
        <w:rPr>
          <w:rFonts w:ascii="Arial" w:hAnsi="Arial" w:cs="Arial"/>
        </w:rPr>
        <w:t>14</w:t>
      </w:r>
      <w:r w:rsidR="0022431F" w:rsidRPr="00B92499">
        <w:rPr>
          <w:rFonts w:ascii="Arial" w:hAnsi="Arial" w:cs="Arial"/>
        </w:rPr>
        <w:t>6</w:t>
      </w:r>
      <w:r w:rsidRPr="00B92499">
        <w:rPr>
          <w:rFonts w:ascii="Arial" w:hAnsi="Arial" w:cs="Arial"/>
        </w:rPr>
        <w:t xml:space="preserve"> </w:t>
      </w:r>
      <w:r w:rsidR="0022431F" w:rsidRPr="00B92499">
        <w:rPr>
          <w:rFonts w:ascii="Arial" w:hAnsi="Arial" w:cs="Arial"/>
        </w:rPr>
        <w:t>alcanzó</w:t>
      </w:r>
      <w:r w:rsidRPr="00B92499">
        <w:rPr>
          <w:rFonts w:ascii="Arial" w:hAnsi="Arial" w:cs="Arial"/>
        </w:rPr>
        <w:t xml:space="preserve"> un ICP de </w:t>
      </w:r>
      <w:r w:rsidR="0022431F" w:rsidRPr="00B92499">
        <w:rPr>
          <w:rFonts w:ascii="Arial" w:hAnsi="Arial" w:cs="Arial"/>
        </w:rPr>
        <w:t>87.17</w:t>
      </w:r>
      <w:r w:rsidRPr="00B92499">
        <w:rPr>
          <w:rFonts w:ascii="Arial" w:hAnsi="Arial" w:cs="Arial"/>
        </w:rPr>
        <w:t xml:space="preserve">%. </w:t>
      </w:r>
    </w:p>
    <w:p w14:paraId="4BD4EDA2" w14:textId="77777777" w:rsidR="001568FE" w:rsidRPr="00B92499" w:rsidRDefault="001568FE" w:rsidP="001568FE">
      <w:pPr>
        <w:spacing w:before="100" w:beforeAutospacing="1" w:after="100" w:afterAutospacing="1" w:line="360" w:lineRule="auto"/>
        <w:contextualSpacing/>
        <w:jc w:val="both"/>
        <w:rPr>
          <w:rFonts w:ascii="Arial" w:hAnsi="Arial" w:cs="Arial"/>
        </w:rPr>
      </w:pPr>
    </w:p>
    <w:p w14:paraId="32AF5778" w14:textId="24417786" w:rsidR="001568FE" w:rsidRPr="00B92499" w:rsidRDefault="001568FE" w:rsidP="002E7D47">
      <w:pPr>
        <w:spacing w:before="100" w:beforeAutospacing="1" w:after="100" w:afterAutospacing="1" w:line="360" w:lineRule="auto"/>
        <w:contextualSpacing/>
        <w:jc w:val="both"/>
        <w:rPr>
          <w:rFonts w:ascii="Arial" w:hAnsi="Arial" w:cs="Arial"/>
        </w:rPr>
      </w:pPr>
      <w:r w:rsidRPr="00B92499">
        <w:rPr>
          <w:rFonts w:ascii="Arial" w:hAnsi="Arial" w:cs="Arial"/>
        </w:rPr>
        <w:t xml:space="preserve">De igual forma, respecto de cada uno de los artículos que conforman el índice global, el ICP del artículo 121 está compuesto por </w:t>
      </w:r>
      <w:r w:rsidR="004F1330" w:rsidRPr="00B92499">
        <w:rPr>
          <w:rFonts w:ascii="Arial" w:hAnsi="Arial" w:cs="Arial"/>
        </w:rPr>
        <w:t>1.72%</w:t>
      </w:r>
      <w:r w:rsidRPr="00B92499">
        <w:rPr>
          <w:rFonts w:ascii="Arial" w:hAnsi="Arial" w:cs="Arial"/>
        </w:rPr>
        <w:t xml:space="preserve">% de notas aclaratorias, el ICP del artículo 122 por </w:t>
      </w:r>
      <w:r w:rsidR="004F1330" w:rsidRPr="00B92499">
        <w:rPr>
          <w:rFonts w:ascii="Arial" w:hAnsi="Arial" w:cs="Arial"/>
        </w:rPr>
        <w:t>0.90</w:t>
      </w:r>
      <w:r w:rsidRPr="00B92499">
        <w:rPr>
          <w:rFonts w:ascii="Arial" w:hAnsi="Arial" w:cs="Arial"/>
        </w:rPr>
        <w:t>% de notas, el ICP del artículo 12</w:t>
      </w:r>
      <w:r w:rsidR="004F1330" w:rsidRPr="00B92499">
        <w:rPr>
          <w:rFonts w:ascii="Arial" w:hAnsi="Arial" w:cs="Arial"/>
        </w:rPr>
        <w:t>3</w:t>
      </w:r>
      <w:r w:rsidRPr="00B92499">
        <w:rPr>
          <w:rFonts w:ascii="Arial" w:hAnsi="Arial" w:cs="Arial"/>
        </w:rPr>
        <w:t xml:space="preserve"> por </w:t>
      </w:r>
      <w:r w:rsidR="004F1330" w:rsidRPr="00B92499">
        <w:rPr>
          <w:rFonts w:ascii="Arial" w:hAnsi="Arial" w:cs="Arial"/>
        </w:rPr>
        <w:t>0.28</w:t>
      </w:r>
      <w:r w:rsidRPr="00B92499">
        <w:rPr>
          <w:rFonts w:ascii="Arial" w:hAnsi="Arial" w:cs="Arial"/>
        </w:rPr>
        <w:t xml:space="preserve">% de notas, el ICP del artículo 143 por </w:t>
      </w:r>
      <w:r w:rsidR="004F1330" w:rsidRPr="00B92499">
        <w:rPr>
          <w:rFonts w:ascii="Arial" w:hAnsi="Arial" w:cs="Arial"/>
        </w:rPr>
        <w:t>2.60</w:t>
      </w:r>
      <w:r w:rsidRPr="00B92499">
        <w:rPr>
          <w:rFonts w:ascii="Arial" w:hAnsi="Arial" w:cs="Arial"/>
        </w:rPr>
        <w:t>% de notas, y los ICP de los artículos 145</w:t>
      </w:r>
      <w:r w:rsidR="004F1330" w:rsidRPr="00B92499">
        <w:rPr>
          <w:rFonts w:ascii="Arial" w:hAnsi="Arial" w:cs="Arial"/>
        </w:rPr>
        <w:t>,</w:t>
      </w:r>
      <w:r w:rsidRPr="00B92499">
        <w:rPr>
          <w:rFonts w:ascii="Arial" w:hAnsi="Arial" w:cs="Arial"/>
        </w:rPr>
        <w:t xml:space="preserve"> 14</w:t>
      </w:r>
      <w:r w:rsidR="004F1330" w:rsidRPr="00B92499">
        <w:rPr>
          <w:rFonts w:ascii="Arial" w:hAnsi="Arial" w:cs="Arial"/>
        </w:rPr>
        <w:t>6 y 147</w:t>
      </w:r>
      <w:r w:rsidRPr="00B92499">
        <w:rPr>
          <w:rFonts w:ascii="Arial" w:hAnsi="Arial" w:cs="Arial"/>
        </w:rPr>
        <w:t xml:space="preserve"> no tuvieron cambio alguno, debido a que no fueron utilizadas notas aclaratorias.  </w:t>
      </w:r>
    </w:p>
    <w:p w14:paraId="00AC0400" w14:textId="77777777" w:rsidR="00CF7EED" w:rsidRPr="00B92499" w:rsidRDefault="00CF7EED" w:rsidP="002E7D47">
      <w:pPr>
        <w:spacing w:before="100" w:beforeAutospacing="1" w:after="100" w:afterAutospacing="1" w:line="360" w:lineRule="auto"/>
        <w:contextualSpacing/>
        <w:jc w:val="both"/>
        <w:rPr>
          <w:rFonts w:ascii="Arial" w:hAnsi="Arial" w:cs="Arial"/>
        </w:rPr>
      </w:pPr>
    </w:p>
    <w:p w14:paraId="02D930E3" w14:textId="7E93204D" w:rsidR="00CF7EED" w:rsidRPr="00B92499" w:rsidRDefault="00940CBA" w:rsidP="009F64B5">
      <w:pPr>
        <w:pStyle w:val="Ttulo3"/>
        <w:numPr>
          <w:ilvl w:val="2"/>
          <w:numId w:val="7"/>
        </w:numPr>
        <w:contextualSpacing/>
        <w:jc w:val="both"/>
        <w:rPr>
          <w:rFonts w:ascii="Arial" w:hAnsi="Arial" w:cs="Arial"/>
          <w:b/>
          <w:color w:val="auto"/>
        </w:rPr>
      </w:pPr>
      <w:bookmarkStart w:id="12" w:name="_Toc23252970"/>
      <w:r w:rsidRPr="00B92499">
        <w:rPr>
          <w:rFonts w:ascii="Arial" w:hAnsi="Arial" w:cs="Arial"/>
          <w:b/>
          <w:color w:val="auto"/>
        </w:rPr>
        <w:t xml:space="preserve">Análisis del </w:t>
      </w:r>
      <w:r w:rsidR="008F67E4" w:rsidRPr="00B92499">
        <w:rPr>
          <w:rFonts w:ascii="Arial" w:hAnsi="Arial" w:cs="Arial"/>
          <w:b/>
          <w:color w:val="auto"/>
        </w:rPr>
        <w:t>artículo</w:t>
      </w:r>
      <w:r w:rsidRPr="00B92499">
        <w:rPr>
          <w:rFonts w:ascii="Arial" w:hAnsi="Arial" w:cs="Arial"/>
          <w:b/>
          <w:color w:val="auto"/>
        </w:rPr>
        <w:t xml:space="preserve"> 121 y sus respectivas fracciones</w:t>
      </w:r>
      <w:bookmarkEnd w:id="12"/>
    </w:p>
    <w:p w14:paraId="67F9A0BA" w14:textId="6E97F189" w:rsidR="00CF7EED" w:rsidRPr="00B92499" w:rsidRDefault="00CF7EED" w:rsidP="00CF7EED">
      <w:pPr>
        <w:rPr>
          <w:lang w:eastAsia="en-US"/>
        </w:rPr>
      </w:pPr>
    </w:p>
    <w:p w14:paraId="5619F92C" w14:textId="77777777" w:rsidR="00CF7EED" w:rsidRPr="00B92499" w:rsidRDefault="00CF7EED" w:rsidP="00CF7EED">
      <w:pPr>
        <w:rPr>
          <w:lang w:eastAsia="en-US"/>
        </w:rPr>
      </w:pPr>
    </w:p>
    <w:p w14:paraId="20CE6C54" w14:textId="7A4DD3B7" w:rsidR="00CF7EED" w:rsidRPr="00B92499" w:rsidRDefault="00CF7EED" w:rsidP="00CF7EED">
      <w:pPr>
        <w:spacing w:before="100" w:beforeAutospacing="1" w:after="100" w:afterAutospacing="1" w:line="360" w:lineRule="auto"/>
        <w:contextualSpacing/>
        <w:jc w:val="both"/>
        <w:rPr>
          <w:rFonts w:ascii="Arial" w:hAnsi="Arial" w:cs="Arial"/>
        </w:rPr>
      </w:pPr>
      <w:r w:rsidRPr="00B92499">
        <w:rPr>
          <w:rFonts w:ascii="Arial" w:hAnsi="Arial" w:cs="Arial"/>
        </w:rPr>
        <w:t xml:space="preserve">Los </w:t>
      </w:r>
      <w:r w:rsidR="008710F6" w:rsidRPr="00B92499">
        <w:rPr>
          <w:rFonts w:ascii="Arial" w:hAnsi="Arial" w:cs="Arial"/>
        </w:rPr>
        <w:t>sujeto</w:t>
      </w:r>
      <w:r w:rsidRPr="00B92499">
        <w:rPr>
          <w:rFonts w:ascii="Arial" w:hAnsi="Arial" w:cs="Arial"/>
        </w:rPr>
        <w:t xml:space="preserve">s </w:t>
      </w:r>
      <w:r w:rsidR="008710F6" w:rsidRPr="00B92499">
        <w:rPr>
          <w:rFonts w:ascii="Arial" w:hAnsi="Arial" w:cs="Arial"/>
        </w:rPr>
        <w:t>obligado</w:t>
      </w:r>
      <w:r w:rsidRPr="00B92499">
        <w:rPr>
          <w:rFonts w:ascii="Arial" w:hAnsi="Arial" w:cs="Arial"/>
        </w:rPr>
        <w:t>s de la Administración Central obtuvieron un ICP en este artículo de 96.31%; por lo que se encuentra dentro del área de cumplimiento parcial.</w:t>
      </w:r>
      <w:r w:rsidR="000D67A7" w:rsidRPr="00B92499">
        <w:rPr>
          <w:rFonts w:ascii="Arial" w:hAnsi="Arial" w:cs="Arial"/>
        </w:rPr>
        <w:t xml:space="preserve"> 4 </w:t>
      </w:r>
      <w:r w:rsidR="00C576D2" w:rsidRPr="00B92499">
        <w:rPr>
          <w:rFonts w:ascii="Arial" w:hAnsi="Arial" w:cs="Arial"/>
        </w:rPr>
        <w:t xml:space="preserve">Secretarías </w:t>
      </w:r>
      <w:r w:rsidR="00012719" w:rsidRPr="00B92499">
        <w:rPr>
          <w:rFonts w:ascii="Arial" w:hAnsi="Arial" w:cs="Arial"/>
        </w:rPr>
        <w:t>obtuvieron un cumplimiento total y</w:t>
      </w:r>
      <w:r w:rsidR="000D67A7" w:rsidRPr="00B92499">
        <w:rPr>
          <w:rFonts w:ascii="Arial" w:hAnsi="Arial" w:cs="Arial"/>
        </w:rPr>
        <w:t xml:space="preserve"> 4 </w:t>
      </w:r>
      <w:r w:rsidR="00012719" w:rsidRPr="00B92499">
        <w:rPr>
          <w:rFonts w:ascii="Arial" w:hAnsi="Arial" w:cs="Arial"/>
        </w:rPr>
        <w:t xml:space="preserve">un cumplimiento parcial entre 87.30% y 98.78%. </w:t>
      </w:r>
      <w:r w:rsidRPr="00B92499">
        <w:rPr>
          <w:rFonts w:ascii="Arial" w:hAnsi="Arial" w:cs="Arial"/>
        </w:rPr>
        <w:t>Las</w:t>
      </w:r>
      <w:r w:rsidR="009F734B" w:rsidRPr="00B92499">
        <w:rPr>
          <w:rFonts w:ascii="Arial" w:hAnsi="Arial" w:cs="Arial"/>
        </w:rPr>
        <w:t xml:space="preserve"> </w:t>
      </w:r>
      <w:r w:rsidR="000D67A7" w:rsidRPr="00B92499">
        <w:rPr>
          <w:rFonts w:ascii="Arial" w:hAnsi="Arial" w:cs="Arial"/>
        </w:rPr>
        <w:t>5</w:t>
      </w:r>
      <w:r w:rsidR="00012719" w:rsidRPr="00B92499">
        <w:rPr>
          <w:rFonts w:ascii="Arial" w:hAnsi="Arial" w:cs="Arial"/>
        </w:rPr>
        <w:t xml:space="preserve"> </w:t>
      </w:r>
      <w:r w:rsidRPr="00B92499">
        <w:rPr>
          <w:rFonts w:ascii="Arial" w:hAnsi="Arial" w:cs="Arial"/>
        </w:rPr>
        <w:t xml:space="preserve">fracciones con mayor área de oportunidad, ya que se colocaron en un cumplimiento parcial entre </w:t>
      </w:r>
      <w:r w:rsidR="00012719" w:rsidRPr="00B92499">
        <w:rPr>
          <w:rFonts w:ascii="Arial" w:hAnsi="Arial" w:cs="Arial"/>
        </w:rPr>
        <w:t>89.36</w:t>
      </w:r>
      <w:r w:rsidRPr="00B92499">
        <w:rPr>
          <w:rFonts w:ascii="Arial" w:hAnsi="Arial" w:cs="Arial"/>
        </w:rPr>
        <w:t xml:space="preserve">% y </w:t>
      </w:r>
      <w:r w:rsidR="00012719" w:rsidRPr="00B92499">
        <w:rPr>
          <w:rFonts w:ascii="Arial" w:hAnsi="Arial" w:cs="Arial"/>
        </w:rPr>
        <w:t>90.49</w:t>
      </w:r>
      <w:r w:rsidRPr="00B92499">
        <w:rPr>
          <w:rFonts w:ascii="Arial" w:hAnsi="Arial" w:cs="Arial"/>
        </w:rPr>
        <w:t xml:space="preserve">%, son las siguientes: </w:t>
      </w:r>
    </w:p>
    <w:p w14:paraId="30F69CF6" w14:textId="5BB51540" w:rsidR="00012719" w:rsidRPr="00B92499" w:rsidRDefault="00012719" w:rsidP="009F64B5">
      <w:pPr>
        <w:pStyle w:val="Prrafodelista"/>
        <w:numPr>
          <w:ilvl w:val="0"/>
          <w:numId w:val="16"/>
        </w:numPr>
        <w:spacing w:before="100" w:beforeAutospacing="1" w:after="100" w:afterAutospacing="1" w:line="360" w:lineRule="auto"/>
        <w:jc w:val="both"/>
        <w:rPr>
          <w:rFonts w:ascii="Arial" w:hAnsi="Arial" w:cs="Arial"/>
          <w:sz w:val="24"/>
          <w:szCs w:val="24"/>
          <w:lang w:val="es-ES_tradnl"/>
        </w:rPr>
      </w:pPr>
      <w:r w:rsidRPr="00B92499">
        <w:rPr>
          <w:rFonts w:ascii="Arial" w:hAnsi="Arial" w:cs="Arial"/>
          <w:sz w:val="24"/>
          <w:szCs w:val="24"/>
          <w:lang w:val="es-ES_tradnl"/>
        </w:rPr>
        <w:t>Fracción XXIX, con un ICP de 89.36</w:t>
      </w:r>
      <w:r w:rsidR="00245B50" w:rsidRPr="00B92499">
        <w:rPr>
          <w:rFonts w:ascii="Arial" w:hAnsi="Arial" w:cs="Arial"/>
          <w:sz w:val="24"/>
          <w:szCs w:val="24"/>
          <w:lang w:val="es-ES_tradnl"/>
        </w:rPr>
        <w:t>%</w:t>
      </w:r>
      <w:r w:rsidRPr="00B92499">
        <w:rPr>
          <w:rFonts w:ascii="Arial" w:hAnsi="Arial" w:cs="Arial"/>
          <w:sz w:val="24"/>
          <w:szCs w:val="24"/>
          <w:lang w:val="es-ES_tradnl"/>
        </w:rPr>
        <w:t xml:space="preserve"> en la cual se mandata la publicación de concesiones, contratos, convenios, permisos, licencias o autorizaciones otorgadas. </w:t>
      </w:r>
      <w:r w:rsidR="00C576D2" w:rsidRPr="00B92499">
        <w:rPr>
          <w:rFonts w:ascii="Arial" w:hAnsi="Arial" w:cs="Arial"/>
          <w:sz w:val="24"/>
          <w:szCs w:val="24"/>
          <w:lang w:val="es-ES_tradnl"/>
        </w:rPr>
        <w:t>El área de oportunidad de las Secretarías respecto de esta fracción es publicar toda la normatividad que les es aplicable, debido a que está incompleta.</w:t>
      </w:r>
    </w:p>
    <w:p w14:paraId="1509F98B" w14:textId="28ED20D0" w:rsidR="00012719" w:rsidRPr="00B92499" w:rsidRDefault="00012719" w:rsidP="009F64B5">
      <w:pPr>
        <w:pStyle w:val="Prrafodelista"/>
        <w:numPr>
          <w:ilvl w:val="0"/>
          <w:numId w:val="16"/>
        </w:numPr>
        <w:spacing w:before="100" w:beforeAutospacing="1" w:after="100" w:afterAutospacing="1" w:line="360" w:lineRule="auto"/>
        <w:jc w:val="both"/>
        <w:rPr>
          <w:rFonts w:ascii="Arial" w:hAnsi="Arial" w:cs="Arial"/>
          <w:sz w:val="24"/>
          <w:szCs w:val="24"/>
          <w:lang w:val="es-ES_tradnl"/>
        </w:rPr>
      </w:pPr>
      <w:r w:rsidRPr="00B92499">
        <w:rPr>
          <w:rFonts w:ascii="Arial" w:hAnsi="Arial" w:cs="Arial"/>
          <w:sz w:val="24"/>
          <w:szCs w:val="24"/>
          <w:lang w:val="es-ES_tradnl"/>
        </w:rPr>
        <w:lastRenderedPageBreak/>
        <w:t xml:space="preserve">Fracción I, con un ICP de 90.49% en la cual se mandata la publicación del marco normativo. El área de oportunidad de las Secretarías respecto de esta fracción </w:t>
      </w:r>
      <w:r w:rsidR="00995E8A" w:rsidRPr="00B92499">
        <w:rPr>
          <w:rFonts w:ascii="Arial" w:hAnsi="Arial" w:cs="Arial"/>
          <w:sz w:val="24"/>
          <w:szCs w:val="24"/>
          <w:lang w:val="es-ES_tradnl"/>
        </w:rPr>
        <w:t xml:space="preserve">es publicar toda la normatividad que les es aplicable, debido a que está incompleta. </w:t>
      </w:r>
    </w:p>
    <w:p w14:paraId="1DC4127B" w14:textId="4CFD2B31" w:rsidR="00012719" w:rsidRPr="00B92499" w:rsidRDefault="00012719" w:rsidP="009F64B5">
      <w:pPr>
        <w:pStyle w:val="Prrafodelista"/>
        <w:numPr>
          <w:ilvl w:val="0"/>
          <w:numId w:val="16"/>
        </w:numPr>
        <w:spacing w:before="100" w:beforeAutospacing="1" w:after="100" w:afterAutospacing="1" w:line="360" w:lineRule="auto"/>
        <w:jc w:val="both"/>
        <w:rPr>
          <w:rFonts w:ascii="Arial" w:hAnsi="Arial" w:cs="Arial"/>
          <w:sz w:val="24"/>
          <w:szCs w:val="24"/>
          <w:lang w:val="es-ES_tradnl"/>
        </w:rPr>
      </w:pPr>
      <w:r w:rsidRPr="00B92499">
        <w:rPr>
          <w:rFonts w:ascii="Arial" w:hAnsi="Arial" w:cs="Arial"/>
          <w:sz w:val="24"/>
          <w:szCs w:val="24"/>
          <w:lang w:val="es-ES_tradnl"/>
        </w:rPr>
        <w:t>Fracción XLIII, con un ICP de 92.78</w:t>
      </w:r>
      <w:r w:rsidR="00245B50" w:rsidRPr="00B92499">
        <w:rPr>
          <w:rFonts w:ascii="Arial" w:hAnsi="Arial" w:cs="Arial"/>
          <w:sz w:val="24"/>
          <w:szCs w:val="24"/>
          <w:lang w:val="es-ES_tradnl"/>
        </w:rPr>
        <w:t>%</w:t>
      </w:r>
      <w:r w:rsidRPr="00B92499">
        <w:rPr>
          <w:rFonts w:ascii="Arial" w:hAnsi="Arial" w:cs="Arial"/>
          <w:sz w:val="24"/>
          <w:szCs w:val="24"/>
          <w:lang w:val="es-ES_tradnl"/>
        </w:rPr>
        <w:t xml:space="preserve"> en la que se mandata la publicación de las actas de resoluciones del Comité de Transparencia. El área de oportunidad de las Secretarías respecto de esta fracción es</w:t>
      </w:r>
      <w:r w:rsidR="00995E8A" w:rsidRPr="00B92499">
        <w:rPr>
          <w:rFonts w:ascii="Arial" w:hAnsi="Arial" w:cs="Arial"/>
          <w:sz w:val="24"/>
          <w:szCs w:val="24"/>
          <w:lang w:val="es-ES_tradnl"/>
        </w:rPr>
        <w:t xml:space="preserve"> publicar la información en los formatos correspondientes.</w:t>
      </w:r>
    </w:p>
    <w:p w14:paraId="6FEC1136" w14:textId="6960E494" w:rsidR="00012719" w:rsidRPr="00B92499" w:rsidRDefault="00012719" w:rsidP="009F64B5">
      <w:pPr>
        <w:pStyle w:val="Prrafodelista"/>
        <w:numPr>
          <w:ilvl w:val="0"/>
          <w:numId w:val="16"/>
        </w:numPr>
        <w:spacing w:before="100" w:beforeAutospacing="1" w:after="100" w:afterAutospacing="1" w:line="360" w:lineRule="auto"/>
        <w:jc w:val="both"/>
        <w:rPr>
          <w:rFonts w:ascii="Arial" w:hAnsi="Arial" w:cs="Arial"/>
          <w:sz w:val="24"/>
          <w:szCs w:val="24"/>
          <w:lang w:val="es-ES_tradnl"/>
        </w:rPr>
      </w:pPr>
      <w:r w:rsidRPr="00B92499">
        <w:rPr>
          <w:rFonts w:ascii="Arial" w:hAnsi="Arial" w:cs="Arial"/>
          <w:sz w:val="24"/>
          <w:szCs w:val="24"/>
          <w:lang w:val="es-ES_tradnl"/>
        </w:rPr>
        <w:t>Fracción IV, con un ICP de 93.01</w:t>
      </w:r>
      <w:r w:rsidR="00245B50" w:rsidRPr="00B92499">
        <w:rPr>
          <w:rFonts w:ascii="Arial" w:hAnsi="Arial" w:cs="Arial"/>
          <w:sz w:val="24"/>
          <w:szCs w:val="24"/>
          <w:lang w:val="es-ES_tradnl"/>
        </w:rPr>
        <w:t>%</w:t>
      </w:r>
      <w:r w:rsidRPr="00B92499">
        <w:rPr>
          <w:rFonts w:ascii="Arial" w:hAnsi="Arial" w:cs="Arial"/>
          <w:sz w:val="24"/>
          <w:szCs w:val="24"/>
          <w:lang w:val="es-ES_tradnl"/>
        </w:rPr>
        <w:t xml:space="preserve"> en</w:t>
      </w:r>
      <w:r w:rsidR="00C576D2" w:rsidRPr="00B92499">
        <w:rPr>
          <w:rFonts w:ascii="Arial" w:hAnsi="Arial" w:cs="Arial"/>
          <w:sz w:val="24"/>
          <w:szCs w:val="24"/>
          <w:lang w:val="es-ES_tradnl"/>
        </w:rPr>
        <w:t xml:space="preserve"> la que</w:t>
      </w:r>
      <w:r w:rsidRPr="00B92499">
        <w:rPr>
          <w:rFonts w:ascii="Arial" w:hAnsi="Arial" w:cs="Arial"/>
          <w:sz w:val="24"/>
          <w:szCs w:val="24"/>
          <w:lang w:val="es-ES_tradnl"/>
        </w:rPr>
        <w:t xml:space="preserve"> es señalad</w:t>
      </w:r>
      <w:r w:rsidR="00C576D2" w:rsidRPr="00B92499">
        <w:rPr>
          <w:rFonts w:ascii="Arial" w:hAnsi="Arial" w:cs="Arial"/>
          <w:sz w:val="24"/>
          <w:szCs w:val="24"/>
          <w:lang w:val="es-ES_tradnl"/>
        </w:rPr>
        <w:t>a</w:t>
      </w:r>
      <w:r w:rsidRPr="00B92499">
        <w:rPr>
          <w:rFonts w:ascii="Arial" w:hAnsi="Arial" w:cs="Arial"/>
          <w:sz w:val="24"/>
          <w:szCs w:val="24"/>
          <w:lang w:val="es-ES_tradnl"/>
        </w:rPr>
        <w:t xml:space="preserve"> la necesidad de publicar las m</w:t>
      </w:r>
      <w:r w:rsidR="00C576D2" w:rsidRPr="00B92499">
        <w:rPr>
          <w:rFonts w:ascii="Arial" w:hAnsi="Arial" w:cs="Arial"/>
          <w:sz w:val="24"/>
          <w:szCs w:val="24"/>
          <w:lang w:val="es-ES_tradnl"/>
        </w:rPr>
        <w:t>e</w:t>
      </w:r>
      <w:r w:rsidR="00604DE7" w:rsidRPr="00B92499">
        <w:rPr>
          <w:rFonts w:ascii="Arial" w:hAnsi="Arial" w:cs="Arial"/>
          <w:sz w:val="24"/>
          <w:szCs w:val="24"/>
          <w:lang w:val="es-ES_tradnl"/>
        </w:rPr>
        <w:t>tas y objetivos de las unidades administrativas</w:t>
      </w:r>
      <w:r w:rsidRPr="00B92499">
        <w:rPr>
          <w:rFonts w:ascii="Arial" w:hAnsi="Arial" w:cs="Arial"/>
          <w:sz w:val="24"/>
          <w:szCs w:val="24"/>
          <w:lang w:val="es-ES_tradnl"/>
        </w:rPr>
        <w:t xml:space="preserve">. El área de oportunidad de las Secretarías respecto de esta fracción </w:t>
      </w:r>
      <w:r w:rsidR="00995E8A" w:rsidRPr="00B92499">
        <w:rPr>
          <w:rFonts w:ascii="Arial" w:hAnsi="Arial" w:cs="Arial"/>
          <w:sz w:val="24"/>
          <w:szCs w:val="24"/>
          <w:lang w:val="es-ES_tradnl"/>
        </w:rPr>
        <w:t xml:space="preserve">consiste en homologar lo que se publica en la PNT y en los Portales Institucionales, debido a que existe incongruencia en la información. </w:t>
      </w:r>
    </w:p>
    <w:p w14:paraId="11E759C3" w14:textId="28CB8F31" w:rsidR="00012719" w:rsidRPr="00B92499" w:rsidRDefault="00CF7EED" w:rsidP="009F64B5">
      <w:pPr>
        <w:pStyle w:val="Prrafodelista"/>
        <w:numPr>
          <w:ilvl w:val="0"/>
          <w:numId w:val="16"/>
        </w:numPr>
        <w:spacing w:before="100" w:beforeAutospacing="1" w:after="100" w:afterAutospacing="1" w:line="360" w:lineRule="auto"/>
        <w:jc w:val="both"/>
        <w:rPr>
          <w:rFonts w:ascii="Arial" w:hAnsi="Arial" w:cs="Arial"/>
          <w:sz w:val="24"/>
          <w:szCs w:val="24"/>
          <w:lang w:val="es-ES_tradnl"/>
        </w:rPr>
      </w:pPr>
      <w:r w:rsidRPr="00B92499">
        <w:rPr>
          <w:rFonts w:ascii="Arial" w:hAnsi="Arial" w:cs="Arial"/>
          <w:sz w:val="24"/>
          <w:szCs w:val="24"/>
          <w:lang w:val="es-ES_tradnl"/>
        </w:rPr>
        <w:t xml:space="preserve">Fracción LII, con un ICP de </w:t>
      </w:r>
      <w:r w:rsidR="00012719" w:rsidRPr="00B92499">
        <w:rPr>
          <w:rFonts w:ascii="Arial" w:hAnsi="Arial" w:cs="Arial"/>
          <w:sz w:val="24"/>
          <w:szCs w:val="24"/>
          <w:lang w:val="es-ES_tradnl"/>
        </w:rPr>
        <w:t>93.10</w:t>
      </w:r>
      <w:r w:rsidRPr="00B92499">
        <w:rPr>
          <w:rFonts w:ascii="Arial" w:hAnsi="Arial" w:cs="Arial"/>
          <w:sz w:val="24"/>
          <w:szCs w:val="24"/>
          <w:lang w:val="es-ES_tradnl"/>
        </w:rPr>
        <w:t xml:space="preserve">% en la cual se mandata la publicación de </w:t>
      </w:r>
      <w:r w:rsidRPr="00B92499">
        <w:rPr>
          <w:rFonts w:ascii="Arial" w:hAnsi="Arial" w:cs="Arial"/>
          <w:color w:val="000000"/>
          <w:sz w:val="24"/>
          <w:szCs w:val="24"/>
          <w:lang w:val="es-ES_tradnl"/>
        </w:rPr>
        <w:t xml:space="preserve">cualquier otra información que sea de utilidad o se considere relevante. </w:t>
      </w:r>
      <w:r w:rsidRPr="00B92499">
        <w:rPr>
          <w:rFonts w:ascii="Arial" w:hAnsi="Arial" w:cs="Arial"/>
          <w:sz w:val="24"/>
          <w:szCs w:val="24"/>
          <w:lang w:val="es-ES_tradnl"/>
        </w:rPr>
        <w:t xml:space="preserve">El área de oportunidad de </w:t>
      </w:r>
      <w:r w:rsidR="00012719" w:rsidRPr="00B92499">
        <w:rPr>
          <w:rFonts w:ascii="Arial" w:hAnsi="Arial" w:cs="Arial"/>
          <w:sz w:val="24"/>
          <w:szCs w:val="24"/>
          <w:lang w:val="es-ES_tradnl"/>
        </w:rPr>
        <w:t>las Secretarías</w:t>
      </w:r>
      <w:r w:rsidRPr="00B92499">
        <w:rPr>
          <w:rFonts w:ascii="Arial" w:hAnsi="Arial" w:cs="Arial"/>
          <w:sz w:val="24"/>
          <w:szCs w:val="24"/>
          <w:lang w:val="es-ES_tradnl"/>
        </w:rPr>
        <w:t xml:space="preserve"> respecto de esta fracción es</w:t>
      </w:r>
      <w:r w:rsidR="003C285F" w:rsidRPr="00B92499">
        <w:rPr>
          <w:rFonts w:ascii="Arial" w:hAnsi="Arial" w:cs="Arial"/>
          <w:sz w:val="24"/>
          <w:szCs w:val="24"/>
          <w:lang w:val="es-ES_tradnl"/>
        </w:rPr>
        <w:t xml:space="preserve"> publicar y actualizar la información o en el caso de no generar la misma, fundar y motivar la no generación a través de una nota.</w:t>
      </w:r>
    </w:p>
    <w:p w14:paraId="0CBCDEA5" w14:textId="0317BD2D" w:rsidR="00CF7EED" w:rsidRPr="00B92499" w:rsidRDefault="00CF7EED" w:rsidP="00CF7EED">
      <w:pPr>
        <w:spacing w:before="100" w:beforeAutospacing="1" w:after="100" w:afterAutospacing="1" w:line="360" w:lineRule="auto"/>
        <w:contextualSpacing/>
        <w:jc w:val="both"/>
        <w:rPr>
          <w:rFonts w:ascii="Arial" w:hAnsi="Arial" w:cs="Arial"/>
        </w:rPr>
      </w:pPr>
      <w:r w:rsidRPr="00B92499">
        <w:rPr>
          <w:rFonts w:ascii="Arial" w:hAnsi="Arial" w:cs="Arial"/>
        </w:rPr>
        <w:t xml:space="preserve">De igual forma, las </w:t>
      </w:r>
      <w:r w:rsidR="000D67A7" w:rsidRPr="00B92499">
        <w:rPr>
          <w:rFonts w:ascii="Arial" w:hAnsi="Arial" w:cs="Arial"/>
        </w:rPr>
        <w:t xml:space="preserve">5 </w:t>
      </w:r>
      <w:r w:rsidRPr="00B92499">
        <w:rPr>
          <w:rFonts w:ascii="Arial" w:hAnsi="Arial" w:cs="Arial"/>
        </w:rPr>
        <w:t xml:space="preserve">fracciones con un ICP de </w:t>
      </w:r>
      <w:r w:rsidR="00BB78B7" w:rsidRPr="00B92499">
        <w:rPr>
          <w:rFonts w:ascii="Arial" w:hAnsi="Arial" w:cs="Arial"/>
        </w:rPr>
        <w:t>100</w:t>
      </w:r>
      <w:r w:rsidRPr="00B92499">
        <w:rPr>
          <w:rFonts w:ascii="Arial" w:hAnsi="Arial" w:cs="Arial"/>
        </w:rPr>
        <w:t>% son las que se detallan a continuación:</w:t>
      </w:r>
    </w:p>
    <w:p w14:paraId="44B61405" w14:textId="21F19CC4" w:rsidR="00CF7EED" w:rsidRPr="00B92499" w:rsidRDefault="00CF7EED" w:rsidP="00CF7EED">
      <w:pPr>
        <w:pStyle w:val="Prrafodelista"/>
        <w:numPr>
          <w:ilvl w:val="0"/>
          <w:numId w:val="3"/>
        </w:numPr>
        <w:spacing w:before="100" w:beforeAutospacing="1" w:after="100" w:afterAutospacing="1" w:line="360" w:lineRule="auto"/>
        <w:jc w:val="both"/>
        <w:rPr>
          <w:rFonts w:ascii="Arial" w:hAnsi="Arial" w:cs="Arial"/>
          <w:sz w:val="24"/>
          <w:szCs w:val="24"/>
          <w:lang w:val="es-ES_tradnl"/>
        </w:rPr>
      </w:pPr>
      <w:r w:rsidRPr="00B92499">
        <w:rPr>
          <w:rFonts w:ascii="Arial" w:hAnsi="Arial" w:cs="Arial"/>
          <w:sz w:val="24"/>
          <w:szCs w:val="24"/>
          <w:lang w:val="es-ES_tradnl"/>
        </w:rPr>
        <w:t xml:space="preserve">Fracción </w:t>
      </w:r>
      <w:r w:rsidR="00BB78B7" w:rsidRPr="00B92499">
        <w:rPr>
          <w:rFonts w:ascii="Arial" w:hAnsi="Arial" w:cs="Arial"/>
          <w:sz w:val="24"/>
          <w:szCs w:val="24"/>
          <w:lang w:val="es-ES_tradnl"/>
        </w:rPr>
        <w:t>VIII</w:t>
      </w:r>
      <w:r w:rsidRPr="00B92499">
        <w:rPr>
          <w:rFonts w:ascii="Arial" w:hAnsi="Arial" w:cs="Arial"/>
          <w:sz w:val="24"/>
          <w:szCs w:val="24"/>
          <w:lang w:val="es-ES_tradnl"/>
        </w:rPr>
        <w:t>, en la cual se mandata la publicación</w:t>
      </w:r>
      <w:r w:rsidR="00BB78B7" w:rsidRPr="00B92499">
        <w:rPr>
          <w:rFonts w:ascii="Arial" w:hAnsi="Arial" w:cs="Arial"/>
          <w:sz w:val="24"/>
          <w:szCs w:val="24"/>
          <w:lang w:val="es-ES_tradnl"/>
        </w:rPr>
        <w:t xml:space="preserve"> del directorio de las áreas del </w:t>
      </w:r>
      <w:r w:rsidR="008710F6" w:rsidRPr="00B92499">
        <w:rPr>
          <w:rFonts w:ascii="Arial" w:hAnsi="Arial" w:cs="Arial"/>
          <w:sz w:val="24"/>
          <w:szCs w:val="24"/>
          <w:lang w:val="es-ES_tradnl"/>
        </w:rPr>
        <w:t>sujeto obligado</w:t>
      </w:r>
      <w:r w:rsidR="00BB78B7" w:rsidRPr="00B92499">
        <w:rPr>
          <w:rFonts w:ascii="Arial" w:hAnsi="Arial" w:cs="Arial"/>
          <w:sz w:val="24"/>
          <w:szCs w:val="24"/>
          <w:lang w:val="es-ES_tradnl"/>
        </w:rPr>
        <w:t>.</w:t>
      </w:r>
    </w:p>
    <w:p w14:paraId="182AD781" w14:textId="537DCC95" w:rsidR="00CF7EED" w:rsidRPr="00B92499" w:rsidRDefault="00CF7EED" w:rsidP="00CF7EED">
      <w:pPr>
        <w:pStyle w:val="Prrafodelista"/>
        <w:numPr>
          <w:ilvl w:val="0"/>
          <w:numId w:val="3"/>
        </w:numPr>
        <w:spacing w:before="100" w:beforeAutospacing="1" w:after="100" w:afterAutospacing="1" w:line="360" w:lineRule="auto"/>
        <w:jc w:val="both"/>
        <w:rPr>
          <w:rFonts w:ascii="Arial" w:hAnsi="Arial" w:cs="Arial"/>
          <w:sz w:val="24"/>
          <w:szCs w:val="24"/>
          <w:lang w:val="es-ES_tradnl"/>
        </w:rPr>
      </w:pPr>
      <w:r w:rsidRPr="00B92499">
        <w:rPr>
          <w:rFonts w:ascii="Arial" w:hAnsi="Arial" w:cs="Arial"/>
          <w:sz w:val="24"/>
          <w:szCs w:val="24"/>
          <w:lang w:val="es-ES_tradnl"/>
        </w:rPr>
        <w:t>Fracción X</w:t>
      </w:r>
      <w:r w:rsidR="00BB78B7" w:rsidRPr="00B92499">
        <w:rPr>
          <w:rFonts w:ascii="Arial" w:hAnsi="Arial" w:cs="Arial"/>
          <w:sz w:val="24"/>
          <w:szCs w:val="24"/>
          <w:lang w:val="es-ES_tradnl"/>
        </w:rPr>
        <w:t>VI</w:t>
      </w:r>
      <w:r w:rsidRPr="00B92499">
        <w:rPr>
          <w:rFonts w:ascii="Arial" w:hAnsi="Arial" w:cs="Arial"/>
          <w:sz w:val="24"/>
          <w:szCs w:val="24"/>
          <w:lang w:val="es-ES_tradnl"/>
        </w:rPr>
        <w:t xml:space="preserve">, </w:t>
      </w:r>
      <w:r w:rsidR="00BB78B7" w:rsidRPr="00B92499">
        <w:rPr>
          <w:rFonts w:ascii="Arial" w:hAnsi="Arial" w:cs="Arial"/>
          <w:sz w:val="24"/>
          <w:szCs w:val="24"/>
          <w:lang w:val="es-ES_tradnl"/>
        </w:rPr>
        <w:t>en la cual es señalada la obligación de publicar las condiciones generales de trabajo, contratos y convenios que regulen la relación laboral; así como recursos otorgados a sindicatos.</w:t>
      </w:r>
    </w:p>
    <w:p w14:paraId="3E9A364C" w14:textId="7C221556" w:rsidR="00CF7EED" w:rsidRPr="00B92499" w:rsidRDefault="00CF7EED" w:rsidP="00CF7EED">
      <w:pPr>
        <w:pStyle w:val="Prrafodelista"/>
        <w:numPr>
          <w:ilvl w:val="0"/>
          <w:numId w:val="3"/>
        </w:numPr>
        <w:spacing w:before="100" w:beforeAutospacing="1" w:after="100" w:afterAutospacing="1" w:line="360" w:lineRule="auto"/>
        <w:jc w:val="both"/>
        <w:rPr>
          <w:rFonts w:ascii="Arial" w:hAnsi="Arial" w:cs="Arial"/>
          <w:sz w:val="24"/>
          <w:szCs w:val="24"/>
          <w:lang w:val="es-ES_tradnl"/>
        </w:rPr>
      </w:pPr>
      <w:r w:rsidRPr="00B92499">
        <w:rPr>
          <w:rFonts w:ascii="Arial" w:hAnsi="Arial" w:cs="Arial"/>
          <w:sz w:val="24"/>
          <w:szCs w:val="24"/>
          <w:lang w:val="es-ES_tradnl"/>
        </w:rPr>
        <w:t xml:space="preserve">Fracción </w:t>
      </w:r>
      <w:r w:rsidR="00BB78B7" w:rsidRPr="00B92499">
        <w:rPr>
          <w:rFonts w:ascii="Arial" w:hAnsi="Arial" w:cs="Arial"/>
          <w:sz w:val="24"/>
          <w:szCs w:val="24"/>
          <w:lang w:val="es-ES_tradnl"/>
        </w:rPr>
        <w:t>XLII</w:t>
      </w:r>
      <w:r w:rsidRPr="00B92499">
        <w:rPr>
          <w:rFonts w:ascii="Arial" w:hAnsi="Arial" w:cs="Arial"/>
          <w:sz w:val="24"/>
          <w:szCs w:val="24"/>
          <w:lang w:val="es-ES_tradnl"/>
        </w:rPr>
        <w:t xml:space="preserve">, en la cual se mandata la publicación </w:t>
      </w:r>
      <w:r w:rsidR="00BB78B7" w:rsidRPr="00B92499">
        <w:rPr>
          <w:rFonts w:ascii="Arial" w:hAnsi="Arial" w:cs="Arial"/>
          <w:sz w:val="24"/>
          <w:szCs w:val="24"/>
          <w:lang w:val="es-ES_tradnl"/>
        </w:rPr>
        <w:t xml:space="preserve">de la información relacionada con los programas y centros destinados a la práctica de actividad física, ejercicio y deporte. </w:t>
      </w:r>
    </w:p>
    <w:p w14:paraId="3D21D18F" w14:textId="4299875E" w:rsidR="00CF7EED" w:rsidRPr="00B92499" w:rsidRDefault="00CF7EED" w:rsidP="00CF7EED">
      <w:pPr>
        <w:pStyle w:val="Prrafodelista"/>
        <w:numPr>
          <w:ilvl w:val="0"/>
          <w:numId w:val="3"/>
        </w:numPr>
        <w:spacing w:before="100" w:beforeAutospacing="1" w:after="100" w:afterAutospacing="1" w:line="360" w:lineRule="auto"/>
        <w:jc w:val="both"/>
        <w:rPr>
          <w:rFonts w:ascii="Arial" w:hAnsi="Arial" w:cs="Arial"/>
          <w:sz w:val="24"/>
          <w:szCs w:val="24"/>
          <w:lang w:val="es-ES_tradnl"/>
        </w:rPr>
      </w:pPr>
      <w:r w:rsidRPr="00B92499">
        <w:rPr>
          <w:rFonts w:ascii="Arial" w:hAnsi="Arial" w:cs="Arial"/>
          <w:sz w:val="24"/>
          <w:szCs w:val="24"/>
          <w:lang w:val="es-ES_tradnl"/>
        </w:rPr>
        <w:t xml:space="preserve">Fracción LI, en la cual es señalada la obligación de publicar un listado de solicitudes a las empresas concesionarias de telecomunicaciones y </w:t>
      </w:r>
      <w:r w:rsidRPr="00B92499">
        <w:rPr>
          <w:rFonts w:ascii="Arial" w:hAnsi="Arial" w:cs="Arial"/>
          <w:sz w:val="24"/>
          <w:szCs w:val="24"/>
          <w:lang w:val="es-ES_tradnl"/>
        </w:rPr>
        <w:lastRenderedPageBreak/>
        <w:t>proveedoras de servicios de internet para la intervención de comunicaciones y la geolocalización.</w:t>
      </w:r>
    </w:p>
    <w:p w14:paraId="55712D85" w14:textId="7594AAA9" w:rsidR="00CF7EED" w:rsidRPr="00B92499" w:rsidRDefault="00CF7EED" w:rsidP="00CF7EED">
      <w:pPr>
        <w:pStyle w:val="Prrafodelista"/>
        <w:numPr>
          <w:ilvl w:val="0"/>
          <w:numId w:val="3"/>
        </w:numPr>
        <w:spacing w:before="100" w:beforeAutospacing="1" w:after="100" w:afterAutospacing="1" w:line="360" w:lineRule="auto"/>
        <w:jc w:val="both"/>
        <w:rPr>
          <w:rFonts w:ascii="Arial" w:hAnsi="Arial" w:cs="Arial"/>
          <w:sz w:val="24"/>
          <w:szCs w:val="24"/>
          <w:lang w:val="es-ES_tradnl"/>
        </w:rPr>
      </w:pPr>
      <w:r w:rsidRPr="00B92499">
        <w:rPr>
          <w:rFonts w:ascii="Arial" w:hAnsi="Arial" w:cs="Arial"/>
          <w:sz w:val="24"/>
          <w:szCs w:val="24"/>
          <w:lang w:val="es-ES_tradnl"/>
        </w:rPr>
        <w:t xml:space="preserve">Fracción </w:t>
      </w:r>
      <w:r w:rsidR="00BB78B7" w:rsidRPr="00B92499">
        <w:rPr>
          <w:rFonts w:ascii="Arial" w:hAnsi="Arial" w:cs="Arial"/>
          <w:sz w:val="24"/>
          <w:szCs w:val="24"/>
          <w:lang w:val="es-ES_tradnl"/>
        </w:rPr>
        <w:t>XXXIX</w:t>
      </w:r>
      <w:r w:rsidRPr="00B92499">
        <w:rPr>
          <w:rFonts w:ascii="Arial" w:hAnsi="Arial" w:cs="Arial"/>
          <w:sz w:val="24"/>
          <w:szCs w:val="24"/>
          <w:lang w:val="es-ES_tradnl"/>
        </w:rPr>
        <w:t xml:space="preserve">, en la cual se mandata la publicación </w:t>
      </w:r>
      <w:r w:rsidR="00BB78B7" w:rsidRPr="00B92499">
        <w:rPr>
          <w:rFonts w:ascii="Arial" w:hAnsi="Arial" w:cs="Arial"/>
          <w:sz w:val="24"/>
          <w:szCs w:val="24"/>
          <w:lang w:val="es-ES_tradnl"/>
        </w:rPr>
        <w:t>de las resoluciones y laudos que se emitan en procesos seguidos en forma de juicio</w:t>
      </w:r>
      <w:r w:rsidR="00846BF4" w:rsidRPr="00B92499">
        <w:rPr>
          <w:rFonts w:ascii="Arial" w:hAnsi="Arial" w:cs="Arial"/>
          <w:sz w:val="24"/>
          <w:szCs w:val="24"/>
          <w:lang w:val="es-ES_tradnl"/>
        </w:rPr>
        <w:t>.</w:t>
      </w:r>
      <w:r w:rsidRPr="00B92499">
        <w:rPr>
          <w:rFonts w:ascii="Arial" w:hAnsi="Arial" w:cs="Arial"/>
          <w:sz w:val="24"/>
          <w:szCs w:val="24"/>
          <w:lang w:val="es-ES_tradnl"/>
        </w:rPr>
        <w:t xml:space="preserve"> </w:t>
      </w:r>
    </w:p>
    <w:p w14:paraId="71EC2799" w14:textId="77777777" w:rsidR="00CF7EED" w:rsidRPr="00B92499" w:rsidRDefault="00CF7EED" w:rsidP="00CF7EED">
      <w:pPr>
        <w:spacing w:before="100" w:beforeAutospacing="1" w:after="100" w:afterAutospacing="1" w:line="360" w:lineRule="auto"/>
        <w:jc w:val="both"/>
        <w:rPr>
          <w:rFonts w:ascii="Arial" w:hAnsi="Arial" w:cs="Arial"/>
        </w:rPr>
      </w:pPr>
      <w:r w:rsidRPr="00B92499">
        <w:rPr>
          <w:rFonts w:ascii="Arial" w:hAnsi="Arial" w:cs="Arial"/>
        </w:rPr>
        <w:t>Con el objetivo de mostrar con mayor detalle el ICP de cada fracción del artículo 121 es presentada la siguiente tabla ordenada de forma descendente.</w:t>
      </w:r>
    </w:p>
    <w:tbl>
      <w:tblPr>
        <w:tblW w:w="8927" w:type="dxa"/>
        <w:tblCellMar>
          <w:left w:w="70" w:type="dxa"/>
          <w:right w:w="70" w:type="dxa"/>
        </w:tblCellMar>
        <w:tblLook w:val="04A0" w:firstRow="1" w:lastRow="0" w:firstColumn="1" w:lastColumn="0" w:noHBand="0" w:noVBand="1"/>
      </w:tblPr>
      <w:tblGrid>
        <w:gridCol w:w="974"/>
        <w:gridCol w:w="7218"/>
        <w:gridCol w:w="735"/>
      </w:tblGrid>
      <w:tr w:rsidR="00CF7EED" w:rsidRPr="00B92499" w14:paraId="2D34AFE1" w14:textId="77777777" w:rsidTr="00BB78B7">
        <w:trPr>
          <w:trHeight w:val="20"/>
          <w:tblHeader/>
        </w:trPr>
        <w:tc>
          <w:tcPr>
            <w:tcW w:w="8927" w:type="dxa"/>
            <w:gridSpan w:val="3"/>
            <w:tcBorders>
              <w:top w:val="single" w:sz="4" w:space="0" w:color="auto"/>
              <w:left w:val="single" w:sz="4" w:space="0" w:color="auto"/>
              <w:bottom w:val="single" w:sz="4" w:space="0" w:color="auto"/>
              <w:right w:val="single" w:sz="4" w:space="0" w:color="auto"/>
            </w:tcBorders>
            <w:shd w:val="clear" w:color="auto" w:fill="00B0F0"/>
            <w:noWrap/>
            <w:vAlign w:val="center"/>
            <w:hideMark/>
          </w:tcPr>
          <w:p w14:paraId="0BB80216" w14:textId="44DB2BC5" w:rsidR="00CF7EED" w:rsidRPr="00B92499" w:rsidRDefault="00CF7EED" w:rsidP="00BF7A5D">
            <w:pPr>
              <w:jc w:val="center"/>
              <w:rPr>
                <w:rFonts w:ascii="Arial" w:hAnsi="Arial" w:cs="Arial"/>
                <w:b/>
                <w:bCs/>
                <w:color w:val="000000"/>
                <w:sz w:val="20"/>
                <w:szCs w:val="20"/>
              </w:rPr>
            </w:pPr>
            <w:r w:rsidRPr="00B92499">
              <w:rPr>
                <w:rFonts w:ascii="Arial" w:hAnsi="Arial" w:cs="Arial"/>
                <w:b/>
                <w:bCs/>
                <w:color w:val="000000"/>
                <w:sz w:val="20"/>
                <w:szCs w:val="20"/>
              </w:rPr>
              <w:t xml:space="preserve">Artículo 121 de las </w:t>
            </w:r>
            <w:r w:rsidR="008710F6" w:rsidRPr="00B92499">
              <w:rPr>
                <w:rFonts w:ascii="Arial" w:hAnsi="Arial" w:cs="Arial"/>
                <w:b/>
                <w:bCs/>
                <w:color w:val="000000"/>
                <w:sz w:val="20"/>
                <w:szCs w:val="20"/>
              </w:rPr>
              <w:t>obligaciones de transparencia</w:t>
            </w:r>
            <w:r w:rsidRPr="00B92499">
              <w:rPr>
                <w:rFonts w:ascii="Arial" w:hAnsi="Arial" w:cs="Arial"/>
                <w:b/>
                <w:bCs/>
                <w:color w:val="000000"/>
                <w:sz w:val="20"/>
                <w:szCs w:val="20"/>
              </w:rPr>
              <w:t xml:space="preserve"> comunes</w:t>
            </w:r>
          </w:p>
        </w:tc>
      </w:tr>
      <w:tr w:rsidR="00CF7EED" w:rsidRPr="00B92499" w14:paraId="19935270" w14:textId="77777777" w:rsidTr="00BB78B7">
        <w:trPr>
          <w:trHeight w:val="20"/>
          <w:tblHeader/>
        </w:trPr>
        <w:tc>
          <w:tcPr>
            <w:tcW w:w="0" w:type="auto"/>
            <w:tcBorders>
              <w:top w:val="nil"/>
              <w:left w:val="single" w:sz="4" w:space="0" w:color="auto"/>
              <w:bottom w:val="single" w:sz="4" w:space="0" w:color="auto"/>
              <w:right w:val="single" w:sz="4" w:space="0" w:color="auto"/>
            </w:tcBorders>
            <w:shd w:val="clear" w:color="auto" w:fill="00B0F0"/>
            <w:noWrap/>
            <w:vAlign w:val="center"/>
            <w:hideMark/>
          </w:tcPr>
          <w:p w14:paraId="594C12D1" w14:textId="77777777" w:rsidR="00CF7EED" w:rsidRPr="00B92499" w:rsidRDefault="00CF7EED" w:rsidP="00BF7A5D">
            <w:pPr>
              <w:jc w:val="center"/>
              <w:rPr>
                <w:rFonts w:ascii="Arial" w:hAnsi="Arial" w:cs="Arial"/>
                <w:b/>
                <w:bCs/>
                <w:color w:val="000000"/>
                <w:sz w:val="20"/>
                <w:szCs w:val="20"/>
              </w:rPr>
            </w:pPr>
            <w:r w:rsidRPr="00B92499">
              <w:rPr>
                <w:rFonts w:ascii="Arial" w:hAnsi="Arial" w:cs="Arial"/>
                <w:b/>
                <w:bCs/>
                <w:color w:val="000000"/>
                <w:sz w:val="20"/>
                <w:szCs w:val="20"/>
              </w:rPr>
              <w:t>Fracción</w:t>
            </w:r>
          </w:p>
        </w:tc>
        <w:tc>
          <w:tcPr>
            <w:tcW w:w="0" w:type="auto"/>
            <w:tcBorders>
              <w:top w:val="nil"/>
              <w:left w:val="nil"/>
              <w:bottom w:val="single" w:sz="4" w:space="0" w:color="auto"/>
              <w:right w:val="single" w:sz="4" w:space="0" w:color="auto"/>
            </w:tcBorders>
            <w:shd w:val="clear" w:color="auto" w:fill="00B0F0"/>
            <w:noWrap/>
            <w:vAlign w:val="center"/>
            <w:hideMark/>
          </w:tcPr>
          <w:p w14:paraId="567AD216" w14:textId="77777777" w:rsidR="00CF7EED" w:rsidRPr="00B92499" w:rsidRDefault="00CF7EED" w:rsidP="00BF7A5D">
            <w:pPr>
              <w:jc w:val="center"/>
              <w:rPr>
                <w:rFonts w:ascii="Arial" w:hAnsi="Arial" w:cs="Arial"/>
                <w:b/>
                <w:bCs/>
                <w:color w:val="000000"/>
                <w:sz w:val="20"/>
                <w:szCs w:val="20"/>
              </w:rPr>
            </w:pPr>
            <w:r w:rsidRPr="00B92499">
              <w:rPr>
                <w:rFonts w:ascii="Arial" w:hAnsi="Arial" w:cs="Arial"/>
                <w:b/>
                <w:bCs/>
                <w:color w:val="000000"/>
                <w:sz w:val="20"/>
                <w:szCs w:val="20"/>
              </w:rPr>
              <w:t>Resumen de la Fracción</w:t>
            </w:r>
          </w:p>
        </w:tc>
        <w:tc>
          <w:tcPr>
            <w:tcW w:w="823" w:type="dxa"/>
            <w:tcBorders>
              <w:top w:val="nil"/>
              <w:left w:val="nil"/>
              <w:bottom w:val="single" w:sz="4" w:space="0" w:color="auto"/>
              <w:right w:val="single" w:sz="4" w:space="0" w:color="auto"/>
            </w:tcBorders>
            <w:shd w:val="clear" w:color="auto" w:fill="00B0F0"/>
            <w:vAlign w:val="center"/>
            <w:hideMark/>
          </w:tcPr>
          <w:p w14:paraId="40DA80FD" w14:textId="77777777" w:rsidR="00CF7EED" w:rsidRPr="00B92499" w:rsidRDefault="00CF7EED" w:rsidP="00BF7A5D">
            <w:pPr>
              <w:jc w:val="center"/>
              <w:rPr>
                <w:rFonts w:ascii="Arial" w:hAnsi="Arial" w:cs="Arial"/>
                <w:b/>
                <w:bCs/>
                <w:color w:val="000000"/>
                <w:sz w:val="20"/>
                <w:szCs w:val="20"/>
              </w:rPr>
            </w:pPr>
            <w:r w:rsidRPr="00B92499">
              <w:rPr>
                <w:rFonts w:ascii="Arial" w:hAnsi="Arial" w:cs="Arial"/>
                <w:b/>
                <w:bCs/>
                <w:color w:val="000000"/>
                <w:sz w:val="20"/>
                <w:szCs w:val="20"/>
              </w:rPr>
              <w:t>ICP</w:t>
            </w:r>
          </w:p>
        </w:tc>
      </w:tr>
      <w:tr w:rsidR="00BB78B7" w:rsidRPr="00B92499" w14:paraId="0B7D8BB5" w14:textId="77777777" w:rsidTr="00BB78B7">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BDCFCFA" w14:textId="77777777" w:rsidR="00BB78B7" w:rsidRPr="00B92499" w:rsidRDefault="00BB78B7" w:rsidP="00BB78B7">
            <w:pPr>
              <w:jc w:val="center"/>
              <w:rPr>
                <w:rFonts w:ascii="Arial" w:hAnsi="Arial" w:cs="Arial"/>
                <w:color w:val="000000"/>
                <w:sz w:val="20"/>
                <w:szCs w:val="20"/>
              </w:rPr>
            </w:pPr>
            <w:r w:rsidRPr="00B92499">
              <w:rPr>
                <w:rFonts w:ascii="Arial" w:hAnsi="Arial" w:cs="Arial"/>
                <w:color w:val="000000"/>
                <w:sz w:val="20"/>
                <w:szCs w:val="20"/>
              </w:rPr>
              <w:t>VIII</w:t>
            </w:r>
          </w:p>
        </w:tc>
        <w:tc>
          <w:tcPr>
            <w:tcW w:w="0" w:type="auto"/>
            <w:tcBorders>
              <w:top w:val="nil"/>
              <w:left w:val="nil"/>
              <w:bottom w:val="single" w:sz="4" w:space="0" w:color="auto"/>
              <w:right w:val="single" w:sz="4" w:space="0" w:color="auto"/>
            </w:tcBorders>
            <w:shd w:val="clear" w:color="auto" w:fill="auto"/>
            <w:vAlign w:val="center"/>
            <w:hideMark/>
          </w:tcPr>
          <w:p w14:paraId="37E1B83F" w14:textId="77777777" w:rsidR="00BB78B7" w:rsidRPr="00B92499" w:rsidRDefault="00BB78B7" w:rsidP="00BB78B7">
            <w:pPr>
              <w:rPr>
                <w:rFonts w:ascii="Arial" w:hAnsi="Arial" w:cs="Arial"/>
                <w:color w:val="000000"/>
                <w:sz w:val="20"/>
                <w:szCs w:val="20"/>
              </w:rPr>
            </w:pPr>
            <w:r w:rsidRPr="00B92499">
              <w:rPr>
                <w:rFonts w:ascii="Arial" w:hAnsi="Arial" w:cs="Arial"/>
                <w:color w:val="000000"/>
                <w:sz w:val="20"/>
                <w:szCs w:val="20"/>
              </w:rPr>
              <w:t>Directorio del área.</w:t>
            </w:r>
          </w:p>
        </w:tc>
        <w:tc>
          <w:tcPr>
            <w:tcW w:w="823" w:type="dxa"/>
            <w:tcBorders>
              <w:top w:val="nil"/>
              <w:left w:val="nil"/>
              <w:bottom w:val="single" w:sz="4" w:space="0" w:color="auto"/>
              <w:right w:val="single" w:sz="4" w:space="0" w:color="auto"/>
            </w:tcBorders>
            <w:shd w:val="clear" w:color="auto" w:fill="auto"/>
            <w:vAlign w:val="center"/>
            <w:hideMark/>
          </w:tcPr>
          <w:p w14:paraId="69660FEB" w14:textId="6778F0EC" w:rsidR="00BB78B7" w:rsidRPr="00B92499" w:rsidRDefault="00BB78B7" w:rsidP="001075D0">
            <w:pPr>
              <w:jc w:val="center"/>
              <w:rPr>
                <w:rFonts w:ascii="Arial" w:hAnsi="Arial" w:cs="Arial"/>
                <w:color w:val="000000"/>
                <w:sz w:val="20"/>
                <w:szCs w:val="20"/>
              </w:rPr>
            </w:pPr>
            <w:r w:rsidRPr="00B92499">
              <w:rPr>
                <w:rFonts w:ascii="Arial" w:hAnsi="Arial" w:cs="Arial"/>
                <w:color w:val="000000"/>
                <w:sz w:val="20"/>
                <w:szCs w:val="20"/>
              </w:rPr>
              <w:t xml:space="preserve">         100 </w:t>
            </w:r>
          </w:p>
        </w:tc>
      </w:tr>
      <w:tr w:rsidR="00BB78B7" w:rsidRPr="00B92499" w14:paraId="4A9319AF" w14:textId="77777777" w:rsidTr="00BB78B7">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A65505B" w14:textId="77777777" w:rsidR="00BB78B7" w:rsidRPr="00B92499" w:rsidRDefault="00BB78B7" w:rsidP="00BB78B7">
            <w:pPr>
              <w:jc w:val="center"/>
              <w:rPr>
                <w:rFonts w:ascii="Arial" w:hAnsi="Arial" w:cs="Arial"/>
                <w:color w:val="000000"/>
                <w:sz w:val="20"/>
                <w:szCs w:val="20"/>
              </w:rPr>
            </w:pPr>
            <w:r w:rsidRPr="00B92499">
              <w:rPr>
                <w:rFonts w:ascii="Arial" w:hAnsi="Arial" w:cs="Arial"/>
                <w:color w:val="000000"/>
                <w:sz w:val="20"/>
                <w:szCs w:val="20"/>
              </w:rPr>
              <w:t>XVI</w:t>
            </w:r>
          </w:p>
        </w:tc>
        <w:tc>
          <w:tcPr>
            <w:tcW w:w="0" w:type="auto"/>
            <w:tcBorders>
              <w:top w:val="nil"/>
              <w:left w:val="nil"/>
              <w:bottom w:val="single" w:sz="4" w:space="0" w:color="auto"/>
              <w:right w:val="single" w:sz="4" w:space="0" w:color="auto"/>
            </w:tcBorders>
            <w:shd w:val="clear" w:color="auto" w:fill="auto"/>
            <w:vAlign w:val="center"/>
            <w:hideMark/>
          </w:tcPr>
          <w:p w14:paraId="4BC89657" w14:textId="77777777" w:rsidR="00BB78B7" w:rsidRPr="00B92499" w:rsidRDefault="00BB78B7" w:rsidP="00BB78B7">
            <w:pPr>
              <w:rPr>
                <w:rFonts w:ascii="Arial" w:hAnsi="Arial" w:cs="Arial"/>
                <w:color w:val="000000"/>
                <w:sz w:val="20"/>
                <w:szCs w:val="20"/>
              </w:rPr>
            </w:pPr>
            <w:r w:rsidRPr="00B92499">
              <w:rPr>
                <w:rFonts w:ascii="Arial" w:hAnsi="Arial" w:cs="Arial"/>
                <w:color w:val="000000"/>
                <w:sz w:val="20"/>
                <w:szCs w:val="20"/>
              </w:rPr>
              <w:t>Condiciones generales de trabajo, contratos y convenios que regulen la relación laboral, recursos otorgados a sindicatos.</w:t>
            </w:r>
          </w:p>
        </w:tc>
        <w:tc>
          <w:tcPr>
            <w:tcW w:w="823" w:type="dxa"/>
            <w:tcBorders>
              <w:top w:val="nil"/>
              <w:left w:val="nil"/>
              <w:bottom w:val="single" w:sz="4" w:space="0" w:color="auto"/>
              <w:right w:val="single" w:sz="4" w:space="0" w:color="auto"/>
            </w:tcBorders>
            <w:shd w:val="clear" w:color="auto" w:fill="auto"/>
            <w:vAlign w:val="center"/>
            <w:hideMark/>
          </w:tcPr>
          <w:p w14:paraId="693C54EE" w14:textId="40C3C880" w:rsidR="00BB78B7" w:rsidRPr="00B92499" w:rsidRDefault="00BB78B7" w:rsidP="001075D0">
            <w:pPr>
              <w:jc w:val="center"/>
              <w:rPr>
                <w:rFonts w:ascii="Arial" w:hAnsi="Arial" w:cs="Arial"/>
                <w:color w:val="000000"/>
                <w:sz w:val="20"/>
                <w:szCs w:val="20"/>
              </w:rPr>
            </w:pPr>
            <w:r w:rsidRPr="00B92499">
              <w:rPr>
                <w:rFonts w:ascii="Arial" w:hAnsi="Arial" w:cs="Arial"/>
                <w:color w:val="000000"/>
                <w:sz w:val="20"/>
                <w:szCs w:val="20"/>
              </w:rPr>
              <w:t xml:space="preserve">         100 </w:t>
            </w:r>
          </w:p>
        </w:tc>
      </w:tr>
      <w:tr w:rsidR="00BB78B7" w:rsidRPr="00B92499" w14:paraId="14983E2C" w14:textId="77777777" w:rsidTr="00BB78B7">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84D25A5" w14:textId="77777777" w:rsidR="00BB78B7" w:rsidRPr="00B92499" w:rsidRDefault="00BB78B7" w:rsidP="00BB78B7">
            <w:pPr>
              <w:jc w:val="center"/>
              <w:rPr>
                <w:rFonts w:ascii="Arial" w:hAnsi="Arial" w:cs="Arial"/>
                <w:color w:val="000000"/>
                <w:sz w:val="20"/>
                <w:szCs w:val="20"/>
              </w:rPr>
            </w:pPr>
            <w:r w:rsidRPr="00B92499">
              <w:rPr>
                <w:rFonts w:ascii="Arial" w:hAnsi="Arial" w:cs="Arial"/>
                <w:color w:val="000000"/>
                <w:sz w:val="20"/>
                <w:szCs w:val="20"/>
              </w:rPr>
              <w:t>XLII</w:t>
            </w:r>
          </w:p>
        </w:tc>
        <w:tc>
          <w:tcPr>
            <w:tcW w:w="0" w:type="auto"/>
            <w:tcBorders>
              <w:top w:val="nil"/>
              <w:left w:val="nil"/>
              <w:bottom w:val="single" w:sz="4" w:space="0" w:color="auto"/>
              <w:right w:val="single" w:sz="4" w:space="0" w:color="auto"/>
            </w:tcBorders>
            <w:shd w:val="clear" w:color="auto" w:fill="auto"/>
            <w:vAlign w:val="center"/>
            <w:hideMark/>
          </w:tcPr>
          <w:p w14:paraId="12A9E0F8" w14:textId="495A1140" w:rsidR="00BB78B7" w:rsidRPr="00B92499" w:rsidRDefault="00BB78B7" w:rsidP="00BB78B7">
            <w:pPr>
              <w:rPr>
                <w:rFonts w:ascii="Arial" w:hAnsi="Arial" w:cs="Arial"/>
                <w:color w:val="000000"/>
                <w:sz w:val="20"/>
                <w:szCs w:val="20"/>
              </w:rPr>
            </w:pPr>
            <w:r w:rsidRPr="00B92499">
              <w:rPr>
                <w:rFonts w:ascii="Arial" w:hAnsi="Arial" w:cs="Arial"/>
                <w:color w:val="000000"/>
                <w:sz w:val="20"/>
                <w:szCs w:val="20"/>
              </w:rPr>
              <w:t xml:space="preserve">Información relacionada con los programas y centros destinados a la práctica de actividad física, </w:t>
            </w:r>
            <w:r w:rsidR="00516722" w:rsidRPr="00B92499">
              <w:rPr>
                <w:rFonts w:ascii="Arial" w:hAnsi="Arial" w:cs="Arial"/>
                <w:color w:val="000000"/>
                <w:sz w:val="20"/>
                <w:szCs w:val="20"/>
              </w:rPr>
              <w:t>ejercicio</w:t>
            </w:r>
            <w:r w:rsidRPr="00B92499">
              <w:rPr>
                <w:rFonts w:ascii="Arial" w:hAnsi="Arial" w:cs="Arial"/>
                <w:color w:val="000000"/>
                <w:sz w:val="20"/>
                <w:szCs w:val="20"/>
              </w:rPr>
              <w:t xml:space="preserve"> y deporte. </w:t>
            </w:r>
          </w:p>
        </w:tc>
        <w:tc>
          <w:tcPr>
            <w:tcW w:w="823" w:type="dxa"/>
            <w:tcBorders>
              <w:top w:val="nil"/>
              <w:left w:val="nil"/>
              <w:bottom w:val="single" w:sz="4" w:space="0" w:color="auto"/>
              <w:right w:val="single" w:sz="4" w:space="0" w:color="auto"/>
            </w:tcBorders>
            <w:shd w:val="clear" w:color="auto" w:fill="auto"/>
            <w:vAlign w:val="center"/>
            <w:hideMark/>
          </w:tcPr>
          <w:p w14:paraId="1A283C26" w14:textId="105FA82F" w:rsidR="00BB78B7" w:rsidRPr="00B92499" w:rsidRDefault="00BB78B7" w:rsidP="001075D0">
            <w:pPr>
              <w:jc w:val="center"/>
              <w:rPr>
                <w:rFonts w:ascii="Arial" w:hAnsi="Arial" w:cs="Arial"/>
                <w:color w:val="000000"/>
                <w:sz w:val="20"/>
                <w:szCs w:val="20"/>
              </w:rPr>
            </w:pPr>
            <w:r w:rsidRPr="00B92499">
              <w:rPr>
                <w:rFonts w:ascii="Arial" w:hAnsi="Arial" w:cs="Arial"/>
                <w:color w:val="000000"/>
                <w:sz w:val="20"/>
                <w:szCs w:val="20"/>
              </w:rPr>
              <w:t xml:space="preserve">         100 </w:t>
            </w:r>
          </w:p>
        </w:tc>
      </w:tr>
      <w:tr w:rsidR="00BB78B7" w:rsidRPr="00B92499" w14:paraId="2D7935F3" w14:textId="77777777" w:rsidTr="00BB78B7">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F95D296" w14:textId="77777777" w:rsidR="00BB78B7" w:rsidRPr="00B92499" w:rsidRDefault="00BB78B7" w:rsidP="00BB78B7">
            <w:pPr>
              <w:jc w:val="center"/>
              <w:rPr>
                <w:rFonts w:ascii="Arial" w:hAnsi="Arial" w:cs="Arial"/>
                <w:color w:val="000000"/>
                <w:sz w:val="20"/>
                <w:szCs w:val="20"/>
              </w:rPr>
            </w:pPr>
            <w:r w:rsidRPr="00B92499">
              <w:rPr>
                <w:rFonts w:ascii="Arial" w:hAnsi="Arial" w:cs="Arial"/>
                <w:color w:val="000000"/>
                <w:sz w:val="20"/>
                <w:szCs w:val="20"/>
              </w:rPr>
              <w:t>LI</w:t>
            </w:r>
          </w:p>
        </w:tc>
        <w:tc>
          <w:tcPr>
            <w:tcW w:w="0" w:type="auto"/>
            <w:tcBorders>
              <w:top w:val="nil"/>
              <w:left w:val="nil"/>
              <w:bottom w:val="single" w:sz="4" w:space="0" w:color="auto"/>
              <w:right w:val="single" w:sz="4" w:space="0" w:color="auto"/>
            </w:tcBorders>
            <w:shd w:val="clear" w:color="auto" w:fill="auto"/>
            <w:vAlign w:val="center"/>
            <w:hideMark/>
          </w:tcPr>
          <w:p w14:paraId="21BC8B9A" w14:textId="77777777" w:rsidR="00BB78B7" w:rsidRPr="00B92499" w:rsidRDefault="00BB78B7" w:rsidP="00BB78B7">
            <w:pPr>
              <w:rPr>
                <w:rFonts w:ascii="Arial" w:hAnsi="Arial" w:cs="Arial"/>
                <w:color w:val="000000"/>
                <w:sz w:val="20"/>
                <w:szCs w:val="20"/>
              </w:rPr>
            </w:pPr>
            <w:r w:rsidRPr="00B92499">
              <w:rPr>
                <w:rFonts w:ascii="Arial" w:hAnsi="Arial" w:cs="Arial"/>
                <w:color w:val="000000"/>
                <w:sz w:val="20"/>
                <w:szCs w:val="20"/>
              </w:rPr>
              <w:t xml:space="preserve">Listado de solicitudes a las empresas concesionarias de telecomunicaciones y proveedores de servicios de internet para la intervención de comunicaciones y la geolocalización. </w:t>
            </w:r>
          </w:p>
        </w:tc>
        <w:tc>
          <w:tcPr>
            <w:tcW w:w="823" w:type="dxa"/>
            <w:tcBorders>
              <w:top w:val="nil"/>
              <w:left w:val="nil"/>
              <w:bottom w:val="single" w:sz="4" w:space="0" w:color="auto"/>
              <w:right w:val="single" w:sz="4" w:space="0" w:color="auto"/>
            </w:tcBorders>
            <w:shd w:val="clear" w:color="auto" w:fill="auto"/>
            <w:vAlign w:val="center"/>
            <w:hideMark/>
          </w:tcPr>
          <w:p w14:paraId="594454E2" w14:textId="5EF5A249" w:rsidR="00BB78B7" w:rsidRPr="00B92499" w:rsidRDefault="00BB78B7" w:rsidP="001075D0">
            <w:pPr>
              <w:jc w:val="center"/>
              <w:rPr>
                <w:rFonts w:ascii="Arial" w:hAnsi="Arial" w:cs="Arial"/>
                <w:color w:val="000000"/>
                <w:sz w:val="20"/>
                <w:szCs w:val="20"/>
              </w:rPr>
            </w:pPr>
            <w:r w:rsidRPr="00B92499">
              <w:rPr>
                <w:rFonts w:ascii="Arial" w:hAnsi="Arial" w:cs="Arial"/>
                <w:color w:val="000000"/>
                <w:sz w:val="20"/>
                <w:szCs w:val="20"/>
              </w:rPr>
              <w:t xml:space="preserve">         100 </w:t>
            </w:r>
          </w:p>
        </w:tc>
      </w:tr>
      <w:tr w:rsidR="00BB78B7" w:rsidRPr="00B92499" w14:paraId="03C8E7F0" w14:textId="77777777" w:rsidTr="00BB78B7">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E176892" w14:textId="77777777" w:rsidR="00BB78B7" w:rsidRPr="00B92499" w:rsidRDefault="00BB78B7" w:rsidP="00BB78B7">
            <w:pPr>
              <w:jc w:val="center"/>
              <w:rPr>
                <w:rFonts w:ascii="Arial" w:hAnsi="Arial" w:cs="Arial"/>
                <w:color w:val="000000"/>
                <w:sz w:val="20"/>
                <w:szCs w:val="20"/>
              </w:rPr>
            </w:pPr>
            <w:r w:rsidRPr="00B92499">
              <w:rPr>
                <w:rFonts w:ascii="Arial" w:hAnsi="Arial" w:cs="Arial"/>
                <w:color w:val="000000"/>
                <w:sz w:val="20"/>
                <w:szCs w:val="20"/>
              </w:rPr>
              <w:t>XXXIX</w:t>
            </w:r>
          </w:p>
        </w:tc>
        <w:tc>
          <w:tcPr>
            <w:tcW w:w="0" w:type="auto"/>
            <w:tcBorders>
              <w:top w:val="nil"/>
              <w:left w:val="nil"/>
              <w:bottom w:val="single" w:sz="4" w:space="0" w:color="auto"/>
              <w:right w:val="single" w:sz="4" w:space="0" w:color="auto"/>
            </w:tcBorders>
            <w:shd w:val="clear" w:color="auto" w:fill="auto"/>
            <w:vAlign w:val="center"/>
            <w:hideMark/>
          </w:tcPr>
          <w:p w14:paraId="031372D9" w14:textId="77777777" w:rsidR="00BB78B7" w:rsidRPr="00B92499" w:rsidRDefault="00BB78B7" w:rsidP="00BB78B7">
            <w:pPr>
              <w:rPr>
                <w:rFonts w:ascii="Arial" w:hAnsi="Arial" w:cs="Arial"/>
                <w:color w:val="000000"/>
                <w:sz w:val="20"/>
                <w:szCs w:val="20"/>
              </w:rPr>
            </w:pPr>
            <w:r w:rsidRPr="00B92499">
              <w:rPr>
                <w:rFonts w:ascii="Arial" w:hAnsi="Arial" w:cs="Arial"/>
                <w:color w:val="000000"/>
                <w:sz w:val="20"/>
                <w:szCs w:val="20"/>
              </w:rPr>
              <w:t>Resoluciones y laudos que se emitan en procesos seguidos en forma de juicio.</w:t>
            </w:r>
          </w:p>
        </w:tc>
        <w:tc>
          <w:tcPr>
            <w:tcW w:w="823" w:type="dxa"/>
            <w:tcBorders>
              <w:top w:val="nil"/>
              <w:left w:val="nil"/>
              <w:bottom w:val="single" w:sz="4" w:space="0" w:color="auto"/>
              <w:right w:val="single" w:sz="4" w:space="0" w:color="auto"/>
            </w:tcBorders>
            <w:shd w:val="clear" w:color="auto" w:fill="auto"/>
            <w:vAlign w:val="center"/>
            <w:hideMark/>
          </w:tcPr>
          <w:p w14:paraId="1C299F17" w14:textId="0F3AD477" w:rsidR="00BB78B7" w:rsidRPr="00B92499" w:rsidRDefault="00BB78B7" w:rsidP="001075D0">
            <w:pPr>
              <w:jc w:val="center"/>
              <w:rPr>
                <w:rFonts w:ascii="Arial" w:hAnsi="Arial" w:cs="Arial"/>
                <w:color w:val="000000"/>
                <w:sz w:val="20"/>
                <w:szCs w:val="20"/>
              </w:rPr>
            </w:pPr>
            <w:r w:rsidRPr="00B92499">
              <w:rPr>
                <w:rFonts w:ascii="Arial" w:hAnsi="Arial" w:cs="Arial"/>
                <w:color w:val="000000"/>
                <w:sz w:val="20"/>
                <w:szCs w:val="20"/>
              </w:rPr>
              <w:t xml:space="preserve">         100 </w:t>
            </w:r>
          </w:p>
        </w:tc>
      </w:tr>
      <w:tr w:rsidR="00BB78B7" w:rsidRPr="00B92499" w14:paraId="2F222D6A" w14:textId="77777777" w:rsidTr="00BB78B7">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D769D9B" w14:textId="77777777" w:rsidR="00BB78B7" w:rsidRPr="00B92499" w:rsidRDefault="00BB78B7" w:rsidP="00BB78B7">
            <w:pPr>
              <w:jc w:val="center"/>
              <w:rPr>
                <w:rFonts w:ascii="Arial" w:hAnsi="Arial" w:cs="Arial"/>
                <w:color w:val="000000"/>
                <w:sz w:val="20"/>
                <w:szCs w:val="20"/>
              </w:rPr>
            </w:pPr>
            <w:r w:rsidRPr="00B92499">
              <w:rPr>
                <w:rFonts w:ascii="Arial" w:hAnsi="Arial" w:cs="Arial"/>
                <w:color w:val="000000"/>
                <w:sz w:val="20"/>
                <w:szCs w:val="20"/>
              </w:rPr>
              <w:t>X</w:t>
            </w:r>
          </w:p>
        </w:tc>
        <w:tc>
          <w:tcPr>
            <w:tcW w:w="0" w:type="auto"/>
            <w:tcBorders>
              <w:top w:val="nil"/>
              <w:left w:val="nil"/>
              <w:bottom w:val="single" w:sz="4" w:space="0" w:color="auto"/>
              <w:right w:val="single" w:sz="4" w:space="0" w:color="auto"/>
            </w:tcBorders>
            <w:shd w:val="clear" w:color="auto" w:fill="auto"/>
            <w:vAlign w:val="center"/>
            <w:hideMark/>
          </w:tcPr>
          <w:p w14:paraId="5A891EB8" w14:textId="77777777" w:rsidR="00BB78B7" w:rsidRPr="00B92499" w:rsidRDefault="00BB78B7" w:rsidP="00BB78B7">
            <w:pPr>
              <w:rPr>
                <w:rFonts w:ascii="Arial" w:hAnsi="Arial" w:cs="Arial"/>
                <w:color w:val="000000"/>
                <w:sz w:val="20"/>
                <w:szCs w:val="20"/>
              </w:rPr>
            </w:pPr>
            <w:r w:rsidRPr="00B92499">
              <w:rPr>
                <w:rFonts w:ascii="Arial" w:hAnsi="Arial" w:cs="Arial"/>
                <w:color w:val="000000"/>
                <w:sz w:val="20"/>
                <w:szCs w:val="20"/>
              </w:rPr>
              <w:t>Lista con el importe con el concepto de viáticos.</w:t>
            </w:r>
          </w:p>
        </w:tc>
        <w:tc>
          <w:tcPr>
            <w:tcW w:w="823" w:type="dxa"/>
            <w:tcBorders>
              <w:top w:val="nil"/>
              <w:left w:val="nil"/>
              <w:bottom w:val="single" w:sz="4" w:space="0" w:color="auto"/>
              <w:right w:val="single" w:sz="4" w:space="0" w:color="auto"/>
            </w:tcBorders>
            <w:shd w:val="clear" w:color="auto" w:fill="auto"/>
            <w:vAlign w:val="center"/>
            <w:hideMark/>
          </w:tcPr>
          <w:p w14:paraId="596C69C2" w14:textId="77777777" w:rsidR="00BB78B7" w:rsidRPr="00B92499" w:rsidRDefault="00BB78B7" w:rsidP="00BB78B7">
            <w:pPr>
              <w:jc w:val="center"/>
              <w:rPr>
                <w:rFonts w:ascii="Arial" w:hAnsi="Arial" w:cs="Arial"/>
                <w:color w:val="000000"/>
                <w:sz w:val="20"/>
                <w:szCs w:val="20"/>
              </w:rPr>
            </w:pPr>
            <w:r w:rsidRPr="00B92499">
              <w:rPr>
                <w:rFonts w:ascii="Arial" w:hAnsi="Arial" w:cs="Arial"/>
                <w:color w:val="000000"/>
                <w:sz w:val="20"/>
                <w:szCs w:val="20"/>
              </w:rPr>
              <w:t xml:space="preserve">            99.74 </w:t>
            </w:r>
          </w:p>
        </w:tc>
      </w:tr>
      <w:tr w:rsidR="00BB78B7" w:rsidRPr="00B92499" w14:paraId="70578433" w14:textId="77777777" w:rsidTr="00BB78B7">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D35119A" w14:textId="77777777" w:rsidR="00BB78B7" w:rsidRPr="00B92499" w:rsidRDefault="00BB78B7" w:rsidP="00BB78B7">
            <w:pPr>
              <w:jc w:val="center"/>
              <w:rPr>
                <w:rFonts w:ascii="Arial" w:hAnsi="Arial" w:cs="Arial"/>
                <w:color w:val="000000"/>
                <w:sz w:val="20"/>
                <w:szCs w:val="20"/>
              </w:rPr>
            </w:pPr>
            <w:r w:rsidRPr="00B92499">
              <w:rPr>
                <w:rFonts w:ascii="Arial" w:hAnsi="Arial" w:cs="Arial"/>
                <w:color w:val="000000"/>
                <w:sz w:val="20"/>
                <w:szCs w:val="20"/>
              </w:rPr>
              <w:t>IX</w:t>
            </w:r>
          </w:p>
        </w:tc>
        <w:tc>
          <w:tcPr>
            <w:tcW w:w="0" w:type="auto"/>
            <w:tcBorders>
              <w:top w:val="nil"/>
              <w:left w:val="nil"/>
              <w:bottom w:val="single" w:sz="4" w:space="0" w:color="auto"/>
              <w:right w:val="single" w:sz="4" w:space="0" w:color="auto"/>
            </w:tcBorders>
            <w:shd w:val="clear" w:color="auto" w:fill="auto"/>
            <w:vAlign w:val="center"/>
            <w:hideMark/>
          </w:tcPr>
          <w:p w14:paraId="07F10F79" w14:textId="5CB7CF4F" w:rsidR="00BB78B7" w:rsidRPr="00B92499" w:rsidRDefault="00BB78B7" w:rsidP="00BB78B7">
            <w:pPr>
              <w:rPr>
                <w:rFonts w:ascii="Arial" w:hAnsi="Arial" w:cs="Arial"/>
                <w:color w:val="000000"/>
                <w:sz w:val="20"/>
                <w:szCs w:val="20"/>
              </w:rPr>
            </w:pPr>
            <w:r w:rsidRPr="00B92499">
              <w:rPr>
                <w:rFonts w:ascii="Arial" w:hAnsi="Arial" w:cs="Arial"/>
                <w:color w:val="000000"/>
                <w:sz w:val="20"/>
                <w:szCs w:val="20"/>
              </w:rPr>
              <w:t>Remuneraciones mensual bruta y neta</w:t>
            </w:r>
            <w:r w:rsidR="00C576D2" w:rsidRPr="00B92499">
              <w:rPr>
                <w:rFonts w:ascii="Arial" w:hAnsi="Arial" w:cs="Arial"/>
                <w:color w:val="000000"/>
                <w:sz w:val="20"/>
                <w:szCs w:val="20"/>
              </w:rPr>
              <w:t>.</w:t>
            </w:r>
          </w:p>
        </w:tc>
        <w:tc>
          <w:tcPr>
            <w:tcW w:w="823" w:type="dxa"/>
            <w:tcBorders>
              <w:top w:val="nil"/>
              <w:left w:val="nil"/>
              <w:bottom w:val="single" w:sz="4" w:space="0" w:color="auto"/>
              <w:right w:val="single" w:sz="4" w:space="0" w:color="auto"/>
            </w:tcBorders>
            <w:shd w:val="clear" w:color="auto" w:fill="auto"/>
            <w:vAlign w:val="center"/>
            <w:hideMark/>
          </w:tcPr>
          <w:p w14:paraId="45EB5638" w14:textId="77777777" w:rsidR="00BB78B7" w:rsidRPr="00B92499" w:rsidRDefault="00BB78B7" w:rsidP="00BB78B7">
            <w:pPr>
              <w:jc w:val="center"/>
              <w:rPr>
                <w:rFonts w:ascii="Arial" w:hAnsi="Arial" w:cs="Arial"/>
                <w:color w:val="000000"/>
                <w:sz w:val="20"/>
                <w:szCs w:val="20"/>
              </w:rPr>
            </w:pPr>
            <w:r w:rsidRPr="00B92499">
              <w:rPr>
                <w:rFonts w:ascii="Arial" w:hAnsi="Arial" w:cs="Arial"/>
                <w:color w:val="000000"/>
                <w:sz w:val="20"/>
                <w:szCs w:val="20"/>
              </w:rPr>
              <w:t xml:space="preserve">            99.74 </w:t>
            </w:r>
          </w:p>
        </w:tc>
      </w:tr>
      <w:tr w:rsidR="00BB78B7" w:rsidRPr="00B92499" w14:paraId="43980871" w14:textId="77777777" w:rsidTr="00BB78B7">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8777AE8" w14:textId="77777777" w:rsidR="00BB78B7" w:rsidRPr="00B92499" w:rsidRDefault="00BB78B7" w:rsidP="00BB78B7">
            <w:pPr>
              <w:jc w:val="center"/>
              <w:rPr>
                <w:rFonts w:ascii="Arial" w:hAnsi="Arial" w:cs="Arial"/>
                <w:color w:val="000000"/>
                <w:sz w:val="20"/>
                <w:szCs w:val="20"/>
              </w:rPr>
            </w:pPr>
            <w:r w:rsidRPr="00B92499">
              <w:rPr>
                <w:rFonts w:ascii="Arial" w:hAnsi="Arial" w:cs="Arial"/>
                <w:color w:val="000000"/>
                <w:sz w:val="20"/>
                <w:szCs w:val="20"/>
              </w:rPr>
              <w:t>XI</w:t>
            </w:r>
          </w:p>
        </w:tc>
        <w:tc>
          <w:tcPr>
            <w:tcW w:w="0" w:type="auto"/>
            <w:tcBorders>
              <w:top w:val="nil"/>
              <w:left w:val="nil"/>
              <w:bottom w:val="single" w:sz="4" w:space="0" w:color="auto"/>
              <w:right w:val="single" w:sz="4" w:space="0" w:color="auto"/>
            </w:tcBorders>
            <w:shd w:val="clear" w:color="auto" w:fill="auto"/>
            <w:vAlign w:val="center"/>
            <w:hideMark/>
          </w:tcPr>
          <w:p w14:paraId="4AB30327" w14:textId="77777777" w:rsidR="00BB78B7" w:rsidRPr="00B92499" w:rsidRDefault="00BB78B7" w:rsidP="00BB78B7">
            <w:pPr>
              <w:rPr>
                <w:rFonts w:ascii="Arial" w:hAnsi="Arial" w:cs="Arial"/>
                <w:color w:val="000000"/>
                <w:sz w:val="20"/>
                <w:szCs w:val="20"/>
              </w:rPr>
            </w:pPr>
            <w:r w:rsidRPr="00B92499">
              <w:rPr>
                <w:rFonts w:ascii="Arial" w:hAnsi="Arial" w:cs="Arial"/>
                <w:color w:val="000000"/>
                <w:sz w:val="20"/>
                <w:szCs w:val="20"/>
              </w:rPr>
              <w:t>Número tal de plazas y tipos.</w:t>
            </w:r>
          </w:p>
        </w:tc>
        <w:tc>
          <w:tcPr>
            <w:tcW w:w="823" w:type="dxa"/>
            <w:tcBorders>
              <w:top w:val="nil"/>
              <w:left w:val="nil"/>
              <w:bottom w:val="single" w:sz="4" w:space="0" w:color="auto"/>
              <w:right w:val="single" w:sz="4" w:space="0" w:color="auto"/>
            </w:tcBorders>
            <w:shd w:val="clear" w:color="auto" w:fill="auto"/>
            <w:vAlign w:val="center"/>
            <w:hideMark/>
          </w:tcPr>
          <w:p w14:paraId="508CC616" w14:textId="77777777" w:rsidR="00BB78B7" w:rsidRPr="00B92499" w:rsidRDefault="00BB78B7" w:rsidP="00BB78B7">
            <w:pPr>
              <w:jc w:val="center"/>
              <w:rPr>
                <w:rFonts w:ascii="Arial" w:hAnsi="Arial" w:cs="Arial"/>
                <w:color w:val="000000"/>
                <w:sz w:val="20"/>
                <w:szCs w:val="20"/>
              </w:rPr>
            </w:pPr>
            <w:r w:rsidRPr="00B92499">
              <w:rPr>
                <w:rFonts w:ascii="Arial" w:hAnsi="Arial" w:cs="Arial"/>
                <w:color w:val="000000"/>
                <w:sz w:val="20"/>
                <w:szCs w:val="20"/>
              </w:rPr>
              <w:t xml:space="preserve">            99.74 </w:t>
            </w:r>
          </w:p>
        </w:tc>
      </w:tr>
      <w:tr w:rsidR="00BB78B7" w:rsidRPr="00B92499" w14:paraId="6D175281" w14:textId="77777777" w:rsidTr="00BB78B7">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A88B7B5" w14:textId="77777777" w:rsidR="00BB78B7" w:rsidRPr="00B92499" w:rsidRDefault="00BB78B7" w:rsidP="00BB78B7">
            <w:pPr>
              <w:jc w:val="center"/>
              <w:rPr>
                <w:rFonts w:ascii="Arial" w:hAnsi="Arial" w:cs="Arial"/>
                <w:color w:val="000000"/>
                <w:sz w:val="20"/>
                <w:szCs w:val="20"/>
              </w:rPr>
            </w:pPr>
            <w:r w:rsidRPr="00B92499">
              <w:rPr>
                <w:rFonts w:ascii="Arial" w:hAnsi="Arial" w:cs="Arial"/>
                <w:color w:val="000000"/>
                <w:sz w:val="20"/>
                <w:szCs w:val="20"/>
              </w:rPr>
              <w:t>XXXI</w:t>
            </w:r>
          </w:p>
        </w:tc>
        <w:tc>
          <w:tcPr>
            <w:tcW w:w="0" w:type="auto"/>
            <w:tcBorders>
              <w:top w:val="nil"/>
              <w:left w:val="nil"/>
              <w:bottom w:val="single" w:sz="4" w:space="0" w:color="auto"/>
              <w:right w:val="single" w:sz="4" w:space="0" w:color="auto"/>
            </w:tcBorders>
            <w:shd w:val="clear" w:color="auto" w:fill="auto"/>
            <w:vAlign w:val="center"/>
            <w:hideMark/>
          </w:tcPr>
          <w:p w14:paraId="29FC80BC" w14:textId="573AFCAF" w:rsidR="00BB78B7" w:rsidRPr="00B92499" w:rsidRDefault="00BB78B7" w:rsidP="00BB78B7">
            <w:pPr>
              <w:rPr>
                <w:rFonts w:ascii="Arial" w:hAnsi="Arial" w:cs="Arial"/>
                <w:color w:val="000000"/>
                <w:sz w:val="20"/>
                <w:szCs w:val="20"/>
              </w:rPr>
            </w:pPr>
            <w:r w:rsidRPr="00B92499">
              <w:rPr>
                <w:rFonts w:ascii="Arial" w:hAnsi="Arial" w:cs="Arial"/>
                <w:color w:val="000000"/>
                <w:sz w:val="20"/>
                <w:szCs w:val="20"/>
              </w:rPr>
              <w:t xml:space="preserve">Informes que debe de rendir el </w:t>
            </w:r>
            <w:r w:rsidR="008710F6" w:rsidRPr="00B92499">
              <w:rPr>
                <w:rFonts w:ascii="Arial" w:hAnsi="Arial" w:cs="Arial"/>
                <w:color w:val="000000"/>
                <w:sz w:val="20"/>
                <w:szCs w:val="20"/>
              </w:rPr>
              <w:t>sujeto obligado</w:t>
            </w:r>
            <w:r w:rsidRPr="00B92499">
              <w:rPr>
                <w:rFonts w:ascii="Arial" w:hAnsi="Arial" w:cs="Arial"/>
                <w:color w:val="000000"/>
                <w:sz w:val="20"/>
                <w:szCs w:val="20"/>
              </w:rPr>
              <w:t xml:space="preserve">. </w:t>
            </w:r>
          </w:p>
        </w:tc>
        <w:tc>
          <w:tcPr>
            <w:tcW w:w="823" w:type="dxa"/>
            <w:tcBorders>
              <w:top w:val="nil"/>
              <w:left w:val="nil"/>
              <w:bottom w:val="single" w:sz="4" w:space="0" w:color="auto"/>
              <w:right w:val="single" w:sz="4" w:space="0" w:color="auto"/>
            </w:tcBorders>
            <w:shd w:val="clear" w:color="auto" w:fill="auto"/>
            <w:vAlign w:val="center"/>
            <w:hideMark/>
          </w:tcPr>
          <w:p w14:paraId="56E367F0" w14:textId="77777777" w:rsidR="00BB78B7" w:rsidRPr="00B92499" w:rsidRDefault="00BB78B7" w:rsidP="00BB78B7">
            <w:pPr>
              <w:jc w:val="center"/>
              <w:rPr>
                <w:rFonts w:ascii="Arial" w:hAnsi="Arial" w:cs="Arial"/>
                <w:color w:val="000000"/>
                <w:sz w:val="20"/>
                <w:szCs w:val="20"/>
              </w:rPr>
            </w:pPr>
            <w:r w:rsidRPr="00B92499">
              <w:rPr>
                <w:rFonts w:ascii="Arial" w:hAnsi="Arial" w:cs="Arial"/>
                <w:color w:val="000000"/>
                <w:sz w:val="20"/>
                <w:szCs w:val="20"/>
              </w:rPr>
              <w:t xml:space="preserve">            99.74 </w:t>
            </w:r>
          </w:p>
        </w:tc>
      </w:tr>
      <w:tr w:rsidR="00BB78B7" w:rsidRPr="00B92499" w14:paraId="56DC57E4" w14:textId="77777777" w:rsidTr="00BB78B7">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2C5036B" w14:textId="77777777" w:rsidR="00BB78B7" w:rsidRPr="00B92499" w:rsidRDefault="00BB78B7" w:rsidP="00BB78B7">
            <w:pPr>
              <w:jc w:val="center"/>
              <w:rPr>
                <w:rFonts w:ascii="Arial" w:hAnsi="Arial" w:cs="Arial"/>
                <w:color w:val="000000"/>
                <w:sz w:val="20"/>
                <w:szCs w:val="20"/>
              </w:rPr>
            </w:pPr>
            <w:r w:rsidRPr="00B92499">
              <w:rPr>
                <w:rFonts w:ascii="Arial" w:hAnsi="Arial" w:cs="Arial"/>
                <w:color w:val="000000"/>
                <w:sz w:val="20"/>
                <w:szCs w:val="20"/>
              </w:rPr>
              <w:t>II</w:t>
            </w:r>
          </w:p>
        </w:tc>
        <w:tc>
          <w:tcPr>
            <w:tcW w:w="0" w:type="auto"/>
            <w:tcBorders>
              <w:top w:val="nil"/>
              <w:left w:val="nil"/>
              <w:bottom w:val="single" w:sz="4" w:space="0" w:color="auto"/>
              <w:right w:val="single" w:sz="4" w:space="0" w:color="auto"/>
            </w:tcBorders>
            <w:shd w:val="clear" w:color="auto" w:fill="auto"/>
            <w:vAlign w:val="center"/>
            <w:hideMark/>
          </w:tcPr>
          <w:p w14:paraId="4B20F0B8" w14:textId="77777777" w:rsidR="00BB78B7" w:rsidRPr="00B92499" w:rsidRDefault="00BB78B7" w:rsidP="00BB78B7">
            <w:pPr>
              <w:rPr>
                <w:rFonts w:ascii="Arial" w:hAnsi="Arial" w:cs="Arial"/>
                <w:color w:val="000000"/>
                <w:sz w:val="20"/>
                <w:szCs w:val="20"/>
              </w:rPr>
            </w:pPr>
            <w:r w:rsidRPr="00B92499">
              <w:rPr>
                <w:rFonts w:ascii="Arial" w:hAnsi="Arial" w:cs="Arial"/>
                <w:color w:val="000000"/>
                <w:sz w:val="20"/>
                <w:szCs w:val="20"/>
              </w:rPr>
              <w:t>Estructura orgánica.</w:t>
            </w:r>
          </w:p>
        </w:tc>
        <w:tc>
          <w:tcPr>
            <w:tcW w:w="823" w:type="dxa"/>
            <w:tcBorders>
              <w:top w:val="nil"/>
              <w:left w:val="nil"/>
              <w:bottom w:val="single" w:sz="4" w:space="0" w:color="auto"/>
              <w:right w:val="single" w:sz="4" w:space="0" w:color="auto"/>
            </w:tcBorders>
            <w:shd w:val="clear" w:color="auto" w:fill="auto"/>
            <w:vAlign w:val="center"/>
            <w:hideMark/>
          </w:tcPr>
          <w:p w14:paraId="49BF9C4F" w14:textId="77777777" w:rsidR="00BB78B7" w:rsidRPr="00B92499" w:rsidRDefault="00BB78B7" w:rsidP="00BB78B7">
            <w:pPr>
              <w:jc w:val="center"/>
              <w:rPr>
                <w:rFonts w:ascii="Arial" w:hAnsi="Arial" w:cs="Arial"/>
                <w:color w:val="000000"/>
                <w:sz w:val="20"/>
                <w:szCs w:val="20"/>
              </w:rPr>
            </w:pPr>
            <w:r w:rsidRPr="00B92499">
              <w:rPr>
                <w:rFonts w:ascii="Arial" w:hAnsi="Arial" w:cs="Arial"/>
                <w:color w:val="000000"/>
                <w:sz w:val="20"/>
                <w:szCs w:val="20"/>
              </w:rPr>
              <w:t xml:space="preserve">            99.69 </w:t>
            </w:r>
          </w:p>
        </w:tc>
      </w:tr>
      <w:tr w:rsidR="00BB78B7" w:rsidRPr="00B92499" w14:paraId="5EC3387C" w14:textId="77777777" w:rsidTr="00BB78B7">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E24B3D2" w14:textId="77777777" w:rsidR="00BB78B7" w:rsidRPr="00B92499" w:rsidRDefault="00BB78B7" w:rsidP="00BB78B7">
            <w:pPr>
              <w:jc w:val="center"/>
              <w:rPr>
                <w:rFonts w:ascii="Arial" w:hAnsi="Arial" w:cs="Arial"/>
                <w:color w:val="000000"/>
                <w:sz w:val="20"/>
                <w:szCs w:val="20"/>
              </w:rPr>
            </w:pPr>
            <w:r w:rsidRPr="00B92499">
              <w:rPr>
                <w:rFonts w:ascii="Arial" w:hAnsi="Arial" w:cs="Arial"/>
                <w:color w:val="000000"/>
                <w:sz w:val="20"/>
                <w:szCs w:val="20"/>
              </w:rPr>
              <w:t>XVII</w:t>
            </w:r>
          </w:p>
        </w:tc>
        <w:tc>
          <w:tcPr>
            <w:tcW w:w="0" w:type="auto"/>
            <w:tcBorders>
              <w:top w:val="nil"/>
              <w:left w:val="nil"/>
              <w:bottom w:val="single" w:sz="4" w:space="0" w:color="auto"/>
              <w:right w:val="single" w:sz="4" w:space="0" w:color="auto"/>
            </w:tcBorders>
            <w:shd w:val="clear" w:color="auto" w:fill="auto"/>
            <w:vAlign w:val="center"/>
            <w:hideMark/>
          </w:tcPr>
          <w:p w14:paraId="41137201" w14:textId="77777777" w:rsidR="00BB78B7" w:rsidRPr="00B92499" w:rsidRDefault="00BB78B7" w:rsidP="00BB78B7">
            <w:pPr>
              <w:rPr>
                <w:rFonts w:ascii="Arial" w:hAnsi="Arial" w:cs="Arial"/>
                <w:color w:val="000000"/>
                <w:sz w:val="20"/>
                <w:szCs w:val="20"/>
              </w:rPr>
            </w:pPr>
            <w:r w:rsidRPr="00B92499">
              <w:rPr>
                <w:rFonts w:ascii="Arial" w:hAnsi="Arial" w:cs="Arial"/>
                <w:color w:val="000000"/>
                <w:sz w:val="20"/>
                <w:szCs w:val="20"/>
              </w:rPr>
              <w:t>CV de jefe de departamento para arriba.</w:t>
            </w:r>
          </w:p>
        </w:tc>
        <w:tc>
          <w:tcPr>
            <w:tcW w:w="823" w:type="dxa"/>
            <w:tcBorders>
              <w:top w:val="nil"/>
              <w:left w:val="nil"/>
              <w:bottom w:val="single" w:sz="4" w:space="0" w:color="auto"/>
              <w:right w:val="single" w:sz="4" w:space="0" w:color="auto"/>
            </w:tcBorders>
            <w:shd w:val="clear" w:color="auto" w:fill="auto"/>
            <w:vAlign w:val="center"/>
            <w:hideMark/>
          </w:tcPr>
          <w:p w14:paraId="22096DBA" w14:textId="77777777" w:rsidR="00BB78B7" w:rsidRPr="00B92499" w:rsidRDefault="00BB78B7" w:rsidP="00BB78B7">
            <w:pPr>
              <w:jc w:val="center"/>
              <w:rPr>
                <w:rFonts w:ascii="Arial" w:hAnsi="Arial" w:cs="Arial"/>
                <w:color w:val="000000"/>
                <w:sz w:val="20"/>
                <w:szCs w:val="20"/>
              </w:rPr>
            </w:pPr>
            <w:r w:rsidRPr="00B92499">
              <w:rPr>
                <w:rFonts w:ascii="Arial" w:hAnsi="Arial" w:cs="Arial"/>
                <w:color w:val="000000"/>
                <w:sz w:val="20"/>
                <w:szCs w:val="20"/>
              </w:rPr>
              <w:t xml:space="preserve">            99.67 </w:t>
            </w:r>
          </w:p>
        </w:tc>
      </w:tr>
      <w:tr w:rsidR="00BB78B7" w:rsidRPr="00B92499" w14:paraId="782FD6D3" w14:textId="77777777" w:rsidTr="00BB78B7">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25AC491" w14:textId="77777777" w:rsidR="00BB78B7" w:rsidRPr="00B92499" w:rsidRDefault="00BB78B7" w:rsidP="00BB78B7">
            <w:pPr>
              <w:jc w:val="center"/>
              <w:rPr>
                <w:rFonts w:ascii="Arial" w:hAnsi="Arial" w:cs="Arial"/>
                <w:color w:val="000000"/>
                <w:sz w:val="20"/>
                <w:szCs w:val="20"/>
              </w:rPr>
            </w:pPr>
            <w:r w:rsidRPr="00B92499">
              <w:rPr>
                <w:rFonts w:ascii="Arial" w:hAnsi="Arial" w:cs="Arial"/>
                <w:color w:val="000000"/>
                <w:sz w:val="20"/>
                <w:szCs w:val="20"/>
              </w:rPr>
              <w:t>XXXVI</w:t>
            </w:r>
          </w:p>
        </w:tc>
        <w:tc>
          <w:tcPr>
            <w:tcW w:w="0" w:type="auto"/>
            <w:tcBorders>
              <w:top w:val="nil"/>
              <w:left w:val="nil"/>
              <w:bottom w:val="single" w:sz="4" w:space="0" w:color="auto"/>
              <w:right w:val="single" w:sz="4" w:space="0" w:color="auto"/>
            </w:tcBorders>
            <w:shd w:val="clear" w:color="auto" w:fill="auto"/>
            <w:vAlign w:val="center"/>
            <w:hideMark/>
          </w:tcPr>
          <w:p w14:paraId="6F33A825" w14:textId="77777777" w:rsidR="00BB78B7" w:rsidRPr="00B92499" w:rsidRDefault="00BB78B7" w:rsidP="00BB78B7">
            <w:pPr>
              <w:rPr>
                <w:rFonts w:ascii="Arial" w:hAnsi="Arial" w:cs="Arial"/>
                <w:color w:val="000000"/>
                <w:sz w:val="20"/>
                <w:szCs w:val="20"/>
              </w:rPr>
            </w:pPr>
            <w:r w:rsidRPr="00B92499">
              <w:rPr>
                <w:rFonts w:ascii="Arial" w:hAnsi="Arial" w:cs="Arial"/>
                <w:color w:val="000000"/>
                <w:sz w:val="20"/>
                <w:szCs w:val="20"/>
              </w:rPr>
              <w:t>Inventario de bienes muebles.</w:t>
            </w:r>
          </w:p>
        </w:tc>
        <w:tc>
          <w:tcPr>
            <w:tcW w:w="823" w:type="dxa"/>
            <w:tcBorders>
              <w:top w:val="nil"/>
              <w:left w:val="nil"/>
              <w:bottom w:val="single" w:sz="4" w:space="0" w:color="auto"/>
              <w:right w:val="single" w:sz="4" w:space="0" w:color="auto"/>
            </w:tcBorders>
            <w:shd w:val="clear" w:color="auto" w:fill="auto"/>
            <w:vAlign w:val="center"/>
            <w:hideMark/>
          </w:tcPr>
          <w:p w14:paraId="2BC6797F" w14:textId="77777777" w:rsidR="00BB78B7" w:rsidRPr="00B92499" w:rsidRDefault="00BB78B7" w:rsidP="00BB78B7">
            <w:pPr>
              <w:jc w:val="center"/>
              <w:rPr>
                <w:rFonts w:ascii="Arial" w:hAnsi="Arial" w:cs="Arial"/>
                <w:color w:val="000000"/>
                <w:sz w:val="20"/>
                <w:szCs w:val="20"/>
              </w:rPr>
            </w:pPr>
            <w:r w:rsidRPr="00B92499">
              <w:rPr>
                <w:rFonts w:ascii="Arial" w:hAnsi="Arial" w:cs="Arial"/>
                <w:color w:val="000000"/>
                <w:sz w:val="20"/>
                <w:szCs w:val="20"/>
              </w:rPr>
              <w:t xml:space="preserve">            99.67 </w:t>
            </w:r>
          </w:p>
        </w:tc>
      </w:tr>
      <w:tr w:rsidR="00BB78B7" w:rsidRPr="00B92499" w14:paraId="3DDFB836" w14:textId="77777777" w:rsidTr="00BB78B7">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E5146C0" w14:textId="77777777" w:rsidR="00BB78B7" w:rsidRPr="00B92499" w:rsidRDefault="00BB78B7" w:rsidP="00BB78B7">
            <w:pPr>
              <w:jc w:val="center"/>
              <w:rPr>
                <w:rFonts w:ascii="Arial" w:hAnsi="Arial" w:cs="Arial"/>
                <w:color w:val="000000"/>
                <w:sz w:val="20"/>
                <w:szCs w:val="20"/>
              </w:rPr>
            </w:pPr>
            <w:r w:rsidRPr="00B92499">
              <w:rPr>
                <w:rFonts w:ascii="Arial" w:hAnsi="Arial" w:cs="Arial"/>
                <w:color w:val="000000"/>
                <w:sz w:val="20"/>
                <w:szCs w:val="20"/>
              </w:rPr>
              <w:t>III</w:t>
            </w:r>
          </w:p>
        </w:tc>
        <w:tc>
          <w:tcPr>
            <w:tcW w:w="0" w:type="auto"/>
            <w:tcBorders>
              <w:top w:val="nil"/>
              <w:left w:val="nil"/>
              <w:bottom w:val="single" w:sz="4" w:space="0" w:color="auto"/>
              <w:right w:val="single" w:sz="4" w:space="0" w:color="auto"/>
            </w:tcBorders>
            <w:shd w:val="clear" w:color="auto" w:fill="auto"/>
            <w:vAlign w:val="center"/>
            <w:hideMark/>
          </w:tcPr>
          <w:p w14:paraId="6F141561" w14:textId="77777777" w:rsidR="00BB78B7" w:rsidRPr="00B92499" w:rsidRDefault="00BB78B7" w:rsidP="00BB78B7">
            <w:pPr>
              <w:rPr>
                <w:rFonts w:ascii="Arial" w:hAnsi="Arial" w:cs="Arial"/>
                <w:color w:val="000000"/>
                <w:sz w:val="20"/>
                <w:szCs w:val="20"/>
              </w:rPr>
            </w:pPr>
            <w:r w:rsidRPr="00B92499">
              <w:rPr>
                <w:rFonts w:ascii="Arial" w:hAnsi="Arial" w:cs="Arial"/>
                <w:color w:val="000000"/>
                <w:sz w:val="20"/>
                <w:szCs w:val="20"/>
              </w:rPr>
              <w:t>Facultades de cada área (dirección).</w:t>
            </w:r>
          </w:p>
        </w:tc>
        <w:tc>
          <w:tcPr>
            <w:tcW w:w="823" w:type="dxa"/>
            <w:tcBorders>
              <w:top w:val="nil"/>
              <w:left w:val="nil"/>
              <w:bottom w:val="single" w:sz="4" w:space="0" w:color="auto"/>
              <w:right w:val="single" w:sz="4" w:space="0" w:color="auto"/>
            </w:tcBorders>
            <w:shd w:val="clear" w:color="auto" w:fill="auto"/>
            <w:vAlign w:val="center"/>
            <w:hideMark/>
          </w:tcPr>
          <w:p w14:paraId="70851E13" w14:textId="77777777" w:rsidR="00BB78B7" w:rsidRPr="00B92499" w:rsidRDefault="00BB78B7" w:rsidP="00BB78B7">
            <w:pPr>
              <w:jc w:val="center"/>
              <w:rPr>
                <w:rFonts w:ascii="Arial" w:hAnsi="Arial" w:cs="Arial"/>
                <w:color w:val="000000"/>
                <w:sz w:val="20"/>
                <w:szCs w:val="20"/>
              </w:rPr>
            </w:pPr>
            <w:r w:rsidRPr="00B92499">
              <w:rPr>
                <w:rFonts w:ascii="Arial" w:hAnsi="Arial" w:cs="Arial"/>
                <w:color w:val="000000"/>
                <w:sz w:val="20"/>
                <w:szCs w:val="20"/>
              </w:rPr>
              <w:t xml:space="preserve">            99.61 </w:t>
            </w:r>
          </w:p>
        </w:tc>
      </w:tr>
      <w:tr w:rsidR="00BB78B7" w:rsidRPr="00B92499" w14:paraId="44421AFF" w14:textId="77777777" w:rsidTr="00BB78B7">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AAACC74" w14:textId="77777777" w:rsidR="00BB78B7" w:rsidRPr="00B92499" w:rsidRDefault="00BB78B7" w:rsidP="00BB78B7">
            <w:pPr>
              <w:jc w:val="center"/>
              <w:rPr>
                <w:rFonts w:ascii="Arial" w:hAnsi="Arial" w:cs="Arial"/>
                <w:color w:val="000000"/>
                <w:sz w:val="20"/>
                <w:szCs w:val="20"/>
              </w:rPr>
            </w:pPr>
            <w:r w:rsidRPr="00B92499">
              <w:rPr>
                <w:rFonts w:ascii="Arial" w:hAnsi="Arial" w:cs="Arial"/>
                <w:color w:val="000000"/>
                <w:sz w:val="20"/>
                <w:szCs w:val="20"/>
              </w:rPr>
              <w:t>XII</w:t>
            </w:r>
          </w:p>
        </w:tc>
        <w:tc>
          <w:tcPr>
            <w:tcW w:w="0" w:type="auto"/>
            <w:tcBorders>
              <w:top w:val="nil"/>
              <w:left w:val="nil"/>
              <w:bottom w:val="single" w:sz="4" w:space="0" w:color="auto"/>
              <w:right w:val="single" w:sz="4" w:space="0" w:color="auto"/>
            </w:tcBorders>
            <w:shd w:val="clear" w:color="auto" w:fill="auto"/>
            <w:vAlign w:val="center"/>
            <w:hideMark/>
          </w:tcPr>
          <w:p w14:paraId="15725A01" w14:textId="77777777" w:rsidR="00BB78B7" w:rsidRPr="00B92499" w:rsidRDefault="00BB78B7" w:rsidP="00BB78B7">
            <w:pPr>
              <w:rPr>
                <w:rFonts w:ascii="Arial" w:hAnsi="Arial" w:cs="Arial"/>
                <w:color w:val="000000"/>
                <w:sz w:val="20"/>
                <w:szCs w:val="20"/>
              </w:rPr>
            </w:pPr>
            <w:r w:rsidRPr="00B92499">
              <w:rPr>
                <w:rFonts w:ascii="Arial" w:hAnsi="Arial" w:cs="Arial"/>
                <w:color w:val="000000"/>
                <w:sz w:val="20"/>
                <w:szCs w:val="20"/>
              </w:rPr>
              <w:t>Servicios profesionales y honorarios.</w:t>
            </w:r>
          </w:p>
        </w:tc>
        <w:tc>
          <w:tcPr>
            <w:tcW w:w="823" w:type="dxa"/>
            <w:tcBorders>
              <w:top w:val="nil"/>
              <w:left w:val="nil"/>
              <w:bottom w:val="single" w:sz="4" w:space="0" w:color="auto"/>
              <w:right w:val="single" w:sz="4" w:space="0" w:color="auto"/>
            </w:tcBorders>
            <w:shd w:val="clear" w:color="auto" w:fill="auto"/>
            <w:vAlign w:val="center"/>
            <w:hideMark/>
          </w:tcPr>
          <w:p w14:paraId="5EF3A65D" w14:textId="77777777" w:rsidR="00BB78B7" w:rsidRPr="00B92499" w:rsidRDefault="00BB78B7" w:rsidP="00BB78B7">
            <w:pPr>
              <w:jc w:val="center"/>
              <w:rPr>
                <w:rFonts w:ascii="Arial" w:hAnsi="Arial" w:cs="Arial"/>
                <w:color w:val="000000"/>
                <w:sz w:val="20"/>
                <w:szCs w:val="20"/>
              </w:rPr>
            </w:pPr>
            <w:r w:rsidRPr="00B92499">
              <w:rPr>
                <w:rFonts w:ascii="Arial" w:hAnsi="Arial" w:cs="Arial"/>
                <w:color w:val="000000"/>
                <w:sz w:val="20"/>
                <w:szCs w:val="20"/>
              </w:rPr>
              <w:t xml:space="preserve">            99.52 </w:t>
            </w:r>
          </w:p>
        </w:tc>
      </w:tr>
      <w:tr w:rsidR="00BB78B7" w:rsidRPr="00B92499" w14:paraId="6010D3ED" w14:textId="77777777" w:rsidTr="00BB78B7">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71280FA" w14:textId="77777777" w:rsidR="00BB78B7" w:rsidRPr="00B92499" w:rsidRDefault="00BB78B7" w:rsidP="00BB78B7">
            <w:pPr>
              <w:jc w:val="center"/>
              <w:rPr>
                <w:rFonts w:ascii="Arial" w:hAnsi="Arial" w:cs="Arial"/>
                <w:color w:val="000000"/>
                <w:sz w:val="20"/>
                <w:szCs w:val="20"/>
              </w:rPr>
            </w:pPr>
            <w:r w:rsidRPr="00B92499">
              <w:rPr>
                <w:rFonts w:ascii="Arial" w:hAnsi="Arial" w:cs="Arial"/>
                <w:color w:val="000000"/>
                <w:sz w:val="20"/>
                <w:szCs w:val="20"/>
              </w:rPr>
              <w:t>XIX</w:t>
            </w:r>
          </w:p>
        </w:tc>
        <w:tc>
          <w:tcPr>
            <w:tcW w:w="0" w:type="auto"/>
            <w:tcBorders>
              <w:top w:val="nil"/>
              <w:left w:val="nil"/>
              <w:bottom w:val="single" w:sz="4" w:space="0" w:color="auto"/>
              <w:right w:val="single" w:sz="4" w:space="0" w:color="auto"/>
            </w:tcBorders>
            <w:shd w:val="clear" w:color="auto" w:fill="auto"/>
            <w:vAlign w:val="center"/>
            <w:hideMark/>
          </w:tcPr>
          <w:p w14:paraId="5BEAD694" w14:textId="77777777" w:rsidR="00BB78B7" w:rsidRPr="00B92499" w:rsidRDefault="00BB78B7" w:rsidP="00BB78B7">
            <w:pPr>
              <w:rPr>
                <w:rFonts w:ascii="Arial" w:hAnsi="Arial" w:cs="Arial"/>
                <w:color w:val="000000"/>
                <w:sz w:val="20"/>
                <w:szCs w:val="20"/>
              </w:rPr>
            </w:pPr>
            <w:r w:rsidRPr="00B92499">
              <w:rPr>
                <w:rFonts w:ascii="Arial" w:hAnsi="Arial" w:cs="Arial"/>
                <w:color w:val="000000"/>
                <w:sz w:val="20"/>
                <w:szCs w:val="20"/>
              </w:rPr>
              <w:t>Servicios que ofrecen y requisitos para acceder a ellos.</w:t>
            </w:r>
          </w:p>
        </w:tc>
        <w:tc>
          <w:tcPr>
            <w:tcW w:w="823" w:type="dxa"/>
            <w:tcBorders>
              <w:top w:val="nil"/>
              <w:left w:val="nil"/>
              <w:bottom w:val="single" w:sz="4" w:space="0" w:color="auto"/>
              <w:right w:val="single" w:sz="4" w:space="0" w:color="auto"/>
            </w:tcBorders>
            <w:shd w:val="clear" w:color="auto" w:fill="auto"/>
            <w:vAlign w:val="center"/>
            <w:hideMark/>
          </w:tcPr>
          <w:p w14:paraId="5B36CAD9" w14:textId="77777777" w:rsidR="00BB78B7" w:rsidRPr="00B92499" w:rsidRDefault="00BB78B7" w:rsidP="00BB78B7">
            <w:pPr>
              <w:jc w:val="center"/>
              <w:rPr>
                <w:rFonts w:ascii="Arial" w:hAnsi="Arial" w:cs="Arial"/>
                <w:color w:val="000000"/>
                <w:sz w:val="20"/>
                <w:szCs w:val="20"/>
              </w:rPr>
            </w:pPr>
            <w:r w:rsidRPr="00B92499">
              <w:rPr>
                <w:rFonts w:ascii="Arial" w:hAnsi="Arial" w:cs="Arial"/>
                <w:color w:val="000000"/>
                <w:sz w:val="20"/>
                <w:szCs w:val="20"/>
              </w:rPr>
              <w:t xml:space="preserve">            99.48 </w:t>
            </w:r>
          </w:p>
        </w:tc>
      </w:tr>
      <w:tr w:rsidR="00BB78B7" w:rsidRPr="00B92499" w14:paraId="7E7F1090" w14:textId="77777777" w:rsidTr="00BB78B7">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09F16EC" w14:textId="77777777" w:rsidR="00BB78B7" w:rsidRPr="00B92499" w:rsidRDefault="00BB78B7" w:rsidP="00BB78B7">
            <w:pPr>
              <w:jc w:val="center"/>
              <w:rPr>
                <w:rFonts w:ascii="Arial" w:hAnsi="Arial" w:cs="Arial"/>
                <w:color w:val="000000"/>
                <w:sz w:val="20"/>
                <w:szCs w:val="20"/>
              </w:rPr>
            </w:pPr>
            <w:r w:rsidRPr="00B92499">
              <w:rPr>
                <w:rFonts w:ascii="Arial" w:hAnsi="Arial" w:cs="Arial"/>
                <w:color w:val="000000"/>
                <w:sz w:val="20"/>
                <w:szCs w:val="20"/>
              </w:rPr>
              <w:t>XXVII</w:t>
            </w:r>
          </w:p>
        </w:tc>
        <w:tc>
          <w:tcPr>
            <w:tcW w:w="0" w:type="auto"/>
            <w:tcBorders>
              <w:top w:val="nil"/>
              <w:left w:val="nil"/>
              <w:bottom w:val="single" w:sz="4" w:space="0" w:color="auto"/>
              <w:right w:val="single" w:sz="4" w:space="0" w:color="auto"/>
            </w:tcBorders>
            <w:shd w:val="clear" w:color="auto" w:fill="auto"/>
            <w:vAlign w:val="center"/>
            <w:hideMark/>
          </w:tcPr>
          <w:p w14:paraId="723F1DD2" w14:textId="77777777" w:rsidR="00BB78B7" w:rsidRPr="00B92499" w:rsidRDefault="00BB78B7" w:rsidP="00BB78B7">
            <w:pPr>
              <w:rPr>
                <w:rFonts w:ascii="Arial" w:hAnsi="Arial" w:cs="Arial"/>
                <w:color w:val="000000"/>
                <w:sz w:val="20"/>
                <w:szCs w:val="20"/>
              </w:rPr>
            </w:pPr>
            <w:r w:rsidRPr="00B92499">
              <w:rPr>
                <w:rFonts w:ascii="Arial" w:hAnsi="Arial" w:cs="Arial"/>
                <w:color w:val="000000"/>
                <w:sz w:val="20"/>
                <w:szCs w:val="20"/>
              </w:rPr>
              <w:t>Dictámenes de cuenta pública y estado financieros.</w:t>
            </w:r>
          </w:p>
        </w:tc>
        <w:tc>
          <w:tcPr>
            <w:tcW w:w="823" w:type="dxa"/>
            <w:tcBorders>
              <w:top w:val="nil"/>
              <w:left w:val="nil"/>
              <w:bottom w:val="single" w:sz="4" w:space="0" w:color="auto"/>
              <w:right w:val="single" w:sz="4" w:space="0" w:color="auto"/>
            </w:tcBorders>
            <w:shd w:val="clear" w:color="auto" w:fill="auto"/>
            <w:vAlign w:val="center"/>
            <w:hideMark/>
          </w:tcPr>
          <w:p w14:paraId="7A67E312" w14:textId="77777777" w:rsidR="00BB78B7" w:rsidRPr="00B92499" w:rsidRDefault="00BB78B7" w:rsidP="00BB78B7">
            <w:pPr>
              <w:jc w:val="center"/>
              <w:rPr>
                <w:rFonts w:ascii="Arial" w:hAnsi="Arial" w:cs="Arial"/>
                <w:color w:val="000000"/>
                <w:sz w:val="20"/>
                <w:szCs w:val="20"/>
              </w:rPr>
            </w:pPr>
            <w:r w:rsidRPr="00B92499">
              <w:rPr>
                <w:rFonts w:ascii="Arial" w:hAnsi="Arial" w:cs="Arial"/>
                <w:color w:val="000000"/>
                <w:sz w:val="20"/>
                <w:szCs w:val="20"/>
              </w:rPr>
              <w:t xml:space="preserve">            99.48 </w:t>
            </w:r>
          </w:p>
        </w:tc>
      </w:tr>
      <w:tr w:rsidR="00BB78B7" w:rsidRPr="00B92499" w14:paraId="352BC2CC" w14:textId="77777777" w:rsidTr="00BB78B7">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BAB5B39" w14:textId="77777777" w:rsidR="00BB78B7" w:rsidRPr="00B92499" w:rsidRDefault="00BB78B7" w:rsidP="00BB78B7">
            <w:pPr>
              <w:jc w:val="center"/>
              <w:rPr>
                <w:rFonts w:ascii="Arial" w:hAnsi="Arial" w:cs="Arial"/>
                <w:color w:val="000000"/>
                <w:sz w:val="20"/>
                <w:szCs w:val="20"/>
              </w:rPr>
            </w:pPr>
            <w:r w:rsidRPr="00B92499">
              <w:rPr>
                <w:rFonts w:ascii="Arial" w:hAnsi="Arial" w:cs="Arial"/>
                <w:color w:val="000000"/>
                <w:sz w:val="20"/>
                <w:szCs w:val="20"/>
              </w:rPr>
              <w:t>XLIX</w:t>
            </w:r>
          </w:p>
        </w:tc>
        <w:tc>
          <w:tcPr>
            <w:tcW w:w="0" w:type="auto"/>
            <w:tcBorders>
              <w:top w:val="nil"/>
              <w:left w:val="nil"/>
              <w:bottom w:val="single" w:sz="4" w:space="0" w:color="auto"/>
              <w:right w:val="single" w:sz="4" w:space="0" w:color="auto"/>
            </w:tcBorders>
            <w:shd w:val="clear" w:color="auto" w:fill="auto"/>
            <w:vAlign w:val="center"/>
            <w:hideMark/>
          </w:tcPr>
          <w:p w14:paraId="27D77DBD" w14:textId="77777777" w:rsidR="00BB78B7" w:rsidRPr="00B92499" w:rsidRDefault="00BB78B7" w:rsidP="00BB78B7">
            <w:pPr>
              <w:rPr>
                <w:rFonts w:ascii="Arial" w:hAnsi="Arial" w:cs="Arial"/>
                <w:color w:val="000000"/>
                <w:sz w:val="20"/>
                <w:szCs w:val="20"/>
              </w:rPr>
            </w:pPr>
            <w:r w:rsidRPr="00B92499">
              <w:rPr>
                <w:rFonts w:ascii="Arial" w:hAnsi="Arial" w:cs="Arial"/>
                <w:color w:val="000000"/>
                <w:sz w:val="20"/>
                <w:szCs w:val="20"/>
              </w:rPr>
              <w:t xml:space="preserve">El catálogo de disposición y guía de archivo documental. </w:t>
            </w:r>
          </w:p>
        </w:tc>
        <w:tc>
          <w:tcPr>
            <w:tcW w:w="823" w:type="dxa"/>
            <w:tcBorders>
              <w:top w:val="nil"/>
              <w:left w:val="nil"/>
              <w:bottom w:val="single" w:sz="4" w:space="0" w:color="auto"/>
              <w:right w:val="single" w:sz="4" w:space="0" w:color="auto"/>
            </w:tcBorders>
            <w:shd w:val="clear" w:color="auto" w:fill="auto"/>
            <w:vAlign w:val="center"/>
            <w:hideMark/>
          </w:tcPr>
          <w:p w14:paraId="10FF8205" w14:textId="77777777" w:rsidR="00BB78B7" w:rsidRPr="00B92499" w:rsidRDefault="00BB78B7" w:rsidP="00BB78B7">
            <w:pPr>
              <w:jc w:val="center"/>
              <w:rPr>
                <w:rFonts w:ascii="Arial" w:hAnsi="Arial" w:cs="Arial"/>
                <w:color w:val="000000"/>
                <w:sz w:val="20"/>
                <w:szCs w:val="20"/>
              </w:rPr>
            </w:pPr>
            <w:r w:rsidRPr="00B92499">
              <w:rPr>
                <w:rFonts w:ascii="Arial" w:hAnsi="Arial" w:cs="Arial"/>
                <w:color w:val="000000"/>
                <w:sz w:val="20"/>
                <w:szCs w:val="20"/>
              </w:rPr>
              <w:t xml:space="preserve">            99.48 </w:t>
            </w:r>
          </w:p>
        </w:tc>
      </w:tr>
      <w:tr w:rsidR="00BB78B7" w:rsidRPr="00B92499" w14:paraId="60E768D4" w14:textId="77777777" w:rsidTr="00BB78B7">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ADCE2CD" w14:textId="77777777" w:rsidR="00BB78B7" w:rsidRPr="00B92499" w:rsidRDefault="00BB78B7" w:rsidP="00BB78B7">
            <w:pPr>
              <w:jc w:val="center"/>
              <w:rPr>
                <w:rFonts w:ascii="Arial" w:hAnsi="Arial" w:cs="Arial"/>
                <w:color w:val="000000"/>
                <w:sz w:val="20"/>
                <w:szCs w:val="20"/>
              </w:rPr>
            </w:pPr>
            <w:r w:rsidRPr="00B92499">
              <w:rPr>
                <w:rFonts w:ascii="Arial" w:hAnsi="Arial" w:cs="Arial"/>
                <w:color w:val="000000"/>
                <w:sz w:val="20"/>
                <w:szCs w:val="20"/>
              </w:rPr>
              <w:t>XXXIV</w:t>
            </w:r>
          </w:p>
        </w:tc>
        <w:tc>
          <w:tcPr>
            <w:tcW w:w="0" w:type="auto"/>
            <w:tcBorders>
              <w:top w:val="nil"/>
              <w:left w:val="nil"/>
              <w:bottom w:val="single" w:sz="4" w:space="0" w:color="auto"/>
              <w:right w:val="single" w:sz="4" w:space="0" w:color="auto"/>
            </w:tcBorders>
            <w:shd w:val="clear" w:color="auto" w:fill="auto"/>
            <w:vAlign w:val="center"/>
            <w:hideMark/>
          </w:tcPr>
          <w:p w14:paraId="36F5B262" w14:textId="77777777" w:rsidR="00BB78B7" w:rsidRPr="00B92499" w:rsidRDefault="00BB78B7" w:rsidP="00BB78B7">
            <w:pPr>
              <w:rPr>
                <w:rFonts w:ascii="Arial" w:hAnsi="Arial" w:cs="Arial"/>
                <w:color w:val="000000"/>
                <w:sz w:val="20"/>
                <w:szCs w:val="20"/>
              </w:rPr>
            </w:pPr>
            <w:r w:rsidRPr="00B92499">
              <w:rPr>
                <w:rFonts w:ascii="Arial" w:hAnsi="Arial" w:cs="Arial"/>
                <w:color w:val="000000"/>
                <w:sz w:val="20"/>
                <w:szCs w:val="20"/>
              </w:rPr>
              <w:t xml:space="preserve">Padrón de proveedores y contratistas. </w:t>
            </w:r>
          </w:p>
        </w:tc>
        <w:tc>
          <w:tcPr>
            <w:tcW w:w="823" w:type="dxa"/>
            <w:tcBorders>
              <w:top w:val="nil"/>
              <w:left w:val="nil"/>
              <w:bottom w:val="single" w:sz="4" w:space="0" w:color="auto"/>
              <w:right w:val="single" w:sz="4" w:space="0" w:color="auto"/>
            </w:tcBorders>
            <w:shd w:val="clear" w:color="auto" w:fill="auto"/>
            <w:vAlign w:val="center"/>
            <w:hideMark/>
          </w:tcPr>
          <w:p w14:paraId="0AC92043" w14:textId="77777777" w:rsidR="00BB78B7" w:rsidRPr="00B92499" w:rsidRDefault="00BB78B7" w:rsidP="00BB78B7">
            <w:pPr>
              <w:jc w:val="center"/>
              <w:rPr>
                <w:rFonts w:ascii="Arial" w:hAnsi="Arial" w:cs="Arial"/>
                <w:color w:val="000000"/>
                <w:sz w:val="20"/>
                <w:szCs w:val="20"/>
              </w:rPr>
            </w:pPr>
            <w:r w:rsidRPr="00B92499">
              <w:rPr>
                <w:rFonts w:ascii="Arial" w:hAnsi="Arial" w:cs="Arial"/>
                <w:color w:val="000000"/>
                <w:sz w:val="20"/>
                <w:szCs w:val="20"/>
              </w:rPr>
              <w:t xml:space="preserve">            99.35 </w:t>
            </w:r>
          </w:p>
        </w:tc>
      </w:tr>
      <w:tr w:rsidR="00BB78B7" w:rsidRPr="00B92499" w14:paraId="5CF2A891" w14:textId="77777777" w:rsidTr="00BB78B7">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8AD7997" w14:textId="77777777" w:rsidR="00BB78B7" w:rsidRPr="00B92499" w:rsidRDefault="00BB78B7" w:rsidP="00BB78B7">
            <w:pPr>
              <w:jc w:val="center"/>
              <w:rPr>
                <w:rFonts w:ascii="Arial" w:hAnsi="Arial" w:cs="Arial"/>
                <w:color w:val="000000"/>
                <w:sz w:val="20"/>
                <w:szCs w:val="20"/>
              </w:rPr>
            </w:pPr>
            <w:r w:rsidRPr="00B92499">
              <w:rPr>
                <w:rFonts w:ascii="Arial" w:hAnsi="Arial" w:cs="Arial"/>
                <w:color w:val="000000"/>
                <w:sz w:val="20"/>
                <w:szCs w:val="20"/>
              </w:rPr>
              <w:t>XXXIII</w:t>
            </w:r>
          </w:p>
        </w:tc>
        <w:tc>
          <w:tcPr>
            <w:tcW w:w="0" w:type="auto"/>
            <w:tcBorders>
              <w:top w:val="nil"/>
              <w:left w:val="nil"/>
              <w:bottom w:val="single" w:sz="4" w:space="0" w:color="auto"/>
              <w:right w:val="single" w:sz="4" w:space="0" w:color="auto"/>
            </w:tcBorders>
            <w:shd w:val="clear" w:color="auto" w:fill="auto"/>
            <w:vAlign w:val="center"/>
            <w:hideMark/>
          </w:tcPr>
          <w:p w14:paraId="221E50E7" w14:textId="77777777" w:rsidR="00BB78B7" w:rsidRPr="00B92499" w:rsidRDefault="00BB78B7" w:rsidP="00BB78B7">
            <w:pPr>
              <w:rPr>
                <w:rFonts w:ascii="Arial" w:hAnsi="Arial" w:cs="Arial"/>
                <w:color w:val="000000"/>
                <w:sz w:val="20"/>
                <w:szCs w:val="20"/>
              </w:rPr>
            </w:pPr>
            <w:r w:rsidRPr="00B92499">
              <w:rPr>
                <w:rFonts w:ascii="Arial" w:hAnsi="Arial" w:cs="Arial"/>
                <w:color w:val="000000"/>
                <w:sz w:val="20"/>
                <w:szCs w:val="20"/>
              </w:rPr>
              <w:t xml:space="preserve">Informe de avances programáticos o presupuestales. </w:t>
            </w:r>
          </w:p>
        </w:tc>
        <w:tc>
          <w:tcPr>
            <w:tcW w:w="823" w:type="dxa"/>
            <w:tcBorders>
              <w:top w:val="nil"/>
              <w:left w:val="nil"/>
              <w:bottom w:val="single" w:sz="4" w:space="0" w:color="auto"/>
              <w:right w:val="single" w:sz="4" w:space="0" w:color="auto"/>
            </w:tcBorders>
            <w:shd w:val="clear" w:color="auto" w:fill="auto"/>
            <w:vAlign w:val="center"/>
            <w:hideMark/>
          </w:tcPr>
          <w:p w14:paraId="0012667E" w14:textId="77777777" w:rsidR="00BB78B7" w:rsidRPr="00B92499" w:rsidRDefault="00BB78B7" w:rsidP="00BB78B7">
            <w:pPr>
              <w:jc w:val="center"/>
              <w:rPr>
                <w:rFonts w:ascii="Arial" w:hAnsi="Arial" w:cs="Arial"/>
                <w:color w:val="000000"/>
                <w:sz w:val="20"/>
                <w:szCs w:val="20"/>
              </w:rPr>
            </w:pPr>
            <w:r w:rsidRPr="00B92499">
              <w:rPr>
                <w:rFonts w:ascii="Arial" w:hAnsi="Arial" w:cs="Arial"/>
                <w:color w:val="000000"/>
                <w:sz w:val="20"/>
                <w:szCs w:val="20"/>
              </w:rPr>
              <w:t xml:space="preserve">            99.28 </w:t>
            </w:r>
          </w:p>
        </w:tc>
      </w:tr>
      <w:tr w:rsidR="00BB78B7" w:rsidRPr="00B92499" w14:paraId="66C5593F" w14:textId="77777777" w:rsidTr="00BB78B7">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439B6BD" w14:textId="77777777" w:rsidR="00BB78B7" w:rsidRPr="00B92499" w:rsidRDefault="00BB78B7" w:rsidP="00BB78B7">
            <w:pPr>
              <w:jc w:val="center"/>
              <w:rPr>
                <w:rFonts w:ascii="Arial" w:hAnsi="Arial" w:cs="Arial"/>
                <w:color w:val="000000"/>
                <w:sz w:val="20"/>
                <w:szCs w:val="20"/>
              </w:rPr>
            </w:pPr>
            <w:r w:rsidRPr="00B92499">
              <w:rPr>
                <w:rFonts w:ascii="Arial" w:hAnsi="Arial" w:cs="Arial"/>
                <w:color w:val="000000"/>
                <w:sz w:val="20"/>
                <w:szCs w:val="20"/>
              </w:rPr>
              <w:lastRenderedPageBreak/>
              <w:t>XV</w:t>
            </w:r>
          </w:p>
        </w:tc>
        <w:tc>
          <w:tcPr>
            <w:tcW w:w="0" w:type="auto"/>
            <w:tcBorders>
              <w:top w:val="nil"/>
              <w:left w:val="nil"/>
              <w:bottom w:val="single" w:sz="4" w:space="0" w:color="auto"/>
              <w:right w:val="single" w:sz="4" w:space="0" w:color="auto"/>
            </w:tcBorders>
            <w:shd w:val="clear" w:color="auto" w:fill="auto"/>
            <w:vAlign w:val="center"/>
            <w:hideMark/>
          </w:tcPr>
          <w:p w14:paraId="15246600" w14:textId="77777777" w:rsidR="00BB78B7" w:rsidRPr="00B92499" w:rsidRDefault="00BB78B7" w:rsidP="00BB78B7">
            <w:pPr>
              <w:rPr>
                <w:rFonts w:ascii="Arial" w:hAnsi="Arial" w:cs="Arial"/>
                <w:color w:val="000000"/>
                <w:sz w:val="20"/>
                <w:szCs w:val="20"/>
              </w:rPr>
            </w:pPr>
            <w:r w:rsidRPr="00B92499">
              <w:rPr>
                <w:rFonts w:ascii="Arial" w:hAnsi="Arial" w:cs="Arial"/>
                <w:color w:val="000000"/>
                <w:sz w:val="20"/>
                <w:szCs w:val="20"/>
              </w:rPr>
              <w:t>Información curricular y perfil de puestos.</w:t>
            </w:r>
          </w:p>
        </w:tc>
        <w:tc>
          <w:tcPr>
            <w:tcW w:w="823" w:type="dxa"/>
            <w:tcBorders>
              <w:top w:val="nil"/>
              <w:left w:val="nil"/>
              <w:bottom w:val="single" w:sz="4" w:space="0" w:color="auto"/>
              <w:right w:val="single" w:sz="4" w:space="0" w:color="auto"/>
            </w:tcBorders>
            <w:shd w:val="clear" w:color="auto" w:fill="auto"/>
            <w:vAlign w:val="center"/>
            <w:hideMark/>
          </w:tcPr>
          <w:p w14:paraId="3069D2B6" w14:textId="77777777" w:rsidR="00BB78B7" w:rsidRPr="00B92499" w:rsidRDefault="00BB78B7" w:rsidP="00BB78B7">
            <w:pPr>
              <w:jc w:val="center"/>
              <w:rPr>
                <w:rFonts w:ascii="Arial" w:hAnsi="Arial" w:cs="Arial"/>
                <w:color w:val="000000"/>
                <w:sz w:val="20"/>
                <w:szCs w:val="20"/>
              </w:rPr>
            </w:pPr>
            <w:r w:rsidRPr="00B92499">
              <w:rPr>
                <w:rFonts w:ascii="Arial" w:hAnsi="Arial" w:cs="Arial"/>
                <w:color w:val="000000"/>
                <w:sz w:val="20"/>
                <w:szCs w:val="20"/>
              </w:rPr>
              <w:t xml:space="preserve">            99.22 </w:t>
            </w:r>
          </w:p>
        </w:tc>
      </w:tr>
      <w:tr w:rsidR="00BB78B7" w:rsidRPr="00B92499" w14:paraId="6025C76E" w14:textId="77777777" w:rsidTr="00BB78B7">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BFDAA84" w14:textId="77777777" w:rsidR="00BB78B7" w:rsidRPr="00B92499" w:rsidRDefault="00BB78B7" w:rsidP="00BB78B7">
            <w:pPr>
              <w:jc w:val="center"/>
              <w:rPr>
                <w:rFonts w:ascii="Arial" w:hAnsi="Arial" w:cs="Arial"/>
                <w:color w:val="000000"/>
                <w:sz w:val="20"/>
                <w:szCs w:val="20"/>
              </w:rPr>
            </w:pPr>
            <w:r w:rsidRPr="00B92499">
              <w:rPr>
                <w:rFonts w:ascii="Arial" w:hAnsi="Arial" w:cs="Arial"/>
                <w:color w:val="000000"/>
                <w:sz w:val="20"/>
                <w:szCs w:val="20"/>
              </w:rPr>
              <w:t>XXIII</w:t>
            </w:r>
          </w:p>
        </w:tc>
        <w:tc>
          <w:tcPr>
            <w:tcW w:w="0" w:type="auto"/>
            <w:tcBorders>
              <w:top w:val="nil"/>
              <w:left w:val="nil"/>
              <w:bottom w:val="single" w:sz="4" w:space="0" w:color="auto"/>
              <w:right w:val="single" w:sz="4" w:space="0" w:color="auto"/>
            </w:tcBorders>
            <w:shd w:val="clear" w:color="auto" w:fill="auto"/>
            <w:vAlign w:val="center"/>
            <w:hideMark/>
          </w:tcPr>
          <w:p w14:paraId="0D83619F" w14:textId="77777777" w:rsidR="00BB78B7" w:rsidRPr="00B92499" w:rsidRDefault="00BB78B7" w:rsidP="00BB78B7">
            <w:pPr>
              <w:rPr>
                <w:rFonts w:ascii="Arial" w:hAnsi="Arial" w:cs="Arial"/>
                <w:color w:val="000000"/>
                <w:sz w:val="20"/>
                <w:szCs w:val="20"/>
              </w:rPr>
            </w:pPr>
            <w:r w:rsidRPr="00B92499">
              <w:rPr>
                <w:rFonts w:ascii="Arial" w:hAnsi="Arial" w:cs="Arial"/>
                <w:color w:val="000000"/>
                <w:sz w:val="20"/>
                <w:szCs w:val="20"/>
              </w:rPr>
              <w:t>Metas y objetivos de la Dirección conforme al POA.</w:t>
            </w:r>
          </w:p>
        </w:tc>
        <w:tc>
          <w:tcPr>
            <w:tcW w:w="823" w:type="dxa"/>
            <w:tcBorders>
              <w:top w:val="nil"/>
              <w:left w:val="nil"/>
              <w:bottom w:val="single" w:sz="4" w:space="0" w:color="auto"/>
              <w:right w:val="single" w:sz="4" w:space="0" w:color="auto"/>
            </w:tcBorders>
            <w:shd w:val="clear" w:color="auto" w:fill="auto"/>
            <w:vAlign w:val="center"/>
            <w:hideMark/>
          </w:tcPr>
          <w:p w14:paraId="0444D82C" w14:textId="77777777" w:rsidR="00BB78B7" w:rsidRPr="00B92499" w:rsidRDefault="00BB78B7" w:rsidP="00BB78B7">
            <w:pPr>
              <w:jc w:val="center"/>
              <w:rPr>
                <w:rFonts w:ascii="Arial" w:hAnsi="Arial" w:cs="Arial"/>
                <w:color w:val="000000"/>
                <w:sz w:val="20"/>
                <w:szCs w:val="20"/>
              </w:rPr>
            </w:pPr>
            <w:r w:rsidRPr="00B92499">
              <w:rPr>
                <w:rFonts w:ascii="Arial" w:hAnsi="Arial" w:cs="Arial"/>
                <w:color w:val="000000"/>
                <w:sz w:val="20"/>
                <w:szCs w:val="20"/>
              </w:rPr>
              <w:t xml:space="preserve">            98.96 </w:t>
            </w:r>
          </w:p>
        </w:tc>
      </w:tr>
      <w:tr w:rsidR="00BB78B7" w:rsidRPr="00B92499" w14:paraId="69D9F297" w14:textId="77777777" w:rsidTr="00BB78B7">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460B0B0" w14:textId="77777777" w:rsidR="00BB78B7" w:rsidRPr="00B92499" w:rsidRDefault="00BB78B7" w:rsidP="00BB78B7">
            <w:pPr>
              <w:jc w:val="center"/>
              <w:rPr>
                <w:rFonts w:ascii="Arial" w:hAnsi="Arial" w:cs="Arial"/>
                <w:color w:val="000000"/>
                <w:sz w:val="20"/>
                <w:szCs w:val="20"/>
              </w:rPr>
            </w:pPr>
            <w:r w:rsidRPr="00B92499">
              <w:rPr>
                <w:rFonts w:ascii="Arial" w:hAnsi="Arial" w:cs="Arial"/>
                <w:color w:val="000000"/>
                <w:sz w:val="20"/>
                <w:szCs w:val="20"/>
              </w:rPr>
              <w:t>XXVIII</w:t>
            </w:r>
          </w:p>
        </w:tc>
        <w:tc>
          <w:tcPr>
            <w:tcW w:w="0" w:type="auto"/>
            <w:tcBorders>
              <w:top w:val="nil"/>
              <w:left w:val="nil"/>
              <w:bottom w:val="single" w:sz="4" w:space="0" w:color="auto"/>
              <w:right w:val="single" w:sz="4" w:space="0" w:color="auto"/>
            </w:tcBorders>
            <w:shd w:val="clear" w:color="auto" w:fill="auto"/>
            <w:vAlign w:val="center"/>
            <w:hideMark/>
          </w:tcPr>
          <w:p w14:paraId="2C670EBB" w14:textId="77777777" w:rsidR="00BB78B7" w:rsidRPr="00B92499" w:rsidRDefault="00BB78B7" w:rsidP="00BB78B7">
            <w:pPr>
              <w:rPr>
                <w:rFonts w:ascii="Arial" w:hAnsi="Arial" w:cs="Arial"/>
                <w:color w:val="000000"/>
                <w:sz w:val="20"/>
                <w:szCs w:val="20"/>
              </w:rPr>
            </w:pPr>
            <w:r w:rsidRPr="00B92499">
              <w:rPr>
                <w:rFonts w:ascii="Arial" w:hAnsi="Arial" w:cs="Arial"/>
                <w:color w:val="000000"/>
                <w:sz w:val="20"/>
                <w:szCs w:val="20"/>
              </w:rPr>
              <w:t xml:space="preserve">Montos, criterios, convocatoria y convocatorias de personas físicas y morales que reciban recursos públicos o realicen actos de autoridad. </w:t>
            </w:r>
          </w:p>
        </w:tc>
        <w:tc>
          <w:tcPr>
            <w:tcW w:w="823" w:type="dxa"/>
            <w:tcBorders>
              <w:top w:val="nil"/>
              <w:left w:val="nil"/>
              <w:bottom w:val="single" w:sz="4" w:space="0" w:color="auto"/>
              <w:right w:val="single" w:sz="4" w:space="0" w:color="auto"/>
            </w:tcBorders>
            <w:shd w:val="clear" w:color="auto" w:fill="auto"/>
            <w:vAlign w:val="center"/>
            <w:hideMark/>
          </w:tcPr>
          <w:p w14:paraId="08ACD7A8" w14:textId="77777777" w:rsidR="00BB78B7" w:rsidRPr="00B92499" w:rsidRDefault="00BB78B7" w:rsidP="00BB78B7">
            <w:pPr>
              <w:jc w:val="center"/>
              <w:rPr>
                <w:rFonts w:ascii="Arial" w:hAnsi="Arial" w:cs="Arial"/>
                <w:color w:val="000000"/>
                <w:sz w:val="20"/>
                <w:szCs w:val="20"/>
              </w:rPr>
            </w:pPr>
            <w:r w:rsidRPr="00B92499">
              <w:rPr>
                <w:rFonts w:ascii="Arial" w:hAnsi="Arial" w:cs="Arial"/>
                <w:color w:val="000000"/>
                <w:sz w:val="20"/>
                <w:szCs w:val="20"/>
              </w:rPr>
              <w:t xml:space="preserve">            98.96 </w:t>
            </w:r>
          </w:p>
        </w:tc>
      </w:tr>
      <w:tr w:rsidR="00BB78B7" w:rsidRPr="00B92499" w14:paraId="0BF7D4EC" w14:textId="77777777" w:rsidTr="00BB78B7">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93C6B49" w14:textId="77777777" w:rsidR="00BB78B7" w:rsidRPr="00B92499" w:rsidRDefault="00BB78B7" w:rsidP="00BB78B7">
            <w:pPr>
              <w:jc w:val="center"/>
              <w:rPr>
                <w:rFonts w:ascii="Arial" w:hAnsi="Arial" w:cs="Arial"/>
                <w:color w:val="000000"/>
                <w:sz w:val="20"/>
                <w:szCs w:val="20"/>
              </w:rPr>
            </w:pPr>
            <w:r w:rsidRPr="00B92499">
              <w:rPr>
                <w:rFonts w:ascii="Arial" w:hAnsi="Arial" w:cs="Arial"/>
                <w:color w:val="000000"/>
                <w:sz w:val="20"/>
                <w:szCs w:val="20"/>
              </w:rPr>
              <w:t>XLVII</w:t>
            </w:r>
          </w:p>
        </w:tc>
        <w:tc>
          <w:tcPr>
            <w:tcW w:w="0" w:type="auto"/>
            <w:tcBorders>
              <w:top w:val="nil"/>
              <w:left w:val="nil"/>
              <w:bottom w:val="single" w:sz="4" w:space="0" w:color="auto"/>
              <w:right w:val="single" w:sz="4" w:space="0" w:color="auto"/>
            </w:tcBorders>
            <w:shd w:val="clear" w:color="auto" w:fill="auto"/>
            <w:vAlign w:val="center"/>
            <w:hideMark/>
          </w:tcPr>
          <w:p w14:paraId="4DECC6F4" w14:textId="77777777" w:rsidR="00BB78B7" w:rsidRPr="00B92499" w:rsidRDefault="00BB78B7" w:rsidP="00BB78B7">
            <w:pPr>
              <w:rPr>
                <w:rFonts w:ascii="Arial" w:hAnsi="Arial" w:cs="Arial"/>
                <w:color w:val="000000"/>
                <w:sz w:val="20"/>
                <w:szCs w:val="20"/>
              </w:rPr>
            </w:pPr>
            <w:r w:rsidRPr="00B92499">
              <w:rPr>
                <w:rFonts w:ascii="Arial" w:hAnsi="Arial" w:cs="Arial"/>
                <w:color w:val="000000"/>
                <w:sz w:val="20"/>
                <w:szCs w:val="20"/>
              </w:rPr>
              <w:t>Los ingresos recibidos por cualquier concepto.</w:t>
            </w:r>
          </w:p>
        </w:tc>
        <w:tc>
          <w:tcPr>
            <w:tcW w:w="823" w:type="dxa"/>
            <w:tcBorders>
              <w:top w:val="nil"/>
              <w:left w:val="nil"/>
              <w:bottom w:val="single" w:sz="4" w:space="0" w:color="auto"/>
              <w:right w:val="single" w:sz="4" w:space="0" w:color="auto"/>
            </w:tcBorders>
            <w:shd w:val="clear" w:color="auto" w:fill="auto"/>
            <w:vAlign w:val="center"/>
            <w:hideMark/>
          </w:tcPr>
          <w:p w14:paraId="0F996D03" w14:textId="77777777" w:rsidR="00BB78B7" w:rsidRPr="00B92499" w:rsidRDefault="00BB78B7" w:rsidP="00BB78B7">
            <w:pPr>
              <w:jc w:val="center"/>
              <w:rPr>
                <w:rFonts w:ascii="Arial" w:hAnsi="Arial" w:cs="Arial"/>
                <w:color w:val="000000"/>
                <w:sz w:val="20"/>
                <w:szCs w:val="20"/>
              </w:rPr>
            </w:pPr>
            <w:r w:rsidRPr="00B92499">
              <w:rPr>
                <w:rFonts w:ascii="Arial" w:hAnsi="Arial" w:cs="Arial"/>
                <w:color w:val="000000"/>
                <w:sz w:val="20"/>
                <w:szCs w:val="20"/>
              </w:rPr>
              <w:t xml:space="preserve">            98.96 </w:t>
            </w:r>
          </w:p>
        </w:tc>
      </w:tr>
      <w:tr w:rsidR="00BB78B7" w:rsidRPr="00B92499" w14:paraId="475ACF3E" w14:textId="77777777" w:rsidTr="00BB78B7">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DB02A7D" w14:textId="77777777" w:rsidR="00BB78B7" w:rsidRPr="00B92499" w:rsidRDefault="00BB78B7" w:rsidP="00BB78B7">
            <w:pPr>
              <w:jc w:val="center"/>
              <w:rPr>
                <w:rFonts w:ascii="Arial" w:hAnsi="Arial" w:cs="Arial"/>
                <w:color w:val="000000"/>
                <w:sz w:val="20"/>
                <w:szCs w:val="20"/>
              </w:rPr>
            </w:pPr>
            <w:r w:rsidRPr="00B92499">
              <w:rPr>
                <w:rFonts w:ascii="Arial" w:hAnsi="Arial" w:cs="Arial"/>
                <w:color w:val="000000"/>
                <w:sz w:val="20"/>
                <w:szCs w:val="20"/>
              </w:rPr>
              <w:t>LIII</w:t>
            </w:r>
          </w:p>
        </w:tc>
        <w:tc>
          <w:tcPr>
            <w:tcW w:w="0" w:type="auto"/>
            <w:tcBorders>
              <w:top w:val="nil"/>
              <w:left w:val="nil"/>
              <w:bottom w:val="single" w:sz="4" w:space="0" w:color="auto"/>
              <w:right w:val="single" w:sz="4" w:space="0" w:color="auto"/>
            </w:tcBorders>
            <w:shd w:val="clear" w:color="auto" w:fill="auto"/>
            <w:vAlign w:val="center"/>
            <w:hideMark/>
          </w:tcPr>
          <w:p w14:paraId="2A5AE590" w14:textId="77777777" w:rsidR="00BB78B7" w:rsidRPr="00B92499" w:rsidRDefault="00BB78B7" w:rsidP="00BB78B7">
            <w:pPr>
              <w:rPr>
                <w:rFonts w:ascii="Arial" w:hAnsi="Arial" w:cs="Arial"/>
                <w:color w:val="000000"/>
                <w:sz w:val="20"/>
                <w:szCs w:val="20"/>
              </w:rPr>
            </w:pPr>
            <w:r w:rsidRPr="00B92499">
              <w:rPr>
                <w:rFonts w:ascii="Arial" w:hAnsi="Arial" w:cs="Arial"/>
                <w:color w:val="000000"/>
                <w:sz w:val="20"/>
                <w:szCs w:val="20"/>
              </w:rPr>
              <w:t xml:space="preserve">La ubicación de todas las obras públicas. </w:t>
            </w:r>
          </w:p>
        </w:tc>
        <w:tc>
          <w:tcPr>
            <w:tcW w:w="823" w:type="dxa"/>
            <w:tcBorders>
              <w:top w:val="nil"/>
              <w:left w:val="nil"/>
              <w:bottom w:val="single" w:sz="4" w:space="0" w:color="auto"/>
              <w:right w:val="single" w:sz="4" w:space="0" w:color="auto"/>
            </w:tcBorders>
            <w:shd w:val="clear" w:color="auto" w:fill="auto"/>
            <w:vAlign w:val="center"/>
            <w:hideMark/>
          </w:tcPr>
          <w:p w14:paraId="7C258B38" w14:textId="77777777" w:rsidR="00BB78B7" w:rsidRPr="00B92499" w:rsidRDefault="00BB78B7" w:rsidP="00BB78B7">
            <w:pPr>
              <w:jc w:val="center"/>
              <w:rPr>
                <w:rFonts w:ascii="Arial" w:hAnsi="Arial" w:cs="Arial"/>
                <w:color w:val="000000"/>
                <w:sz w:val="20"/>
                <w:szCs w:val="20"/>
              </w:rPr>
            </w:pPr>
            <w:r w:rsidRPr="00B92499">
              <w:rPr>
                <w:rFonts w:ascii="Arial" w:hAnsi="Arial" w:cs="Arial"/>
                <w:color w:val="000000"/>
                <w:sz w:val="20"/>
                <w:szCs w:val="20"/>
              </w:rPr>
              <w:t xml:space="preserve">            98.96 </w:t>
            </w:r>
          </w:p>
        </w:tc>
      </w:tr>
      <w:tr w:rsidR="00BB78B7" w:rsidRPr="00B92499" w14:paraId="46518200" w14:textId="77777777" w:rsidTr="00BB78B7">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1CD4695" w14:textId="77777777" w:rsidR="00BB78B7" w:rsidRPr="00B92499" w:rsidRDefault="00BB78B7" w:rsidP="00BB78B7">
            <w:pPr>
              <w:jc w:val="center"/>
              <w:rPr>
                <w:rFonts w:ascii="Arial" w:hAnsi="Arial" w:cs="Arial"/>
                <w:color w:val="000000"/>
                <w:sz w:val="20"/>
                <w:szCs w:val="20"/>
              </w:rPr>
            </w:pPr>
            <w:r w:rsidRPr="00B92499">
              <w:rPr>
                <w:rFonts w:ascii="Arial" w:hAnsi="Arial" w:cs="Arial"/>
                <w:color w:val="000000"/>
                <w:sz w:val="20"/>
                <w:szCs w:val="20"/>
              </w:rPr>
              <w:t>XXVI</w:t>
            </w:r>
          </w:p>
        </w:tc>
        <w:tc>
          <w:tcPr>
            <w:tcW w:w="0" w:type="auto"/>
            <w:tcBorders>
              <w:top w:val="nil"/>
              <w:left w:val="nil"/>
              <w:bottom w:val="single" w:sz="4" w:space="0" w:color="auto"/>
              <w:right w:val="single" w:sz="4" w:space="0" w:color="auto"/>
            </w:tcBorders>
            <w:shd w:val="clear" w:color="auto" w:fill="auto"/>
            <w:vAlign w:val="center"/>
            <w:hideMark/>
          </w:tcPr>
          <w:p w14:paraId="3B19796D" w14:textId="6D4B14E5" w:rsidR="00BB78B7" w:rsidRPr="00B92499" w:rsidRDefault="00BB78B7" w:rsidP="00BB78B7">
            <w:pPr>
              <w:rPr>
                <w:rFonts w:ascii="Arial" w:hAnsi="Arial" w:cs="Arial"/>
                <w:color w:val="000000"/>
                <w:sz w:val="20"/>
                <w:szCs w:val="20"/>
              </w:rPr>
            </w:pPr>
            <w:r w:rsidRPr="00B92499">
              <w:rPr>
                <w:rFonts w:ascii="Arial" w:hAnsi="Arial" w:cs="Arial"/>
                <w:color w:val="000000"/>
                <w:sz w:val="20"/>
                <w:szCs w:val="20"/>
              </w:rPr>
              <w:t xml:space="preserve">Informes de resultados de </w:t>
            </w:r>
            <w:r w:rsidR="00C7683E" w:rsidRPr="00B92499">
              <w:rPr>
                <w:rFonts w:ascii="Arial" w:hAnsi="Arial" w:cs="Arial"/>
                <w:color w:val="000000"/>
                <w:sz w:val="20"/>
                <w:szCs w:val="20"/>
              </w:rPr>
              <w:t>auditorías</w:t>
            </w:r>
            <w:r w:rsidRPr="00B92499">
              <w:rPr>
                <w:rFonts w:ascii="Arial" w:hAnsi="Arial" w:cs="Arial"/>
                <w:color w:val="000000"/>
                <w:sz w:val="20"/>
                <w:szCs w:val="20"/>
              </w:rPr>
              <w:t>.</w:t>
            </w:r>
          </w:p>
        </w:tc>
        <w:tc>
          <w:tcPr>
            <w:tcW w:w="823" w:type="dxa"/>
            <w:tcBorders>
              <w:top w:val="nil"/>
              <w:left w:val="nil"/>
              <w:bottom w:val="single" w:sz="4" w:space="0" w:color="auto"/>
              <w:right w:val="single" w:sz="4" w:space="0" w:color="auto"/>
            </w:tcBorders>
            <w:shd w:val="clear" w:color="auto" w:fill="auto"/>
            <w:vAlign w:val="center"/>
            <w:hideMark/>
          </w:tcPr>
          <w:p w14:paraId="5B542663" w14:textId="77777777" w:rsidR="00BB78B7" w:rsidRPr="00B92499" w:rsidRDefault="00BB78B7" w:rsidP="00BB78B7">
            <w:pPr>
              <w:jc w:val="center"/>
              <w:rPr>
                <w:rFonts w:ascii="Arial" w:hAnsi="Arial" w:cs="Arial"/>
                <w:color w:val="000000"/>
                <w:sz w:val="20"/>
                <w:szCs w:val="20"/>
              </w:rPr>
            </w:pPr>
            <w:r w:rsidRPr="00B92499">
              <w:rPr>
                <w:rFonts w:ascii="Arial" w:hAnsi="Arial" w:cs="Arial"/>
                <w:color w:val="000000"/>
                <w:sz w:val="20"/>
                <w:szCs w:val="20"/>
              </w:rPr>
              <w:t xml:space="preserve">            98.70 </w:t>
            </w:r>
          </w:p>
        </w:tc>
      </w:tr>
      <w:tr w:rsidR="00BB78B7" w:rsidRPr="00B92499" w14:paraId="3669028B" w14:textId="77777777" w:rsidTr="00BB78B7">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FF51244" w14:textId="77777777" w:rsidR="00BB78B7" w:rsidRPr="00B92499" w:rsidRDefault="00BB78B7" w:rsidP="00BB78B7">
            <w:pPr>
              <w:jc w:val="center"/>
              <w:rPr>
                <w:rFonts w:ascii="Arial" w:hAnsi="Arial" w:cs="Arial"/>
                <w:color w:val="000000"/>
                <w:sz w:val="20"/>
                <w:szCs w:val="20"/>
              </w:rPr>
            </w:pPr>
            <w:r w:rsidRPr="00B92499">
              <w:rPr>
                <w:rFonts w:ascii="Arial" w:hAnsi="Arial" w:cs="Arial"/>
                <w:color w:val="000000"/>
                <w:sz w:val="20"/>
                <w:szCs w:val="20"/>
              </w:rPr>
              <w:t>XXI</w:t>
            </w:r>
          </w:p>
        </w:tc>
        <w:tc>
          <w:tcPr>
            <w:tcW w:w="0" w:type="auto"/>
            <w:tcBorders>
              <w:top w:val="nil"/>
              <w:left w:val="nil"/>
              <w:bottom w:val="single" w:sz="4" w:space="0" w:color="auto"/>
              <w:right w:val="single" w:sz="4" w:space="0" w:color="auto"/>
            </w:tcBorders>
            <w:shd w:val="clear" w:color="auto" w:fill="auto"/>
            <w:vAlign w:val="center"/>
            <w:hideMark/>
          </w:tcPr>
          <w:p w14:paraId="37CA937E" w14:textId="77777777" w:rsidR="00BB78B7" w:rsidRPr="00B92499" w:rsidRDefault="00BB78B7" w:rsidP="00BB78B7">
            <w:pPr>
              <w:rPr>
                <w:rFonts w:ascii="Arial" w:hAnsi="Arial" w:cs="Arial"/>
                <w:color w:val="000000"/>
                <w:sz w:val="20"/>
                <w:szCs w:val="20"/>
              </w:rPr>
            </w:pPr>
            <w:r w:rsidRPr="00B92499">
              <w:rPr>
                <w:rFonts w:ascii="Arial" w:hAnsi="Arial" w:cs="Arial"/>
                <w:color w:val="000000"/>
                <w:sz w:val="20"/>
                <w:szCs w:val="20"/>
              </w:rPr>
              <w:t>La información financiera sobre el presupuesto asignado.</w:t>
            </w:r>
          </w:p>
        </w:tc>
        <w:tc>
          <w:tcPr>
            <w:tcW w:w="823" w:type="dxa"/>
            <w:tcBorders>
              <w:top w:val="nil"/>
              <w:left w:val="nil"/>
              <w:bottom w:val="single" w:sz="4" w:space="0" w:color="auto"/>
              <w:right w:val="single" w:sz="4" w:space="0" w:color="auto"/>
            </w:tcBorders>
            <w:shd w:val="clear" w:color="auto" w:fill="auto"/>
            <w:vAlign w:val="center"/>
            <w:hideMark/>
          </w:tcPr>
          <w:p w14:paraId="71892BFA" w14:textId="77777777" w:rsidR="00BB78B7" w:rsidRPr="00B92499" w:rsidRDefault="00BB78B7" w:rsidP="00BB78B7">
            <w:pPr>
              <w:jc w:val="center"/>
              <w:rPr>
                <w:rFonts w:ascii="Arial" w:hAnsi="Arial" w:cs="Arial"/>
                <w:color w:val="000000"/>
                <w:sz w:val="20"/>
                <w:szCs w:val="20"/>
              </w:rPr>
            </w:pPr>
            <w:r w:rsidRPr="00B92499">
              <w:rPr>
                <w:rFonts w:ascii="Arial" w:hAnsi="Arial" w:cs="Arial"/>
                <w:color w:val="000000"/>
                <w:sz w:val="20"/>
                <w:szCs w:val="20"/>
              </w:rPr>
              <w:t xml:space="preserve">            98.61 </w:t>
            </w:r>
          </w:p>
        </w:tc>
      </w:tr>
      <w:tr w:rsidR="00BB78B7" w:rsidRPr="00B92499" w14:paraId="6FB30799" w14:textId="77777777" w:rsidTr="00BB78B7">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593578C" w14:textId="77777777" w:rsidR="00BB78B7" w:rsidRPr="00B92499" w:rsidRDefault="00BB78B7" w:rsidP="00BB78B7">
            <w:pPr>
              <w:jc w:val="center"/>
              <w:rPr>
                <w:rFonts w:ascii="Arial" w:hAnsi="Arial" w:cs="Arial"/>
                <w:color w:val="000000"/>
                <w:sz w:val="20"/>
                <w:szCs w:val="20"/>
              </w:rPr>
            </w:pPr>
            <w:r w:rsidRPr="00B92499">
              <w:rPr>
                <w:rFonts w:ascii="Arial" w:hAnsi="Arial" w:cs="Arial"/>
                <w:color w:val="000000"/>
                <w:sz w:val="20"/>
                <w:szCs w:val="20"/>
              </w:rPr>
              <w:t>XXX</w:t>
            </w:r>
          </w:p>
        </w:tc>
        <w:tc>
          <w:tcPr>
            <w:tcW w:w="0" w:type="auto"/>
            <w:tcBorders>
              <w:top w:val="nil"/>
              <w:left w:val="nil"/>
              <w:bottom w:val="single" w:sz="4" w:space="0" w:color="auto"/>
              <w:right w:val="single" w:sz="4" w:space="0" w:color="auto"/>
            </w:tcBorders>
            <w:shd w:val="clear" w:color="auto" w:fill="auto"/>
            <w:vAlign w:val="center"/>
            <w:hideMark/>
          </w:tcPr>
          <w:p w14:paraId="309299E2" w14:textId="77777777" w:rsidR="00BB78B7" w:rsidRPr="00B92499" w:rsidRDefault="00BB78B7" w:rsidP="00BB78B7">
            <w:pPr>
              <w:rPr>
                <w:rFonts w:ascii="Arial" w:hAnsi="Arial" w:cs="Arial"/>
                <w:color w:val="000000"/>
                <w:sz w:val="20"/>
                <w:szCs w:val="20"/>
              </w:rPr>
            </w:pPr>
            <w:r w:rsidRPr="00B92499">
              <w:rPr>
                <w:rFonts w:ascii="Arial" w:hAnsi="Arial" w:cs="Arial"/>
                <w:color w:val="000000"/>
                <w:sz w:val="20"/>
                <w:szCs w:val="20"/>
              </w:rPr>
              <w:t xml:space="preserve">Resultados de procedimiento de adjudicación directa, invitación restringida y licitación. </w:t>
            </w:r>
          </w:p>
        </w:tc>
        <w:tc>
          <w:tcPr>
            <w:tcW w:w="823" w:type="dxa"/>
            <w:tcBorders>
              <w:top w:val="nil"/>
              <w:left w:val="nil"/>
              <w:bottom w:val="single" w:sz="4" w:space="0" w:color="auto"/>
              <w:right w:val="single" w:sz="4" w:space="0" w:color="auto"/>
            </w:tcBorders>
            <w:shd w:val="clear" w:color="auto" w:fill="auto"/>
            <w:vAlign w:val="center"/>
            <w:hideMark/>
          </w:tcPr>
          <w:p w14:paraId="03264F0B" w14:textId="77777777" w:rsidR="00BB78B7" w:rsidRPr="00B92499" w:rsidRDefault="00BB78B7" w:rsidP="00BB78B7">
            <w:pPr>
              <w:jc w:val="center"/>
              <w:rPr>
                <w:rFonts w:ascii="Arial" w:hAnsi="Arial" w:cs="Arial"/>
                <w:color w:val="000000"/>
                <w:sz w:val="20"/>
                <w:szCs w:val="20"/>
              </w:rPr>
            </w:pPr>
            <w:r w:rsidRPr="00B92499">
              <w:rPr>
                <w:rFonts w:ascii="Arial" w:hAnsi="Arial" w:cs="Arial"/>
                <w:color w:val="000000"/>
                <w:sz w:val="20"/>
                <w:szCs w:val="20"/>
              </w:rPr>
              <w:t xml:space="preserve">            98.34 </w:t>
            </w:r>
          </w:p>
        </w:tc>
      </w:tr>
      <w:tr w:rsidR="00BB78B7" w:rsidRPr="00B92499" w14:paraId="0EC079EF" w14:textId="77777777" w:rsidTr="00BB78B7">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237780A" w14:textId="77777777" w:rsidR="00BB78B7" w:rsidRPr="00B92499" w:rsidRDefault="00BB78B7" w:rsidP="00BB78B7">
            <w:pPr>
              <w:jc w:val="center"/>
              <w:rPr>
                <w:rFonts w:ascii="Arial" w:hAnsi="Arial" w:cs="Arial"/>
                <w:color w:val="000000"/>
                <w:sz w:val="20"/>
                <w:szCs w:val="20"/>
              </w:rPr>
            </w:pPr>
            <w:r w:rsidRPr="00B92499">
              <w:rPr>
                <w:rFonts w:ascii="Arial" w:hAnsi="Arial" w:cs="Arial"/>
                <w:color w:val="000000"/>
                <w:sz w:val="20"/>
                <w:szCs w:val="20"/>
              </w:rPr>
              <w:t>XLI</w:t>
            </w:r>
          </w:p>
        </w:tc>
        <w:tc>
          <w:tcPr>
            <w:tcW w:w="0" w:type="auto"/>
            <w:tcBorders>
              <w:top w:val="nil"/>
              <w:left w:val="nil"/>
              <w:bottom w:val="single" w:sz="4" w:space="0" w:color="auto"/>
              <w:right w:val="single" w:sz="4" w:space="0" w:color="auto"/>
            </w:tcBorders>
            <w:shd w:val="clear" w:color="auto" w:fill="auto"/>
            <w:vAlign w:val="center"/>
            <w:hideMark/>
          </w:tcPr>
          <w:p w14:paraId="6504E0FC" w14:textId="543A0322" w:rsidR="00BB78B7" w:rsidRPr="00B92499" w:rsidRDefault="00BB78B7" w:rsidP="00BB78B7">
            <w:pPr>
              <w:rPr>
                <w:rFonts w:ascii="Arial" w:hAnsi="Arial" w:cs="Arial"/>
                <w:color w:val="000000"/>
                <w:sz w:val="20"/>
                <w:szCs w:val="20"/>
              </w:rPr>
            </w:pPr>
            <w:r w:rsidRPr="00B92499">
              <w:rPr>
                <w:rFonts w:ascii="Arial" w:hAnsi="Arial" w:cs="Arial"/>
                <w:color w:val="000000"/>
                <w:sz w:val="20"/>
                <w:szCs w:val="20"/>
              </w:rPr>
              <w:t xml:space="preserve">Programas que ofrece el </w:t>
            </w:r>
            <w:r w:rsidR="008710F6" w:rsidRPr="00B92499">
              <w:rPr>
                <w:rFonts w:ascii="Arial" w:hAnsi="Arial" w:cs="Arial"/>
                <w:color w:val="000000"/>
                <w:sz w:val="20"/>
                <w:szCs w:val="20"/>
              </w:rPr>
              <w:t>sujeto obligado</w:t>
            </w:r>
            <w:r w:rsidRPr="00B92499">
              <w:rPr>
                <w:rFonts w:ascii="Arial" w:hAnsi="Arial" w:cs="Arial"/>
                <w:color w:val="000000"/>
                <w:sz w:val="20"/>
                <w:szCs w:val="20"/>
              </w:rPr>
              <w:t>, así como trámites, requisitos y formatos.</w:t>
            </w:r>
          </w:p>
        </w:tc>
        <w:tc>
          <w:tcPr>
            <w:tcW w:w="823" w:type="dxa"/>
            <w:tcBorders>
              <w:top w:val="nil"/>
              <w:left w:val="nil"/>
              <w:bottom w:val="single" w:sz="4" w:space="0" w:color="auto"/>
              <w:right w:val="single" w:sz="4" w:space="0" w:color="auto"/>
            </w:tcBorders>
            <w:shd w:val="clear" w:color="auto" w:fill="auto"/>
            <w:vAlign w:val="center"/>
            <w:hideMark/>
          </w:tcPr>
          <w:p w14:paraId="07381D16" w14:textId="77777777" w:rsidR="00BB78B7" w:rsidRPr="00B92499" w:rsidRDefault="00BB78B7" w:rsidP="00BB78B7">
            <w:pPr>
              <w:jc w:val="center"/>
              <w:rPr>
                <w:rFonts w:ascii="Arial" w:hAnsi="Arial" w:cs="Arial"/>
                <w:color w:val="000000"/>
                <w:sz w:val="20"/>
                <w:szCs w:val="20"/>
              </w:rPr>
            </w:pPr>
            <w:r w:rsidRPr="00B92499">
              <w:rPr>
                <w:rFonts w:ascii="Arial" w:hAnsi="Arial" w:cs="Arial"/>
                <w:color w:val="000000"/>
                <w:sz w:val="20"/>
                <w:szCs w:val="20"/>
              </w:rPr>
              <w:t xml:space="preserve">            98.18 </w:t>
            </w:r>
          </w:p>
        </w:tc>
      </w:tr>
      <w:tr w:rsidR="00BB78B7" w:rsidRPr="00B92499" w14:paraId="2788CB15" w14:textId="77777777" w:rsidTr="00BB78B7">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9128E5C" w14:textId="77777777" w:rsidR="00BB78B7" w:rsidRPr="00B92499" w:rsidRDefault="00BB78B7" w:rsidP="00BB78B7">
            <w:pPr>
              <w:jc w:val="center"/>
              <w:rPr>
                <w:rFonts w:ascii="Arial" w:hAnsi="Arial" w:cs="Arial"/>
                <w:color w:val="000000"/>
                <w:sz w:val="20"/>
                <w:szCs w:val="20"/>
              </w:rPr>
            </w:pPr>
            <w:r w:rsidRPr="00B92499">
              <w:rPr>
                <w:rFonts w:ascii="Arial" w:hAnsi="Arial" w:cs="Arial"/>
                <w:color w:val="000000"/>
                <w:sz w:val="20"/>
                <w:szCs w:val="20"/>
              </w:rPr>
              <w:t>XL</w:t>
            </w:r>
          </w:p>
        </w:tc>
        <w:tc>
          <w:tcPr>
            <w:tcW w:w="0" w:type="auto"/>
            <w:tcBorders>
              <w:top w:val="nil"/>
              <w:left w:val="nil"/>
              <w:bottom w:val="single" w:sz="4" w:space="0" w:color="auto"/>
              <w:right w:val="single" w:sz="4" w:space="0" w:color="auto"/>
            </w:tcBorders>
            <w:shd w:val="clear" w:color="auto" w:fill="auto"/>
            <w:vAlign w:val="center"/>
            <w:hideMark/>
          </w:tcPr>
          <w:p w14:paraId="27EC0C4E" w14:textId="77777777" w:rsidR="00BB78B7" w:rsidRPr="00B92499" w:rsidRDefault="00BB78B7" w:rsidP="00BB78B7">
            <w:pPr>
              <w:rPr>
                <w:rFonts w:ascii="Arial" w:hAnsi="Arial" w:cs="Arial"/>
                <w:color w:val="000000"/>
                <w:sz w:val="20"/>
                <w:szCs w:val="20"/>
              </w:rPr>
            </w:pPr>
            <w:r w:rsidRPr="00B92499">
              <w:rPr>
                <w:rFonts w:ascii="Arial" w:hAnsi="Arial" w:cs="Arial"/>
                <w:color w:val="000000"/>
                <w:sz w:val="20"/>
                <w:szCs w:val="20"/>
              </w:rPr>
              <w:t>Mecanismos de participación ciudadana.</w:t>
            </w:r>
          </w:p>
        </w:tc>
        <w:tc>
          <w:tcPr>
            <w:tcW w:w="823" w:type="dxa"/>
            <w:tcBorders>
              <w:top w:val="nil"/>
              <w:left w:val="nil"/>
              <w:bottom w:val="single" w:sz="4" w:space="0" w:color="auto"/>
              <w:right w:val="single" w:sz="4" w:space="0" w:color="auto"/>
            </w:tcBorders>
            <w:shd w:val="clear" w:color="auto" w:fill="auto"/>
            <w:vAlign w:val="center"/>
            <w:hideMark/>
          </w:tcPr>
          <w:p w14:paraId="25A0DE9C" w14:textId="77777777" w:rsidR="00BB78B7" w:rsidRPr="00B92499" w:rsidRDefault="00BB78B7" w:rsidP="00BB78B7">
            <w:pPr>
              <w:jc w:val="center"/>
              <w:rPr>
                <w:rFonts w:ascii="Arial" w:hAnsi="Arial" w:cs="Arial"/>
                <w:color w:val="000000"/>
                <w:sz w:val="20"/>
                <w:szCs w:val="20"/>
              </w:rPr>
            </w:pPr>
            <w:r w:rsidRPr="00B92499">
              <w:rPr>
                <w:rFonts w:ascii="Arial" w:hAnsi="Arial" w:cs="Arial"/>
                <w:color w:val="000000"/>
                <w:sz w:val="20"/>
                <w:szCs w:val="20"/>
              </w:rPr>
              <w:t xml:space="preserve">            98.18 </w:t>
            </w:r>
          </w:p>
        </w:tc>
      </w:tr>
      <w:tr w:rsidR="00BB78B7" w:rsidRPr="00B92499" w14:paraId="2B97B31E" w14:textId="77777777" w:rsidTr="00BB78B7">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5E3B840" w14:textId="77777777" w:rsidR="00BB78B7" w:rsidRPr="00B92499" w:rsidRDefault="00BB78B7" w:rsidP="00BB78B7">
            <w:pPr>
              <w:jc w:val="center"/>
              <w:rPr>
                <w:rFonts w:ascii="Arial" w:hAnsi="Arial" w:cs="Arial"/>
                <w:color w:val="000000"/>
                <w:sz w:val="20"/>
                <w:szCs w:val="20"/>
              </w:rPr>
            </w:pPr>
            <w:r w:rsidRPr="00B92499">
              <w:rPr>
                <w:rFonts w:ascii="Arial" w:hAnsi="Arial" w:cs="Arial"/>
                <w:color w:val="000000"/>
                <w:sz w:val="20"/>
                <w:szCs w:val="20"/>
              </w:rPr>
              <w:t>XLIV</w:t>
            </w:r>
          </w:p>
        </w:tc>
        <w:tc>
          <w:tcPr>
            <w:tcW w:w="0" w:type="auto"/>
            <w:tcBorders>
              <w:top w:val="nil"/>
              <w:left w:val="nil"/>
              <w:bottom w:val="single" w:sz="4" w:space="0" w:color="auto"/>
              <w:right w:val="single" w:sz="4" w:space="0" w:color="auto"/>
            </w:tcBorders>
            <w:shd w:val="clear" w:color="auto" w:fill="auto"/>
            <w:vAlign w:val="center"/>
            <w:hideMark/>
          </w:tcPr>
          <w:p w14:paraId="4C203E00" w14:textId="77777777" w:rsidR="00BB78B7" w:rsidRPr="00B92499" w:rsidRDefault="00BB78B7" w:rsidP="00BB78B7">
            <w:pPr>
              <w:rPr>
                <w:rFonts w:ascii="Arial" w:hAnsi="Arial" w:cs="Arial"/>
                <w:color w:val="000000"/>
                <w:sz w:val="20"/>
                <w:szCs w:val="20"/>
              </w:rPr>
            </w:pPr>
            <w:r w:rsidRPr="00B92499">
              <w:rPr>
                <w:rFonts w:ascii="Arial" w:hAnsi="Arial" w:cs="Arial"/>
                <w:color w:val="000000"/>
                <w:sz w:val="20"/>
                <w:szCs w:val="20"/>
              </w:rPr>
              <w:t xml:space="preserve">Evaluaciones y encuestas a programas financiados con recursos públicos. </w:t>
            </w:r>
          </w:p>
        </w:tc>
        <w:tc>
          <w:tcPr>
            <w:tcW w:w="823" w:type="dxa"/>
            <w:tcBorders>
              <w:top w:val="nil"/>
              <w:left w:val="nil"/>
              <w:bottom w:val="single" w:sz="4" w:space="0" w:color="auto"/>
              <w:right w:val="single" w:sz="4" w:space="0" w:color="auto"/>
            </w:tcBorders>
            <w:shd w:val="clear" w:color="auto" w:fill="auto"/>
            <w:vAlign w:val="center"/>
            <w:hideMark/>
          </w:tcPr>
          <w:p w14:paraId="0BF75C2C" w14:textId="77777777" w:rsidR="00BB78B7" w:rsidRPr="00B92499" w:rsidRDefault="00BB78B7" w:rsidP="00BB78B7">
            <w:pPr>
              <w:jc w:val="center"/>
              <w:rPr>
                <w:rFonts w:ascii="Arial" w:hAnsi="Arial" w:cs="Arial"/>
                <w:color w:val="000000"/>
                <w:sz w:val="20"/>
                <w:szCs w:val="20"/>
              </w:rPr>
            </w:pPr>
            <w:r w:rsidRPr="00B92499">
              <w:rPr>
                <w:rFonts w:ascii="Arial" w:hAnsi="Arial" w:cs="Arial"/>
                <w:color w:val="000000"/>
                <w:sz w:val="20"/>
                <w:szCs w:val="20"/>
              </w:rPr>
              <w:t xml:space="preserve">            97.92 </w:t>
            </w:r>
          </w:p>
        </w:tc>
      </w:tr>
      <w:tr w:rsidR="00BB78B7" w:rsidRPr="00B92499" w14:paraId="7B53A480" w14:textId="77777777" w:rsidTr="00BB78B7">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5BF4309" w14:textId="77777777" w:rsidR="00BB78B7" w:rsidRPr="00B92499" w:rsidRDefault="00BB78B7" w:rsidP="00BB78B7">
            <w:pPr>
              <w:jc w:val="center"/>
              <w:rPr>
                <w:rFonts w:ascii="Arial" w:hAnsi="Arial" w:cs="Arial"/>
                <w:color w:val="000000"/>
                <w:sz w:val="20"/>
                <w:szCs w:val="20"/>
              </w:rPr>
            </w:pPr>
            <w:r w:rsidRPr="00B92499">
              <w:rPr>
                <w:rFonts w:ascii="Arial" w:hAnsi="Arial" w:cs="Arial"/>
                <w:color w:val="000000"/>
                <w:sz w:val="20"/>
                <w:szCs w:val="20"/>
              </w:rPr>
              <w:t>XXIV</w:t>
            </w:r>
          </w:p>
        </w:tc>
        <w:tc>
          <w:tcPr>
            <w:tcW w:w="0" w:type="auto"/>
            <w:tcBorders>
              <w:top w:val="nil"/>
              <w:left w:val="nil"/>
              <w:bottom w:val="single" w:sz="4" w:space="0" w:color="auto"/>
              <w:right w:val="single" w:sz="4" w:space="0" w:color="auto"/>
            </w:tcBorders>
            <w:shd w:val="clear" w:color="auto" w:fill="auto"/>
            <w:vAlign w:val="center"/>
            <w:hideMark/>
          </w:tcPr>
          <w:p w14:paraId="457BB8DD" w14:textId="77777777" w:rsidR="00BB78B7" w:rsidRPr="00B92499" w:rsidRDefault="00BB78B7" w:rsidP="00BB78B7">
            <w:pPr>
              <w:rPr>
                <w:rFonts w:ascii="Arial" w:hAnsi="Arial" w:cs="Arial"/>
                <w:color w:val="000000"/>
                <w:sz w:val="20"/>
                <w:szCs w:val="20"/>
              </w:rPr>
            </w:pPr>
            <w:r w:rsidRPr="00B92499">
              <w:rPr>
                <w:rFonts w:ascii="Arial" w:hAnsi="Arial" w:cs="Arial"/>
                <w:color w:val="000000"/>
                <w:sz w:val="20"/>
                <w:szCs w:val="20"/>
              </w:rPr>
              <w:t>Información relativa a la cuenta y deuda públicas.</w:t>
            </w:r>
          </w:p>
        </w:tc>
        <w:tc>
          <w:tcPr>
            <w:tcW w:w="823" w:type="dxa"/>
            <w:tcBorders>
              <w:top w:val="nil"/>
              <w:left w:val="nil"/>
              <w:bottom w:val="single" w:sz="4" w:space="0" w:color="auto"/>
              <w:right w:val="single" w:sz="4" w:space="0" w:color="auto"/>
            </w:tcBorders>
            <w:shd w:val="clear" w:color="auto" w:fill="auto"/>
            <w:vAlign w:val="center"/>
            <w:hideMark/>
          </w:tcPr>
          <w:p w14:paraId="366FD538" w14:textId="77777777" w:rsidR="00BB78B7" w:rsidRPr="00B92499" w:rsidRDefault="00BB78B7" w:rsidP="00BB78B7">
            <w:pPr>
              <w:jc w:val="center"/>
              <w:rPr>
                <w:rFonts w:ascii="Arial" w:hAnsi="Arial" w:cs="Arial"/>
                <w:color w:val="000000"/>
                <w:sz w:val="20"/>
                <w:szCs w:val="20"/>
              </w:rPr>
            </w:pPr>
            <w:r w:rsidRPr="00B92499">
              <w:rPr>
                <w:rFonts w:ascii="Arial" w:hAnsi="Arial" w:cs="Arial"/>
                <w:color w:val="000000"/>
                <w:sz w:val="20"/>
                <w:szCs w:val="20"/>
              </w:rPr>
              <w:t xml:space="preserve">            97.66 </w:t>
            </w:r>
          </w:p>
        </w:tc>
      </w:tr>
      <w:tr w:rsidR="00BB78B7" w:rsidRPr="00B92499" w14:paraId="1EE75229" w14:textId="77777777" w:rsidTr="00BB78B7">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2DAB690" w14:textId="77777777" w:rsidR="00BB78B7" w:rsidRPr="00B92499" w:rsidRDefault="00BB78B7" w:rsidP="00BB78B7">
            <w:pPr>
              <w:jc w:val="center"/>
              <w:rPr>
                <w:rFonts w:ascii="Arial" w:hAnsi="Arial" w:cs="Arial"/>
                <w:color w:val="000000"/>
                <w:sz w:val="20"/>
                <w:szCs w:val="20"/>
              </w:rPr>
            </w:pPr>
            <w:r w:rsidRPr="00B92499">
              <w:rPr>
                <w:rFonts w:ascii="Arial" w:hAnsi="Arial" w:cs="Arial"/>
                <w:color w:val="000000"/>
                <w:sz w:val="20"/>
                <w:szCs w:val="20"/>
              </w:rPr>
              <w:t>XXXVIII</w:t>
            </w:r>
          </w:p>
        </w:tc>
        <w:tc>
          <w:tcPr>
            <w:tcW w:w="0" w:type="auto"/>
            <w:tcBorders>
              <w:top w:val="nil"/>
              <w:left w:val="nil"/>
              <w:bottom w:val="single" w:sz="4" w:space="0" w:color="auto"/>
              <w:right w:val="single" w:sz="4" w:space="0" w:color="auto"/>
            </w:tcBorders>
            <w:shd w:val="clear" w:color="auto" w:fill="auto"/>
            <w:vAlign w:val="center"/>
            <w:hideMark/>
          </w:tcPr>
          <w:p w14:paraId="2B9A9A17" w14:textId="4F39B819" w:rsidR="00BB78B7" w:rsidRPr="00B92499" w:rsidRDefault="00BB78B7" w:rsidP="00BB78B7">
            <w:pPr>
              <w:rPr>
                <w:rFonts w:ascii="Arial" w:hAnsi="Arial" w:cs="Arial"/>
                <w:color w:val="000000"/>
                <w:sz w:val="20"/>
                <w:szCs w:val="20"/>
              </w:rPr>
            </w:pPr>
            <w:r w:rsidRPr="00B92499">
              <w:rPr>
                <w:rFonts w:ascii="Arial" w:hAnsi="Arial" w:cs="Arial"/>
                <w:color w:val="000000"/>
                <w:sz w:val="20"/>
                <w:szCs w:val="20"/>
              </w:rPr>
              <w:t xml:space="preserve">Relación del número de recomendaciones emitidas por el Instituto al </w:t>
            </w:r>
            <w:r w:rsidR="008710F6" w:rsidRPr="00B92499">
              <w:rPr>
                <w:rFonts w:ascii="Arial" w:hAnsi="Arial" w:cs="Arial"/>
                <w:color w:val="000000"/>
                <w:sz w:val="20"/>
                <w:szCs w:val="20"/>
              </w:rPr>
              <w:t>sujeto obligado</w:t>
            </w:r>
            <w:r w:rsidRPr="00B92499">
              <w:rPr>
                <w:rFonts w:ascii="Arial" w:hAnsi="Arial" w:cs="Arial"/>
                <w:color w:val="000000"/>
                <w:sz w:val="20"/>
                <w:szCs w:val="20"/>
              </w:rPr>
              <w:t>.</w:t>
            </w:r>
          </w:p>
        </w:tc>
        <w:tc>
          <w:tcPr>
            <w:tcW w:w="823" w:type="dxa"/>
            <w:tcBorders>
              <w:top w:val="nil"/>
              <w:left w:val="nil"/>
              <w:bottom w:val="single" w:sz="4" w:space="0" w:color="auto"/>
              <w:right w:val="single" w:sz="4" w:space="0" w:color="auto"/>
            </w:tcBorders>
            <w:shd w:val="clear" w:color="auto" w:fill="auto"/>
            <w:vAlign w:val="center"/>
            <w:hideMark/>
          </w:tcPr>
          <w:p w14:paraId="65162DC9" w14:textId="77777777" w:rsidR="00BB78B7" w:rsidRPr="00B92499" w:rsidRDefault="00BB78B7" w:rsidP="00BB78B7">
            <w:pPr>
              <w:jc w:val="center"/>
              <w:rPr>
                <w:rFonts w:ascii="Arial" w:hAnsi="Arial" w:cs="Arial"/>
                <w:color w:val="000000"/>
                <w:sz w:val="20"/>
                <w:szCs w:val="20"/>
              </w:rPr>
            </w:pPr>
            <w:r w:rsidRPr="00B92499">
              <w:rPr>
                <w:rFonts w:ascii="Arial" w:hAnsi="Arial" w:cs="Arial"/>
                <w:color w:val="000000"/>
                <w:sz w:val="20"/>
                <w:szCs w:val="20"/>
              </w:rPr>
              <w:t xml:space="preserve">            97.40 </w:t>
            </w:r>
          </w:p>
        </w:tc>
      </w:tr>
      <w:tr w:rsidR="00BB78B7" w:rsidRPr="00B92499" w14:paraId="512104C8" w14:textId="77777777" w:rsidTr="00BB78B7">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B47B614" w14:textId="77777777" w:rsidR="00BB78B7" w:rsidRPr="00B92499" w:rsidRDefault="00BB78B7" w:rsidP="00BB78B7">
            <w:pPr>
              <w:jc w:val="center"/>
              <w:rPr>
                <w:rFonts w:ascii="Arial" w:hAnsi="Arial" w:cs="Arial"/>
                <w:color w:val="000000"/>
                <w:sz w:val="20"/>
                <w:szCs w:val="20"/>
              </w:rPr>
            </w:pPr>
            <w:r w:rsidRPr="00B92499">
              <w:rPr>
                <w:rFonts w:ascii="Arial" w:hAnsi="Arial" w:cs="Arial"/>
                <w:color w:val="000000"/>
                <w:sz w:val="20"/>
                <w:szCs w:val="20"/>
              </w:rPr>
              <w:t>XXII</w:t>
            </w:r>
          </w:p>
        </w:tc>
        <w:tc>
          <w:tcPr>
            <w:tcW w:w="0" w:type="auto"/>
            <w:tcBorders>
              <w:top w:val="nil"/>
              <w:left w:val="nil"/>
              <w:bottom w:val="single" w:sz="4" w:space="0" w:color="auto"/>
              <w:right w:val="single" w:sz="4" w:space="0" w:color="auto"/>
            </w:tcBorders>
            <w:shd w:val="clear" w:color="auto" w:fill="auto"/>
            <w:vAlign w:val="center"/>
            <w:hideMark/>
          </w:tcPr>
          <w:p w14:paraId="7920E62B" w14:textId="77777777" w:rsidR="00BB78B7" w:rsidRPr="00B92499" w:rsidRDefault="00BB78B7" w:rsidP="00BB78B7">
            <w:pPr>
              <w:rPr>
                <w:rFonts w:ascii="Arial" w:hAnsi="Arial" w:cs="Arial"/>
                <w:color w:val="000000"/>
                <w:sz w:val="20"/>
                <w:szCs w:val="20"/>
              </w:rPr>
            </w:pPr>
            <w:r w:rsidRPr="00B92499">
              <w:rPr>
                <w:rFonts w:ascii="Arial" w:hAnsi="Arial" w:cs="Arial"/>
                <w:color w:val="000000"/>
                <w:sz w:val="20"/>
                <w:szCs w:val="20"/>
              </w:rPr>
              <w:t>Programas Operativos Anuales y de trabajo.</w:t>
            </w:r>
          </w:p>
        </w:tc>
        <w:tc>
          <w:tcPr>
            <w:tcW w:w="823" w:type="dxa"/>
            <w:tcBorders>
              <w:top w:val="nil"/>
              <w:left w:val="nil"/>
              <w:bottom w:val="single" w:sz="4" w:space="0" w:color="auto"/>
              <w:right w:val="single" w:sz="4" w:space="0" w:color="auto"/>
            </w:tcBorders>
            <w:shd w:val="clear" w:color="auto" w:fill="auto"/>
            <w:vAlign w:val="center"/>
            <w:hideMark/>
          </w:tcPr>
          <w:p w14:paraId="7E2AF5B4" w14:textId="77777777" w:rsidR="00BB78B7" w:rsidRPr="00B92499" w:rsidRDefault="00BB78B7" w:rsidP="00BB78B7">
            <w:pPr>
              <w:jc w:val="center"/>
              <w:rPr>
                <w:rFonts w:ascii="Arial" w:hAnsi="Arial" w:cs="Arial"/>
                <w:color w:val="000000"/>
                <w:sz w:val="20"/>
                <w:szCs w:val="20"/>
              </w:rPr>
            </w:pPr>
            <w:r w:rsidRPr="00B92499">
              <w:rPr>
                <w:rFonts w:ascii="Arial" w:hAnsi="Arial" w:cs="Arial"/>
                <w:color w:val="000000"/>
                <w:sz w:val="20"/>
                <w:szCs w:val="20"/>
              </w:rPr>
              <w:t xml:space="preserve">            97.19 </w:t>
            </w:r>
          </w:p>
        </w:tc>
      </w:tr>
      <w:tr w:rsidR="00BB78B7" w:rsidRPr="00B92499" w14:paraId="08D886EC" w14:textId="77777777" w:rsidTr="00BB78B7">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AC15960" w14:textId="77777777" w:rsidR="00BB78B7" w:rsidRPr="00B92499" w:rsidRDefault="00BB78B7" w:rsidP="00BB78B7">
            <w:pPr>
              <w:jc w:val="center"/>
              <w:rPr>
                <w:rFonts w:ascii="Arial" w:hAnsi="Arial" w:cs="Arial"/>
                <w:color w:val="000000"/>
                <w:sz w:val="20"/>
                <w:szCs w:val="20"/>
              </w:rPr>
            </w:pPr>
            <w:r w:rsidRPr="00B92499">
              <w:rPr>
                <w:rFonts w:ascii="Arial" w:hAnsi="Arial" w:cs="Arial"/>
                <w:color w:val="000000"/>
                <w:sz w:val="20"/>
                <w:szCs w:val="20"/>
              </w:rPr>
              <w:t>XXXII</w:t>
            </w:r>
          </w:p>
        </w:tc>
        <w:tc>
          <w:tcPr>
            <w:tcW w:w="0" w:type="auto"/>
            <w:tcBorders>
              <w:top w:val="nil"/>
              <w:left w:val="nil"/>
              <w:bottom w:val="single" w:sz="4" w:space="0" w:color="auto"/>
              <w:right w:val="single" w:sz="4" w:space="0" w:color="auto"/>
            </w:tcBorders>
            <w:shd w:val="clear" w:color="auto" w:fill="auto"/>
            <w:vAlign w:val="center"/>
            <w:hideMark/>
          </w:tcPr>
          <w:p w14:paraId="668EA737" w14:textId="77777777" w:rsidR="00BB78B7" w:rsidRPr="00B92499" w:rsidRDefault="00BB78B7" w:rsidP="00BB78B7">
            <w:pPr>
              <w:rPr>
                <w:rFonts w:ascii="Arial" w:hAnsi="Arial" w:cs="Arial"/>
                <w:color w:val="000000"/>
                <w:sz w:val="20"/>
                <w:szCs w:val="20"/>
              </w:rPr>
            </w:pPr>
            <w:r w:rsidRPr="00B92499">
              <w:rPr>
                <w:rFonts w:ascii="Arial" w:hAnsi="Arial" w:cs="Arial"/>
                <w:color w:val="000000"/>
                <w:sz w:val="20"/>
                <w:szCs w:val="20"/>
              </w:rPr>
              <w:t>Estadísticas que generen.</w:t>
            </w:r>
          </w:p>
        </w:tc>
        <w:tc>
          <w:tcPr>
            <w:tcW w:w="823" w:type="dxa"/>
            <w:tcBorders>
              <w:top w:val="nil"/>
              <w:left w:val="nil"/>
              <w:bottom w:val="single" w:sz="4" w:space="0" w:color="auto"/>
              <w:right w:val="single" w:sz="4" w:space="0" w:color="auto"/>
            </w:tcBorders>
            <w:shd w:val="clear" w:color="auto" w:fill="auto"/>
            <w:vAlign w:val="center"/>
            <w:hideMark/>
          </w:tcPr>
          <w:p w14:paraId="09B1E630" w14:textId="77777777" w:rsidR="00BB78B7" w:rsidRPr="00B92499" w:rsidRDefault="00BB78B7" w:rsidP="00BB78B7">
            <w:pPr>
              <w:jc w:val="center"/>
              <w:rPr>
                <w:rFonts w:ascii="Arial" w:hAnsi="Arial" w:cs="Arial"/>
                <w:color w:val="000000"/>
                <w:sz w:val="20"/>
                <w:szCs w:val="20"/>
              </w:rPr>
            </w:pPr>
            <w:r w:rsidRPr="00B92499">
              <w:rPr>
                <w:rFonts w:ascii="Arial" w:hAnsi="Arial" w:cs="Arial"/>
                <w:color w:val="000000"/>
                <w:sz w:val="20"/>
                <w:szCs w:val="20"/>
              </w:rPr>
              <w:t xml:space="preserve">            97.14 </w:t>
            </w:r>
          </w:p>
        </w:tc>
      </w:tr>
      <w:tr w:rsidR="00BB78B7" w:rsidRPr="00B92499" w14:paraId="1B46E543" w14:textId="77777777" w:rsidTr="00BB78B7">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5BCCA26" w14:textId="77777777" w:rsidR="00BB78B7" w:rsidRPr="00B92499" w:rsidRDefault="00BB78B7" w:rsidP="00BB78B7">
            <w:pPr>
              <w:jc w:val="center"/>
              <w:rPr>
                <w:rFonts w:ascii="Arial" w:hAnsi="Arial" w:cs="Arial"/>
                <w:color w:val="000000"/>
                <w:sz w:val="20"/>
                <w:szCs w:val="20"/>
              </w:rPr>
            </w:pPr>
            <w:r w:rsidRPr="00B92499">
              <w:rPr>
                <w:rFonts w:ascii="Arial" w:hAnsi="Arial" w:cs="Arial"/>
                <w:color w:val="000000"/>
                <w:sz w:val="20"/>
                <w:szCs w:val="20"/>
              </w:rPr>
              <w:t>XLVI</w:t>
            </w:r>
          </w:p>
        </w:tc>
        <w:tc>
          <w:tcPr>
            <w:tcW w:w="0" w:type="auto"/>
            <w:tcBorders>
              <w:top w:val="nil"/>
              <w:left w:val="nil"/>
              <w:bottom w:val="single" w:sz="4" w:space="0" w:color="auto"/>
              <w:right w:val="single" w:sz="4" w:space="0" w:color="auto"/>
            </w:tcBorders>
            <w:shd w:val="clear" w:color="auto" w:fill="auto"/>
            <w:vAlign w:val="center"/>
            <w:hideMark/>
          </w:tcPr>
          <w:p w14:paraId="66A3F968" w14:textId="77777777" w:rsidR="00BB78B7" w:rsidRPr="00B92499" w:rsidRDefault="00BB78B7" w:rsidP="00BB78B7">
            <w:pPr>
              <w:rPr>
                <w:rFonts w:ascii="Arial" w:hAnsi="Arial" w:cs="Arial"/>
                <w:color w:val="000000"/>
                <w:sz w:val="20"/>
                <w:szCs w:val="20"/>
              </w:rPr>
            </w:pPr>
            <w:r w:rsidRPr="00B92499">
              <w:rPr>
                <w:rFonts w:ascii="Arial" w:hAnsi="Arial" w:cs="Arial"/>
                <w:color w:val="000000"/>
                <w:sz w:val="20"/>
                <w:szCs w:val="20"/>
              </w:rPr>
              <w:t>Listado de jubilados y pensionados y monto que reciben.</w:t>
            </w:r>
          </w:p>
        </w:tc>
        <w:tc>
          <w:tcPr>
            <w:tcW w:w="823" w:type="dxa"/>
            <w:tcBorders>
              <w:top w:val="nil"/>
              <w:left w:val="nil"/>
              <w:bottom w:val="single" w:sz="4" w:space="0" w:color="auto"/>
              <w:right w:val="single" w:sz="4" w:space="0" w:color="auto"/>
            </w:tcBorders>
            <w:shd w:val="clear" w:color="auto" w:fill="auto"/>
            <w:vAlign w:val="center"/>
            <w:hideMark/>
          </w:tcPr>
          <w:p w14:paraId="3BA3F04F" w14:textId="77777777" w:rsidR="00BB78B7" w:rsidRPr="00B92499" w:rsidRDefault="00BB78B7" w:rsidP="00BB78B7">
            <w:pPr>
              <w:jc w:val="center"/>
              <w:rPr>
                <w:rFonts w:ascii="Arial" w:hAnsi="Arial" w:cs="Arial"/>
                <w:color w:val="000000"/>
                <w:sz w:val="20"/>
                <w:szCs w:val="20"/>
              </w:rPr>
            </w:pPr>
            <w:r w:rsidRPr="00B92499">
              <w:rPr>
                <w:rFonts w:ascii="Arial" w:hAnsi="Arial" w:cs="Arial"/>
                <w:color w:val="000000"/>
                <w:sz w:val="20"/>
                <w:szCs w:val="20"/>
              </w:rPr>
              <w:t xml:space="preserve">            96.88 </w:t>
            </w:r>
          </w:p>
        </w:tc>
      </w:tr>
      <w:tr w:rsidR="00BB78B7" w:rsidRPr="00B92499" w14:paraId="515E25AF" w14:textId="77777777" w:rsidTr="00BB78B7">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9D5F7A9" w14:textId="77777777" w:rsidR="00BB78B7" w:rsidRPr="00B92499" w:rsidRDefault="00BB78B7" w:rsidP="00BB78B7">
            <w:pPr>
              <w:jc w:val="center"/>
              <w:rPr>
                <w:rFonts w:ascii="Arial" w:hAnsi="Arial" w:cs="Arial"/>
                <w:color w:val="000000"/>
                <w:sz w:val="20"/>
                <w:szCs w:val="20"/>
              </w:rPr>
            </w:pPr>
            <w:r w:rsidRPr="00B92499">
              <w:rPr>
                <w:rFonts w:ascii="Arial" w:hAnsi="Arial" w:cs="Arial"/>
                <w:color w:val="000000"/>
                <w:sz w:val="20"/>
                <w:szCs w:val="20"/>
              </w:rPr>
              <w:t>XX</w:t>
            </w:r>
          </w:p>
        </w:tc>
        <w:tc>
          <w:tcPr>
            <w:tcW w:w="0" w:type="auto"/>
            <w:tcBorders>
              <w:top w:val="nil"/>
              <w:left w:val="nil"/>
              <w:bottom w:val="single" w:sz="4" w:space="0" w:color="auto"/>
              <w:right w:val="single" w:sz="4" w:space="0" w:color="auto"/>
            </w:tcBorders>
            <w:shd w:val="clear" w:color="auto" w:fill="auto"/>
            <w:vAlign w:val="center"/>
            <w:hideMark/>
          </w:tcPr>
          <w:p w14:paraId="708ACA56" w14:textId="77777777" w:rsidR="00BB78B7" w:rsidRPr="00B92499" w:rsidRDefault="00BB78B7" w:rsidP="00BB78B7">
            <w:pPr>
              <w:rPr>
                <w:rFonts w:ascii="Arial" w:hAnsi="Arial" w:cs="Arial"/>
                <w:color w:val="000000"/>
                <w:sz w:val="20"/>
                <w:szCs w:val="20"/>
              </w:rPr>
            </w:pPr>
            <w:r w:rsidRPr="00B92499">
              <w:rPr>
                <w:rFonts w:ascii="Arial" w:hAnsi="Arial" w:cs="Arial"/>
                <w:color w:val="000000"/>
                <w:sz w:val="20"/>
                <w:szCs w:val="20"/>
              </w:rPr>
              <w:t>Trámites que ofrecen y requisitos.</w:t>
            </w:r>
          </w:p>
        </w:tc>
        <w:tc>
          <w:tcPr>
            <w:tcW w:w="823" w:type="dxa"/>
            <w:tcBorders>
              <w:top w:val="nil"/>
              <w:left w:val="nil"/>
              <w:bottom w:val="single" w:sz="4" w:space="0" w:color="auto"/>
              <w:right w:val="single" w:sz="4" w:space="0" w:color="auto"/>
            </w:tcBorders>
            <w:shd w:val="clear" w:color="auto" w:fill="auto"/>
            <w:vAlign w:val="center"/>
            <w:hideMark/>
          </w:tcPr>
          <w:p w14:paraId="17812B13" w14:textId="77777777" w:rsidR="00BB78B7" w:rsidRPr="00B92499" w:rsidRDefault="00BB78B7" w:rsidP="00BB78B7">
            <w:pPr>
              <w:jc w:val="center"/>
              <w:rPr>
                <w:rFonts w:ascii="Arial" w:hAnsi="Arial" w:cs="Arial"/>
                <w:color w:val="000000"/>
                <w:sz w:val="20"/>
                <w:szCs w:val="20"/>
              </w:rPr>
            </w:pPr>
            <w:r w:rsidRPr="00B92499">
              <w:rPr>
                <w:rFonts w:ascii="Arial" w:hAnsi="Arial" w:cs="Arial"/>
                <w:color w:val="000000"/>
                <w:sz w:val="20"/>
                <w:szCs w:val="20"/>
              </w:rPr>
              <w:t xml:space="preserve">            96.74 </w:t>
            </w:r>
          </w:p>
        </w:tc>
      </w:tr>
      <w:tr w:rsidR="00BB78B7" w:rsidRPr="00B92499" w14:paraId="2E89CFD9" w14:textId="77777777" w:rsidTr="00BB78B7">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3D883BE" w14:textId="77777777" w:rsidR="00BB78B7" w:rsidRPr="00B92499" w:rsidRDefault="00BB78B7" w:rsidP="00BB78B7">
            <w:pPr>
              <w:jc w:val="center"/>
              <w:rPr>
                <w:rFonts w:ascii="Arial" w:hAnsi="Arial" w:cs="Arial"/>
                <w:color w:val="000000"/>
                <w:sz w:val="20"/>
                <w:szCs w:val="20"/>
              </w:rPr>
            </w:pPr>
            <w:r w:rsidRPr="00B92499">
              <w:rPr>
                <w:rFonts w:ascii="Arial" w:hAnsi="Arial" w:cs="Arial"/>
                <w:color w:val="000000"/>
                <w:sz w:val="20"/>
                <w:szCs w:val="20"/>
              </w:rPr>
              <w:t>L</w:t>
            </w:r>
          </w:p>
        </w:tc>
        <w:tc>
          <w:tcPr>
            <w:tcW w:w="0" w:type="auto"/>
            <w:tcBorders>
              <w:top w:val="nil"/>
              <w:left w:val="nil"/>
              <w:bottom w:val="single" w:sz="4" w:space="0" w:color="auto"/>
              <w:right w:val="single" w:sz="4" w:space="0" w:color="auto"/>
            </w:tcBorders>
            <w:shd w:val="clear" w:color="auto" w:fill="auto"/>
            <w:vAlign w:val="center"/>
            <w:hideMark/>
          </w:tcPr>
          <w:p w14:paraId="4442C958" w14:textId="77777777" w:rsidR="00BB78B7" w:rsidRPr="00B92499" w:rsidRDefault="00BB78B7" w:rsidP="00BB78B7">
            <w:pPr>
              <w:rPr>
                <w:rFonts w:ascii="Arial" w:hAnsi="Arial" w:cs="Arial"/>
                <w:color w:val="000000"/>
                <w:sz w:val="20"/>
                <w:szCs w:val="20"/>
              </w:rPr>
            </w:pPr>
            <w:r w:rsidRPr="00B92499">
              <w:rPr>
                <w:rFonts w:ascii="Arial" w:hAnsi="Arial" w:cs="Arial"/>
                <w:color w:val="000000"/>
                <w:sz w:val="20"/>
                <w:szCs w:val="20"/>
              </w:rPr>
              <w:t xml:space="preserve">La calendarización, minutas y actas de las reuniones públicas de los consejos, colegiados, gabinetes, sesiones plenarias, comités, comisiones y sesiones de trabajo. </w:t>
            </w:r>
          </w:p>
        </w:tc>
        <w:tc>
          <w:tcPr>
            <w:tcW w:w="823" w:type="dxa"/>
            <w:tcBorders>
              <w:top w:val="nil"/>
              <w:left w:val="nil"/>
              <w:bottom w:val="single" w:sz="4" w:space="0" w:color="auto"/>
              <w:right w:val="single" w:sz="4" w:space="0" w:color="auto"/>
            </w:tcBorders>
            <w:shd w:val="clear" w:color="auto" w:fill="auto"/>
            <w:vAlign w:val="center"/>
            <w:hideMark/>
          </w:tcPr>
          <w:p w14:paraId="51330D15" w14:textId="77777777" w:rsidR="00BB78B7" w:rsidRPr="00B92499" w:rsidRDefault="00BB78B7" w:rsidP="00BB78B7">
            <w:pPr>
              <w:jc w:val="center"/>
              <w:rPr>
                <w:rFonts w:ascii="Arial" w:hAnsi="Arial" w:cs="Arial"/>
                <w:color w:val="000000"/>
                <w:sz w:val="20"/>
                <w:szCs w:val="20"/>
              </w:rPr>
            </w:pPr>
            <w:r w:rsidRPr="00B92499">
              <w:rPr>
                <w:rFonts w:ascii="Arial" w:hAnsi="Arial" w:cs="Arial"/>
                <w:color w:val="000000"/>
                <w:sz w:val="20"/>
                <w:szCs w:val="20"/>
              </w:rPr>
              <w:t xml:space="preserve">            96.74 </w:t>
            </w:r>
          </w:p>
        </w:tc>
      </w:tr>
      <w:tr w:rsidR="00BB78B7" w:rsidRPr="00B92499" w14:paraId="27058BBE" w14:textId="77777777" w:rsidTr="00BB78B7">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7F77CEA" w14:textId="77777777" w:rsidR="00BB78B7" w:rsidRPr="00B92499" w:rsidRDefault="00BB78B7" w:rsidP="00BB78B7">
            <w:pPr>
              <w:jc w:val="center"/>
              <w:rPr>
                <w:rFonts w:ascii="Arial" w:hAnsi="Arial" w:cs="Arial"/>
                <w:color w:val="000000"/>
                <w:sz w:val="20"/>
                <w:szCs w:val="20"/>
              </w:rPr>
            </w:pPr>
            <w:r w:rsidRPr="00B92499">
              <w:rPr>
                <w:rFonts w:ascii="Arial" w:hAnsi="Arial" w:cs="Arial"/>
                <w:color w:val="000000"/>
                <w:sz w:val="20"/>
                <w:szCs w:val="20"/>
              </w:rPr>
              <w:t>XXXV</w:t>
            </w:r>
          </w:p>
        </w:tc>
        <w:tc>
          <w:tcPr>
            <w:tcW w:w="0" w:type="auto"/>
            <w:tcBorders>
              <w:top w:val="nil"/>
              <w:left w:val="nil"/>
              <w:bottom w:val="single" w:sz="4" w:space="0" w:color="auto"/>
              <w:right w:val="single" w:sz="4" w:space="0" w:color="auto"/>
            </w:tcBorders>
            <w:shd w:val="clear" w:color="auto" w:fill="auto"/>
            <w:vAlign w:val="center"/>
            <w:hideMark/>
          </w:tcPr>
          <w:p w14:paraId="6C8008FA" w14:textId="77777777" w:rsidR="00BB78B7" w:rsidRPr="00B92499" w:rsidRDefault="00BB78B7" w:rsidP="00BB78B7">
            <w:pPr>
              <w:rPr>
                <w:rFonts w:ascii="Arial" w:hAnsi="Arial" w:cs="Arial"/>
                <w:color w:val="000000"/>
                <w:sz w:val="20"/>
                <w:szCs w:val="20"/>
              </w:rPr>
            </w:pPr>
            <w:r w:rsidRPr="00B92499">
              <w:rPr>
                <w:rFonts w:ascii="Arial" w:hAnsi="Arial" w:cs="Arial"/>
                <w:color w:val="000000"/>
                <w:sz w:val="20"/>
                <w:szCs w:val="20"/>
              </w:rPr>
              <w:t>Convenios de coordinación de concertación con los sectores sociales y privado.</w:t>
            </w:r>
          </w:p>
        </w:tc>
        <w:tc>
          <w:tcPr>
            <w:tcW w:w="823" w:type="dxa"/>
            <w:tcBorders>
              <w:top w:val="nil"/>
              <w:left w:val="nil"/>
              <w:bottom w:val="single" w:sz="4" w:space="0" w:color="auto"/>
              <w:right w:val="single" w:sz="4" w:space="0" w:color="auto"/>
            </w:tcBorders>
            <w:shd w:val="clear" w:color="auto" w:fill="auto"/>
            <w:vAlign w:val="center"/>
            <w:hideMark/>
          </w:tcPr>
          <w:p w14:paraId="06E55549" w14:textId="77777777" w:rsidR="00BB78B7" w:rsidRPr="00B92499" w:rsidRDefault="00BB78B7" w:rsidP="00BB78B7">
            <w:pPr>
              <w:jc w:val="center"/>
              <w:rPr>
                <w:rFonts w:ascii="Arial" w:hAnsi="Arial" w:cs="Arial"/>
                <w:color w:val="000000"/>
                <w:sz w:val="20"/>
                <w:szCs w:val="20"/>
              </w:rPr>
            </w:pPr>
            <w:r w:rsidRPr="00B92499">
              <w:rPr>
                <w:rFonts w:ascii="Arial" w:hAnsi="Arial" w:cs="Arial"/>
                <w:color w:val="000000"/>
                <w:sz w:val="20"/>
                <w:szCs w:val="20"/>
              </w:rPr>
              <w:t xml:space="preserve">            96.61 </w:t>
            </w:r>
          </w:p>
        </w:tc>
      </w:tr>
      <w:tr w:rsidR="00BB78B7" w:rsidRPr="00B92499" w14:paraId="10443318" w14:textId="77777777" w:rsidTr="00BB78B7">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ACEB0AC" w14:textId="77777777" w:rsidR="00BB78B7" w:rsidRPr="00B92499" w:rsidRDefault="00BB78B7" w:rsidP="00BB78B7">
            <w:pPr>
              <w:jc w:val="center"/>
              <w:rPr>
                <w:rFonts w:ascii="Arial" w:hAnsi="Arial" w:cs="Arial"/>
                <w:color w:val="000000"/>
                <w:sz w:val="20"/>
                <w:szCs w:val="20"/>
              </w:rPr>
            </w:pPr>
            <w:r w:rsidRPr="00B92499">
              <w:rPr>
                <w:rFonts w:ascii="Arial" w:hAnsi="Arial" w:cs="Arial"/>
                <w:color w:val="000000"/>
                <w:sz w:val="20"/>
                <w:szCs w:val="20"/>
              </w:rPr>
              <w:t>XLV</w:t>
            </w:r>
          </w:p>
        </w:tc>
        <w:tc>
          <w:tcPr>
            <w:tcW w:w="0" w:type="auto"/>
            <w:tcBorders>
              <w:top w:val="nil"/>
              <w:left w:val="nil"/>
              <w:bottom w:val="single" w:sz="4" w:space="0" w:color="auto"/>
              <w:right w:val="single" w:sz="4" w:space="0" w:color="auto"/>
            </w:tcBorders>
            <w:shd w:val="clear" w:color="auto" w:fill="auto"/>
            <w:vAlign w:val="center"/>
            <w:hideMark/>
          </w:tcPr>
          <w:p w14:paraId="065C7641" w14:textId="77777777" w:rsidR="00BB78B7" w:rsidRPr="00B92499" w:rsidRDefault="00BB78B7" w:rsidP="00BB78B7">
            <w:pPr>
              <w:rPr>
                <w:rFonts w:ascii="Arial" w:hAnsi="Arial" w:cs="Arial"/>
                <w:color w:val="000000"/>
                <w:sz w:val="20"/>
                <w:szCs w:val="20"/>
              </w:rPr>
            </w:pPr>
            <w:r w:rsidRPr="00B92499">
              <w:rPr>
                <w:rFonts w:ascii="Arial" w:hAnsi="Arial" w:cs="Arial"/>
                <w:color w:val="000000"/>
                <w:sz w:val="20"/>
                <w:szCs w:val="20"/>
              </w:rPr>
              <w:t>Estudios financiados con recursos públicos.</w:t>
            </w:r>
          </w:p>
        </w:tc>
        <w:tc>
          <w:tcPr>
            <w:tcW w:w="823" w:type="dxa"/>
            <w:tcBorders>
              <w:top w:val="nil"/>
              <w:left w:val="nil"/>
              <w:bottom w:val="single" w:sz="4" w:space="0" w:color="auto"/>
              <w:right w:val="single" w:sz="4" w:space="0" w:color="auto"/>
            </w:tcBorders>
            <w:shd w:val="clear" w:color="auto" w:fill="auto"/>
            <w:vAlign w:val="center"/>
            <w:hideMark/>
          </w:tcPr>
          <w:p w14:paraId="24313ED5" w14:textId="77777777" w:rsidR="00BB78B7" w:rsidRPr="00B92499" w:rsidRDefault="00BB78B7" w:rsidP="00BB78B7">
            <w:pPr>
              <w:jc w:val="center"/>
              <w:rPr>
                <w:rFonts w:ascii="Arial" w:hAnsi="Arial" w:cs="Arial"/>
                <w:color w:val="000000"/>
                <w:sz w:val="20"/>
                <w:szCs w:val="20"/>
              </w:rPr>
            </w:pPr>
            <w:r w:rsidRPr="00B92499">
              <w:rPr>
                <w:rFonts w:ascii="Arial" w:hAnsi="Arial" w:cs="Arial"/>
                <w:color w:val="000000"/>
                <w:sz w:val="20"/>
                <w:szCs w:val="20"/>
              </w:rPr>
              <w:t xml:space="preserve">            96.05 </w:t>
            </w:r>
          </w:p>
        </w:tc>
      </w:tr>
      <w:tr w:rsidR="00BB78B7" w:rsidRPr="00B92499" w14:paraId="4F0A5A99" w14:textId="77777777" w:rsidTr="00BB78B7">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368DEA9" w14:textId="77777777" w:rsidR="00BB78B7" w:rsidRPr="00B92499" w:rsidRDefault="00BB78B7" w:rsidP="00BB78B7">
            <w:pPr>
              <w:jc w:val="center"/>
              <w:rPr>
                <w:rFonts w:ascii="Arial" w:hAnsi="Arial" w:cs="Arial"/>
                <w:color w:val="000000"/>
                <w:sz w:val="20"/>
                <w:szCs w:val="20"/>
              </w:rPr>
            </w:pPr>
            <w:r w:rsidRPr="00B92499">
              <w:rPr>
                <w:rFonts w:ascii="Arial" w:hAnsi="Arial" w:cs="Arial"/>
                <w:color w:val="000000"/>
                <w:sz w:val="20"/>
                <w:szCs w:val="20"/>
              </w:rPr>
              <w:t>XIII</w:t>
            </w:r>
          </w:p>
        </w:tc>
        <w:tc>
          <w:tcPr>
            <w:tcW w:w="0" w:type="auto"/>
            <w:tcBorders>
              <w:top w:val="nil"/>
              <w:left w:val="nil"/>
              <w:bottom w:val="single" w:sz="4" w:space="0" w:color="auto"/>
              <w:right w:val="single" w:sz="4" w:space="0" w:color="auto"/>
            </w:tcBorders>
            <w:shd w:val="clear" w:color="auto" w:fill="auto"/>
            <w:vAlign w:val="center"/>
            <w:hideMark/>
          </w:tcPr>
          <w:p w14:paraId="0932C30D" w14:textId="77777777" w:rsidR="00BB78B7" w:rsidRPr="00B92499" w:rsidRDefault="00BB78B7" w:rsidP="00BB78B7">
            <w:pPr>
              <w:rPr>
                <w:rFonts w:ascii="Arial" w:hAnsi="Arial" w:cs="Arial"/>
                <w:color w:val="000000"/>
                <w:sz w:val="20"/>
                <w:szCs w:val="20"/>
              </w:rPr>
            </w:pPr>
            <w:r w:rsidRPr="00B92499">
              <w:rPr>
                <w:rFonts w:ascii="Arial" w:hAnsi="Arial" w:cs="Arial"/>
                <w:color w:val="000000"/>
                <w:sz w:val="20"/>
                <w:szCs w:val="20"/>
              </w:rPr>
              <w:t>Declaraciones 3de3.</w:t>
            </w:r>
          </w:p>
        </w:tc>
        <w:tc>
          <w:tcPr>
            <w:tcW w:w="823" w:type="dxa"/>
            <w:tcBorders>
              <w:top w:val="nil"/>
              <w:left w:val="nil"/>
              <w:bottom w:val="single" w:sz="4" w:space="0" w:color="auto"/>
              <w:right w:val="single" w:sz="4" w:space="0" w:color="auto"/>
            </w:tcBorders>
            <w:shd w:val="clear" w:color="auto" w:fill="auto"/>
            <w:vAlign w:val="center"/>
            <w:hideMark/>
          </w:tcPr>
          <w:p w14:paraId="7B719266" w14:textId="77777777" w:rsidR="00BB78B7" w:rsidRPr="00B92499" w:rsidRDefault="00BB78B7" w:rsidP="00BB78B7">
            <w:pPr>
              <w:jc w:val="center"/>
              <w:rPr>
                <w:rFonts w:ascii="Arial" w:hAnsi="Arial" w:cs="Arial"/>
                <w:color w:val="000000"/>
                <w:sz w:val="20"/>
                <w:szCs w:val="20"/>
              </w:rPr>
            </w:pPr>
            <w:r w:rsidRPr="00B92499">
              <w:rPr>
                <w:rFonts w:ascii="Arial" w:hAnsi="Arial" w:cs="Arial"/>
                <w:color w:val="000000"/>
                <w:sz w:val="20"/>
                <w:szCs w:val="20"/>
              </w:rPr>
              <w:t xml:space="preserve">            95.83 </w:t>
            </w:r>
          </w:p>
        </w:tc>
      </w:tr>
      <w:tr w:rsidR="00BB78B7" w:rsidRPr="00B92499" w14:paraId="156097F3" w14:textId="77777777" w:rsidTr="00BB78B7">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B42900C" w14:textId="77777777" w:rsidR="00BB78B7" w:rsidRPr="00B92499" w:rsidRDefault="00BB78B7" w:rsidP="00BB78B7">
            <w:pPr>
              <w:jc w:val="center"/>
              <w:rPr>
                <w:rFonts w:ascii="Arial" w:hAnsi="Arial" w:cs="Arial"/>
                <w:color w:val="000000"/>
                <w:sz w:val="20"/>
                <w:szCs w:val="20"/>
              </w:rPr>
            </w:pPr>
            <w:r w:rsidRPr="00B92499">
              <w:rPr>
                <w:rFonts w:ascii="Arial" w:hAnsi="Arial" w:cs="Arial"/>
                <w:color w:val="000000"/>
                <w:sz w:val="20"/>
                <w:szCs w:val="20"/>
              </w:rPr>
              <w:t>LIV</w:t>
            </w:r>
          </w:p>
        </w:tc>
        <w:tc>
          <w:tcPr>
            <w:tcW w:w="0" w:type="auto"/>
            <w:tcBorders>
              <w:top w:val="nil"/>
              <w:left w:val="nil"/>
              <w:bottom w:val="single" w:sz="4" w:space="0" w:color="auto"/>
              <w:right w:val="single" w:sz="4" w:space="0" w:color="auto"/>
            </w:tcBorders>
            <w:shd w:val="clear" w:color="auto" w:fill="auto"/>
            <w:vAlign w:val="center"/>
            <w:hideMark/>
          </w:tcPr>
          <w:p w14:paraId="239D0EDA" w14:textId="77777777" w:rsidR="00BB78B7" w:rsidRPr="00B92499" w:rsidRDefault="00BB78B7" w:rsidP="00BB78B7">
            <w:pPr>
              <w:rPr>
                <w:rFonts w:ascii="Arial" w:hAnsi="Arial" w:cs="Arial"/>
                <w:color w:val="000000"/>
                <w:sz w:val="20"/>
                <w:szCs w:val="20"/>
              </w:rPr>
            </w:pPr>
            <w:r w:rsidRPr="00B92499">
              <w:rPr>
                <w:rFonts w:ascii="Arial" w:hAnsi="Arial" w:cs="Arial"/>
                <w:color w:val="000000"/>
                <w:sz w:val="20"/>
                <w:szCs w:val="20"/>
              </w:rPr>
              <w:t xml:space="preserve">Personas beneficiadas, la temporalidad, los montos y todo aquello relacionado con el acto administrativo de los incentivos, condonaciones, reducciones fiscales, concesiones, permisos o licencias, entre otros actos. </w:t>
            </w:r>
          </w:p>
        </w:tc>
        <w:tc>
          <w:tcPr>
            <w:tcW w:w="823" w:type="dxa"/>
            <w:tcBorders>
              <w:top w:val="nil"/>
              <w:left w:val="nil"/>
              <w:bottom w:val="single" w:sz="4" w:space="0" w:color="auto"/>
              <w:right w:val="single" w:sz="4" w:space="0" w:color="auto"/>
            </w:tcBorders>
            <w:shd w:val="clear" w:color="auto" w:fill="auto"/>
            <w:vAlign w:val="center"/>
            <w:hideMark/>
          </w:tcPr>
          <w:p w14:paraId="5B4F89A6" w14:textId="77777777" w:rsidR="00BB78B7" w:rsidRPr="00B92499" w:rsidRDefault="00BB78B7" w:rsidP="00BB78B7">
            <w:pPr>
              <w:jc w:val="center"/>
              <w:rPr>
                <w:rFonts w:ascii="Arial" w:hAnsi="Arial" w:cs="Arial"/>
                <w:color w:val="000000"/>
                <w:sz w:val="20"/>
                <w:szCs w:val="20"/>
              </w:rPr>
            </w:pPr>
            <w:r w:rsidRPr="00B92499">
              <w:rPr>
                <w:rFonts w:ascii="Arial" w:hAnsi="Arial" w:cs="Arial"/>
                <w:color w:val="000000"/>
                <w:sz w:val="20"/>
                <w:szCs w:val="20"/>
              </w:rPr>
              <w:t xml:space="preserve">            95.31 </w:t>
            </w:r>
          </w:p>
        </w:tc>
      </w:tr>
      <w:tr w:rsidR="00BB78B7" w:rsidRPr="00B92499" w14:paraId="685A760A" w14:textId="77777777" w:rsidTr="00BB78B7">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5B1F54F" w14:textId="77777777" w:rsidR="00BB78B7" w:rsidRPr="00B92499" w:rsidRDefault="00BB78B7" w:rsidP="00BB78B7">
            <w:pPr>
              <w:jc w:val="center"/>
              <w:rPr>
                <w:rFonts w:ascii="Arial" w:hAnsi="Arial" w:cs="Arial"/>
                <w:color w:val="000000"/>
                <w:sz w:val="20"/>
                <w:szCs w:val="20"/>
              </w:rPr>
            </w:pPr>
            <w:r w:rsidRPr="00B92499">
              <w:rPr>
                <w:rFonts w:ascii="Arial" w:hAnsi="Arial" w:cs="Arial"/>
                <w:color w:val="000000"/>
                <w:sz w:val="20"/>
                <w:szCs w:val="20"/>
              </w:rPr>
              <w:t>XXV</w:t>
            </w:r>
          </w:p>
        </w:tc>
        <w:tc>
          <w:tcPr>
            <w:tcW w:w="0" w:type="auto"/>
            <w:tcBorders>
              <w:top w:val="nil"/>
              <w:left w:val="nil"/>
              <w:bottom w:val="single" w:sz="4" w:space="0" w:color="auto"/>
              <w:right w:val="single" w:sz="4" w:space="0" w:color="auto"/>
            </w:tcBorders>
            <w:shd w:val="clear" w:color="auto" w:fill="auto"/>
            <w:vAlign w:val="center"/>
            <w:hideMark/>
          </w:tcPr>
          <w:p w14:paraId="071C9BBD" w14:textId="77777777" w:rsidR="00BB78B7" w:rsidRPr="00B92499" w:rsidRDefault="00BB78B7" w:rsidP="00BB78B7">
            <w:pPr>
              <w:rPr>
                <w:rFonts w:ascii="Arial" w:hAnsi="Arial" w:cs="Arial"/>
                <w:color w:val="000000"/>
                <w:sz w:val="20"/>
                <w:szCs w:val="20"/>
              </w:rPr>
            </w:pPr>
            <w:r w:rsidRPr="00B92499">
              <w:rPr>
                <w:rFonts w:ascii="Arial" w:hAnsi="Arial" w:cs="Arial"/>
                <w:color w:val="000000"/>
                <w:sz w:val="20"/>
                <w:szCs w:val="20"/>
              </w:rPr>
              <w:t>Montos destinados a Comunicación Social y publicidad.</w:t>
            </w:r>
          </w:p>
        </w:tc>
        <w:tc>
          <w:tcPr>
            <w:tcW w:w="823" w:type="dxa"/>
            <w:tcBorders>
              <w:top w:val="nil"/>
              <w:left w:val="nil"/>
              <w:bottom w:val="single" w:sz="4" w:space="0" w:color="auto"/>
              <w:right w:val="single" w:sz="4" w:space="0" w:color="auto"/>
            </w:tcBorders>
            <w:shd w:val="clear" w:color="auto" w:fill="auto"/>
            <w:vAlign w:val="center"/>
            <w:hideMark/>
          </w:tcPr>
          <w:p w14:paraId="6F8F5270" w14:textId="77777777" w:rsidR="00BB78B7" w:rsidRPr="00B92499" w:rsidRDefault="00BB78B7" w:rsidP="00BB78B7">
            <w:pPr>
              <w:jc w:val="center"/>
              <w:rPr>
                <w:rFonts w:ascii="Arial" w:hAnsi="Arial" w:cs="Arial"/>
                <w:color w:val="000000"/>
                <w:sz w:val="20"/>
                <w:szCs w:val="20"/>
              </w:rPr>
            </w:pPr>
            <w:r w:rsidRPr="00B92499">
              <w:rPr>
                <w:rFonts w:ascii="Arial" w:hAnsi="Arial" w:cs="Arial"/>
                <w:color w:val="000000"/>
                <w:sz w:val="20"/>
                <w:szCs w:val="20"/>
              </w:rPr>
              <w:t xml:space="preserve">            95.29 </w:t>
            </w:r>
          </w:p>
        </w:tc>
      </w:tr>
      <w:tr w:rsidR="00BB78B7" w:rsidRPr="00B92499" w14:paraId="009A71ED" w14:textId="77777777" w:rsidTr="00BB78B7">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16F5870" w14:textId="77777777" w:rsidR="00BB78B7" w:rsidRPr="00B92499" w:rsidRDefault="00BB78B7" w:rsidP="00BB78B7">
            <w:pPr>
              <w:jc w:val="center"/>
              <w:rPr>
                <w:rFonts w:ascii="Arial" w:hAnsi="Arial" w:cs="Arial"/>
                <w:color w:val="000000"/>
                <w:sz w:val="20"/>
                <w:szCs w:val="20"/>
              </w:rPr>
            </w:pPr>
            <w:r w:rsidRPr="00B92499">
              <w:rPr>
                <w:rFonts w:ascii="Arial" w:hAnsi="Arial" w:cs="Arial"/>
                <w:color w:val="000000"/>
                <w:sz w:val="20"/>
                <w:szCs w:val="20"/>
              </w:rPr>
              <w:t>VI</w:t>
            </w:r>
          </w:p>
        </w:tc>
        <w:tc>
          <w:tcPr>
            <w:tcW w:w="0" w:type="auto"/>
            <w:tcBorders>
              <w:top w:val="nil"/>
              <w:left w:val="nil"/>
              <w:bottom w:val="single" w:sz="4" w:space="0" w:color="auto"/>
              <w:right w:val="single" w:sz="4" w:space="0" w:color="auto"/>
            </w:tcBorders>
            <w:shd w:val="clear" w:color="auto" w:fill="auto"/>
            <w:vAlign w:val="center"/>
            <w:hideMark/>
          </w:tcPr>
          <w:p w14:paraId="57A0B5B9" w14:textId="77777777" w:rsidR="00BB78B7" w:rsidRPr="00B92499" w:rsidRDefault="00BB78B7" w:rsidP="00BB78B7">
            <w:pPr>
              <w:rPr>
                <w:rFonts w:ascii="Arial" w:hAnsi="Arial" w:cs="Arial"/>
                <w:color w:val="000000"/>
                <w:sz w:val="20"/>
                <w:szCs w:val="20"/>
              </w:rPr>
            </w:pPr>
            <w:r w:rsidRPr="00B92499">
              <w:rPr>
                <w:rFonts w:ascii="Arial" w:hAnsi="Arial" w:cs="Arial"/>
                <w:color w:val="000000"/>
                <w:sz w:val="20"/>
                <w:szCs w:val="20"/>
              </w:rPr>
              <w:t>Indicadores que permitan rendir cuentas.</w:t>
            </w:r>
          </w:p>
        </w:tc>
        <w:tc>
          <w:tcPr>
            <w:tcW w:w="823" w:type="dxa"/>
            <w:tcBorders>
              <w:top w:val="nil"/>
              <w:left w:val="nil"/>
              <w:bottom w:val="single" w:sz="4" w:space="0" w:color="auto"/>
              <w:right w:val="single" w:sz="4" w:space="0" w:color="auto"/>
            </w:tcBorders>
            <w:shd w:val="clear" w:color="auto" w:fill="auto"/>
            <w:vAlign w:val="center"/>
            <w:hideMark/>
          </w:tcPr>
          <w:p w14:paraId="4B686FEB" w14:textId="77777777" w:rsidR="00BB78B7" w:rsidRPr="00B92499" w:rsidRDefault="00BB78B7" w:rsidP="00BB78B7">
            <w:pPr>
              <w:jc w:val="center"/>
              <w:rPr>
                <w:rFonts w:ascii="Arial" w:hAnsi="Arial" w:cs="Arial"/>
                <w:color w:val="000000"/>
                <w:sz w:val="20"/>
                <w:szCs w:val="20"/>
              </w:rPr>
            </w:pPr>
            <w:r w:rsidRPr="00B92499">
              <w:rPr>
                <w:rFonts w:ascii="Arial" w:hAnsi="Arial" w:cs="Arial"/>
                <w:color w:val="000000"/>
                <w:sz w:val="20"/>
                <w:szCs w:val="20"/>
              </w:rPr>
              <w:t xml:space="preserve">            94.82 </w:t>
            </w:r>
          </w:p>
        </w:tc>
      </w:tr>
      <w:tr w:rsidR="00BB78B7" w:rsidRPr="00B92499" w14:paraId="2D239986" w14:textId="77777777" w:rsidTr="00BB78B7">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011459F" w14:textId="77777777" w:rsidR="00BB78B7" w:rsidRPr="00B92499" w:rsidRDefault="00BB78B7" w:rsidP="00BB78B7">
            <w:pPr>
              <w:jc w:val="center"/>
              <w:rPr>
                <w:rFonts w:ascii="Arial" w:hAnsi="Arial" w:cs="Arial"/>
                <w:color w:val="000000"/>
                <w:sz w:val="20"/>
                <w:szCs w:val="20"/>
              </w:rPr>
            </w:pPr>
            <w:r w:rsidRPr="00B92499">
              <w:rPr>
                <w:rFonts w:ascii="Arial" w:hAnsi="Arial" w:cs="Arial"/>
                <w:color w:val="000000"/>
                <w:sz w:val="20"/>
                <w:szCs w:val="20"/>
              </w:rPr>
              <w:t>V</w:t>
            </w:r>
          </w:p>
        </w:tc>
        <w:tc>
          <w:tcPr>
            <w:tcW w:w="0" w:type="auto"/>
            <w:tcBorders>
              <w:top w:val="nil"/>
              <w:left w:val="nil"/>
              <w:bottom w:val="single" w:sz="4" w:space="0" w:color="auto"/>
              <w:right w:val="single" w:sz="4" w:space="0" w:color="auto"/>
            </w:tcBorders>
            <w:shd w:val="clear" w:color="auto" w:fill="auto"/>
            <w:vAlign w:val="center"/>
            <w:hideMark/>
          </w:tcPr>
          <w:p w14:paraId="71A8CB43" w14:textId="77777777" w:rsidR="00BB78B7" w:rsidRPr="00B92499" w:rsidRDefault="00BB78B7" w:rsidP="00BB78B7">
            <w:pPr>
              <w:rPr>
                <w:rFonts w:ascii="Arial" w:hAnsi="Arial" w:cs="Arial"/>
                <w:color w:val="000000"/>
                <w:sz w:val="20"/>
                <w:szCs w:val="20"/>
              </w:rPr>
            </w:pPr>
            <w:r w:rsidRPr="00B92499">
              <w:rPr>
                <w:rFonts w:ascii="Arial" w:hAnsi="Arial" w:cs="Arial"/>
                <w:color w:val="000000"/>
                <w:sz w:val="20"/>
                <w:szCs w:val="20"/>
              </w:rPr>
              <w:t>Indicadores de temas de interés público.</w:t>
            </w:r>
          </w:p>
        </w:tc>
        <w:tc>
          <w:tcPr>
            <w:tcW w:w="823" w:type="dxa"/>
            <w:tcBorders>
              <w:top w:val="nil"/>
              <w:left w:val="nil"/>
              <w:bottom w:val="single" w:sz="4" w:space="0" w:color="auto"/>
              <w:right w:val="single" w:sz="4" w:space="0" w:color="auto"/>
            </w:tcBorders>
            <w:shd w:val="clear" w:color="auto" w:fill="auto"/>
            <w:vAlign w:val="center"/>
            <w:hideMark/>
          </w:tcPr>
          <w:p w14:paraId="738AC139" w14:textId="77777777" w:rsidR="00BB78B7" w:rsidRPr="00B92499" w:rsidRDefault="00BB78B7" w:rsidP="00BB78B7">
            <w:pPr>
              <w:jc w:val="center"/>
              <w:rPr>
                <w:rFonts w:ascii="Arial" w:hAnsi="Arial" w:cs="Arial"/>
                <w:color w:val="000000"/>
                <w:sz w:val="20"/>
                <w:szCs w:val="20"/>
              </w:rPr>
            </w:pPr>
            <w:r w:rsidRPr="00B92499">
              <w:rPr>
                <w:rFonts w:ascii="Arial" w:hAnsi="Arial" w:cs="Arial"/>
                <w:color w:val="000000"/>
                <w:sz w:val="20"/>
                <w:szCs w:val="20"/>
              </w:rPr>
              <w:t xml:space="preserve">            94.71 </w:t>
            </w:r>
          </w:p>
        </w:tc>
      </w:tr>
      <w:tr w:rsidR="00BB78B7" w:rsidRPr="00B92499" w14:paraId="2749EC47" w14:textId="77777777" w:rsidTr="00BB78B7">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9C58039" w14:textId="77777777" w:rsidR="00BB78B7" w:rsidRPr="00B92499" w:rsidRDefault="00BB78B7" w:rsidP="00BB78B7">
            <w:pPr>
              <w:jc w:val="center"/>
              <w:rPr>
                <w:rFonts w:ascii="Arial" w:hAnsi="Arial" w:cs="Arial"/>
                <w:color w:val="000000"/>
                <w:sz w:val="20"/>
                <w:szCs w:val="20"/>
              </w:rPr>
            </w:pPr>
            <w:r w:rsidRPr="00B92499">
              <w:rPr>
                <w:rFonts w:ascii="Arial" w:hAnsi="Arial" w:cs="Arial"/>
                <w:color w:val="000000"/>
                <w:sz w:val="20"/>
                <w:szCs w:val="20"/>
              </w:rPr>
              <w:lastRenderedPageBreak/>
              <w:t>XXXVII</w:t>
            </w:r>
          </w:p>
        </w:tc>
        <w:tc>
          <w:tcPr>
            <w:tcW w:w="0" w:type="auto"/>
            <w:tcBorders>
              <w:top w:val="nil"/>
              <w:left w:val="nil"/>
              <w:bottom w:val="single" w:sz="4" w:space="0" w:color="auto"/>
              <w:right w:val="single" w:sz="4" w:space="0" w:color="auto"/>
            </w:tcBorders>
            <w:shd w:val="clear" w:color="auto" w:fill="auto"/>
            <w:vAlign w:val="center"/>
            <w:hideMark/>
          </w:tcPr>
          <w:p w14:paraId="38D4DCAE" w14:textId="0243E4A4" w:rsidR="00BB78B7" w:rsidRPr="00B92499" w:rsidRDefault="00BB78B7" w:rsidP="00BB78B7">
            <w:pPr>
              <w:rPr>
                <w:rFonts w:ascii="Arial" w:hAnsi="Arial" w:cs="Arial"/>
                <w:color w:val="000000"/>
                <w:sz w:val="20"/>
                <w:szCs w:val="20"/>
              </w:rPr>
            </w:pPr>
            <w:r w:rsidRPr="00B92499">
              <w:rPr>
                <w:rFonts w:ascii="Arial" w:hAnsi="Arial" w:cs="Arial"/>
                <w:color w:val="000000"/>
                <w:sz w:val="20"/>
                <w:szCs w:val="20"/>
              </w:rPr>
              <w:t xml:space="preserve">Relación del número de recomendaciones emitidas al </w:t>
            </w:r>
            <w:r w:rsidR="008710F6" w:rsidRPr="00B92499">
              <w:rPr>
                <w:rFonts w:ascii="Arial" w:hAnsi="Arial" w:cs="Arial"/>
                <w:color w:val="000000"/>
                <w:sz w:val="20"/>
                <w:szCs w:val="20"/>
              </w:rPr>
              <w:t>sujeto obligado</w:t>
            </w:r>
            <w:r w:rsidRPr="00B92499">
              <w:rPr>
                <w:rFonts w:ascii="Arial" w:hAnsi="Arial" w:cs="Arial"/>
                <w:color w:val="000000"/>
                <w:sz w:val="20"/>
                <w:szCs w:val="20"/>
              </w:rPr>
              <w:t xml:space="preserve"> la CDHCDMX.</w:t>
            </w:r>
          </w:p>
        </w:tc>
        <w:tc>
          <w:tcPr>
            <w:tcW w:w="823" w:type="dxa"/>
            <w:tcBorders>
              <w:top w:val="nil"/>
              <w:left w:val="nil"/>
              <w:bottom w:val="single" w:sz="4" w:space="0" w:color="auto"/>
              <w:right w:val="single" w:sz="4" w:space="0" w:color="auto"/>
            </w:tcBorders>
            <w:shd w:val="clear" w:color="auto" w:fill="auto"/>
            <w:vAlign w:val="center"/>
            <w:hideMark/>
          </w:tcPr>
          <w:p w14:paraId="5922CE1C" w14:textId="77777777" w:rsidR="00BB78B7" w:rsidRPr="00B92499" w:rsidRDefault="00BB78B7" w:rsidP="00BB78B7">
            <w:pPr>
              <w:jc w:val="center"/>
              <w:rPr>
                <w:rFonts w:ascii="Arial" w:hAnsi="Arial" w:cs="Arial"/>
                <w:color w:val="000000"/>
                <w:sz w:val="20"/>
                <w:szCs w:val="20"/>
              </w:rPr>
            </w:pPr>
            <w:r w:rsidRPr="00B92499">
              <w:rPr>
                <w:rFonts w:ascii="Arial" w:hAnsi="Arial" w:cs="Arial"/>
                <w:color w:val="000000"/>
                <w:sz w:val="20"/>
                <w:szCs w:val="20"/>
              </w:rPr>
              <w:t xml:space="preserve">            94.32 </w:t>
            </w:r>
          </w:p>
        </w:tc>
      </w:tr>
      <w:tr w:rsidR="00BB78B7" w:rsidRPr="00B92499" w14:paraId="038849C7" w14:textId="77777777" w:rsidTr="00BB78B7">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9FA2D0B" w14:textId="77777777" w:rsidR="00BB78B7" w:rsidRPr="00B92499" w:rsidRDefault="00BB78B7" w:rsidP="00BB78B7">
            <w:pPr>
              <w:jc w:val="center"/>
              <w:rPr>
                <w:rFonts w:ascii="Arial" w:hAnsi="Arial" w:cs="Arial"/>
                <w:color w:val="000000"/>
                <w:sz w:val="20"/>
                <w:szCs w:val="20"/>
              </w:rPr>
            </w:pPr>
            <w:r w:rsidRPr="00B92499">
              <w:rPr>
                <w:rFonts w:ascii="Arial" w:hAnsi="Arial" w:cs="Arial"/>
                <w:color w:val="000000"/>
                <w:sz w:val="20"/>
                <w:szCs w:val="20"/>
              </w:rPr>
              <w:t>XVIII</w:t>
            </w:r>
          </w:p>
        </w:tc>
        <w:tc>
          <w:tcPr>
            <w:tcW w:w="0" w:type="auto"/>
            <w:tcBorders>
              <w:top w:val="nil"/>
              <w:left w:val="nil"/>
              <w:bottom w:val="single" w:sz="4" w:space="0" w:color="auto"/>
              <w:right w:val="single" w:sz="4" w:space="0" w:color="auto"/>
            </w:tcBorders>
            <w:shd w:val="clear" w:color="auto" w:fill="auto"/>
            <w:vAlign w:val="center"/>
            <w:hideMark/>
          </w:tcPr>
          <w:p w14:paraId="6D9EE33F" w14:textId="77777777" w:rsidR="00BB78B7" w:rsidRPr="00B92499" w:rsidRDefault="00BB78B7" w:rsidP="00BB78B7">
            <w:pPr>
              <w:rPr>
                <w:rFonts w:ascii="Arial" w:hAnsi="Arial" w:cs="Arial"/>
                <w:color w:val="000000"/>
                <w:sz w:val="20"/>
                <w:szCs w:val="20"/>
              </w:rPr>
            </w:pPr>
            <w:r w:rsidRPr="00B92499">
              <w:rPr>
                <w:rFonts w:ascii="Arial" w:hAnsi="Arial" w:cs="Arial"/>
                <w:color w:val="000000"/>
                <w:sz w:val="20"/>
                <w:szCs w:val="20"/>
              </w:rPr>
              <w:t>Servidores públicos con sanciones administrativas.</w:t>
            </w:r>
          </w:p>
        </w:tc>
        <w:tc>
          <w:tcPr>
            <w:tcW w:w="823" w:type="dxa"/>
            <w:tcBorders>
              <w:top w:val="nil"/>
              <w:left w:val="nil"/>
              <w:bottom w:val="single" w:sz="4" w:space="0" w:color="auto"/>
              <w:right w:val="single" w:sz="4" w:space="0" w:color="auto"/>
            </w:tcBorders>
            <w:shd w:val="clear" w:color="auto" w:fill="auto"/>
            <w:vAlign w:val="center"/>
            <w:hideMark/>
          </w:tcPr>
          <w:p w14:paraId="0380E971" w14:textId="77777777" w:rsidR="00BB78B7" w:rsidRPr="00B92499" w:rsidRDefault="00BB78B7" w:rsidP="00BB78B7">
            <w:pPr>
              <w:jc w:val="center"/>
              <w:rPr>
                <w:rFonts w:ascii="Arial" w:hAnsi="Arial" w:cs="Arial"/>
                <w:color w:val="000000"/>
                <w:sz w:val="20"/>
                <w:szCs w:val="20"/>
              </w:rPr>
            </w:pPr>
            <w:r w:rsidRPr="00B92499">
              <w:rPr>
                <w:rFonts w:ascii="Arial" w:hAnsi="Arial" w:cs="Arial"/>
                <w:color w:val="000000"/>
                <w:sz w:val="20"/>
                <w:szCs w:val="20"/>
              </w:rPr>
              <w:t xml:space="preserve">            94.27 </w:t>
            </w:r>
          </w:p>
        </w:tc>
      </w:tr>
      <w:tr w:rsidR="00BB78B7" w:rsidRPr="00B92499" w14:paraId="7A9741FB" w14:textId="77777777" w:rsidTr="00BB78B7">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E8313D6" w14:textId="77777777" w:rsidR="00BB78B7" w:rsidRPr="00B92499" w:rsidRDefault="00BB78B7" w:rsidP="00BB78B7">
            <w:pPr>
              <w:jc w:val="center"/>
              <w:rPr>
                <w:rFonts w:ascii="Arial" w:hAnsi="Arial" w:cs="Arial"/>
                <w:color w:val="000000"/>
                <w:sz w:val="20"/>
                <w:szCs w:val="20"/>
              </w:rPr>
            </w:pPr>
            <w:r w:rsidRPr="00B92499">
              <w:rPr>
                <w:rFonts w:ascii="Arial" w:hAnsi="Arial" w:cs="Arial"/>
                <w:color w:val="000000"/>
                <w:sz w:val="20"/>
                <w:szCs w:val="20"/>
              </w:rPr>
              <w:t>VII</w:t>
            </w:r>
          </w:p>
        </w:tc>
        <w:tc>
          <w:tcPr>
            <w:tcW w:w="0" w:type="auto"/>
            <w:tcBorders>
              <w:top w:val="nil"/>
              <w:left w:val="nil"/>
              <w:bottom w:val="single" w:sz="4" w:space="0" w:color="auto"/>
              <w:right w:val="single" w:sz="4" w:space="0" w:color="auto"/>
            </w:tcBorders>
            <w:shd w:val="clear" w:color="auto" w:fill="auto"/>
            <w:vAlign w:val="center"/>
            <w:hideMark/>
          </w:tcPr>
          <w:p w14:paraId="259CC997" w14:textId="26744A34" w:rsidR="00BB78B7" w:rsidRPr="00B92499" w:rsidRDefault="00BB78B7" w:rsidP="00BB78B7">
            <w:pPr>
              <w:rPr>
                <w:rFonts w:ascii="Arial" w:hAnsi="Arial" w:cs="Arial"/>
                <w:color w:val="000000"/>
                <w:sz w:val="20"/>
                <w:szCs w:val="20"/>
              </w:rPr>
            </w:pPr>
            <w:r w:rsidRPr="00B92499">
              <w:rPr>
                <w:rFonts w:ascii="Arial" w:hAnsi="Arial" w:cs="Arial"/>
                <w:color w:val="000000"/>
                <w:sz w:val="20"/>
                <w:szCs w:val="20"/>
              </w:rPr>
              <w:t xml:space="preserve">Indicadores de </w:t>
            </w:r>
            <w:r w:rsidR="00C7683E" w:rsidRPr="00B92499">
              <w:rPr>
                <w:rFonts w:ascii="Arial" w:hAnsi="Arial" w:cs="Arial"/>
                <w:color w:val="000000"/>
                <w:sz w:val="20"/>
                <w:szCs w:val="20"/>
              </w:rPr>
              <w:t>gestión.</w:t>
            </w:r>
          </w:p>
        </w:tc>
        <w:tc>
          <w:tcPr>
            <w:tcW w:w="823" w:type="dxa"/>
            <w:tcBorders>
              <w:top w:val="nil"/>
              <w:left w:val="nil"/>
              <w:bottom w:val="single" w:sz="4" w:space="0" w:color="auto"/>
              <w:right w:val="single" w:sz="4" w:space="0" w:color="auto"/>
            </w:tcBorders>
            <w:shd w:val="clear" w:color="auto" w:fill="auto"/>
            <w:vAlign w:val="center"/>
            <w:hideMark/>
          </w:tcPr>
          <w:p w14:paraId="0AEE7F53" w14:textId="77777777" w:rsidR="00BB78B7" w:rsidRPr="00B92499" w:rsidRDefault="00BB78B7" w:rsidP="00BB78B7">
            <w:pPr>
              <w:jc w:val="center"/>
              <w:rPr>
                <w:rFonts w:ascii="Arial" w:hAnsi="Arial" w:cs="Arial"/>
                <w:color w:val="000000"/>
                <w:sz w:val="20"/>
                <w:szCs w:val="20"/>
              </w:rPr>
            </w:pPr>
            <w:r w:rsidRPr="00B92499">
              <w:rPr>
                <w:rFonts w:ascii="Arial" w:hAnsi="Arial" w:cs="Arial"/>
                <w:color w:val="000000"/>
                <w:sz w:val="20"/>
                <w:szCs w:val="20"/>
              </w:rPr>
              <w:t xml:space="preserve">            94.26 </w:t>
            </w:r>
          </w:p>
        </w:tc>
      </w:tr>
      <w:tr w:rsidR="00BB78B7" w:rsidRPr="00B92499" w14:paraId="34EB9643" w14:textId="77777777" w:rsidTr="00BB78B7">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7CB282E" w14:textId="77777777" w:rsidR="00BB78B7" w:rsidRPr="00B92499" w:rsidRDefault="00BB78B7" w:rsidP="00BB78B7">
            <w:pPr>
              <w:jc w:val="center"/>
              <w:rPr>
                <w:rFonts w:ascii="Arial" w:hAnsi="Arial" w:cs="Arial"/>
                <w:color w:val="000000"/>
                <w:sz w:val="20"/>
                <w:szCs w:val="20"/>
              </w:rPr>
            </w:pPr>
            <w:r w:rsidRPr="00B92499">
              <w:rPr>
                <w:rFonts w:ascii="Arial" w:hAnsi="Arial" w:cs="Arial"/>
                <w:color w:val="000000"/>
                <w:sz w:val="20"/>
                <w:szCs w:val="20"/>
              </w:rPr>
              <w:t>XIV</w:t>
            </w:r>
          </w:p>
        </w:tc>
        <w:tc>
          <w:tcPr>
            <w:tcW w:w="0" w:type="auto"/>
            <w:tcBorders>
              <w:top w:val="nil"/>
              <w:left w:val="nil"/>
              <w:bottom w:val="single" w:sz="4" w:space="0" w:color="auto"/>
              <w:right w:val="single" w:sz="4" w:space="0" w:color="auto"/>
            </w:tcBorders>
            <w:shd w:val="clear" w:color="auto" w:fill="auto"/>
            <w:vAlign w:val="center"/>
            <w:hideMark/>
          </w:tcPr>
          <w:p w14:paraId="67D13910" w14:textId="77777777" w:rsidR="00BB78B7" w:rsidRPr="00B92499" w:rsidRDefault="00BB78B7" w:rsidP="00BB78B7">
            <w:pPr>
              <w:rPr>
                <w:rFonts w:ascii="Arial" w:hAnsi="Arial" w:cs="Arial"/>
                <w:color w:val="000000"/>
                <w:sz w:val="20"/>
                <w:szCs w:val="20"/>
              </w:rPr>
            </w:pPr>
            <w:r w:rsidRPr="00B92499">
              <w:rPr>
                <w:rFonts w:ascii="Arial" w:hAnsi="Arial" w:cs="Arial"/>
                <w:color w:val="000000"/>
                <w:sz w:val="20"/>
                <w:szCs w:val="20"/>
              </w:rPr>
              <w:t>Domicilio de la Unidad de Transparencia.</w:t>
            </w:r>
          </w:p>
        </w:tc>
        <w:tc>
          <w:tcPr>
            <w:tcW w:w="823" w:type="dxa"/>
            <w:tcBorders>
              <w:top w:val="nil"/>
              <w:left w:val="nil"/>
              <w:bottom w:val="single" w:sz="4" w:space="0" w:color="auto"/>
              <w:right w:val="single" w:sz="4" w:space="0" w:color="auto"/>
            </w:tcBorders>
            <w:shd w:val="clear" w:color="auto" w:fill="auto"/>
            <w:vAlign w:val="center"/>
            <w:hideMark/>
          </w:tcPr>
          <w:p w14:paraId="6086F82C" w14:textId="77777777" w:rsidR="00BB78B7" w:rsidRPr="00B92499" w:rsidRDefault="00BB78B7" w:rsidP="00BB78B7">
            <w:pPr>
              <w:jc w:val="center"/>
              <w:rPr>
                <w:rFonts w:ascii="Arial" w:hAnsi="Arial" w:cs="Arial"/>
                <w:color w:val="000000"/>
                <w:sz w:val="20"/>
                <w:szCs w:val="20"/>
              </w:rPr>
            </w:pPr>
            <w:r w:rsidRPr="00B92499">
              <w:rPr>
                <w:rFonts w:ascii="Arial" w:hAnsi="Arial" w:cs="Arial"/>
                <w:color w:val="000000"/>
                <w:sz w:val="20"/>
                <w:szCs w:val="20"/>
              </w:rPr>
              <w:t xml:space="preserve">            93.75 </w:t>
            </w:r>
          </w:p>
        </w:tc>
      </w:tr>
      <w:tr w:rsidR="00BB78B7" w:rsidRPr="00B92499" w14:paraId="513F6036" w14:textId="77777777" w:rsidTr="00BB78B7">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CF05FDB" w14:textId="77777777" w:rsidR="00BB78B7" w:rsidRPr="00B92499" w:rsidRDefault="00BB78B7" w:rsidP="00BB78B7">
            <w:pPr>
              <w:jc w:val="center"/>
              <w:rPr>
                <w:rFonts w:ascii="Arial" w:hAnsi="Arial" w:cs="Arial"/>
                <w:color w:val="000000"/>
                <w:sz w:val="20"/>
                <w:szCs w:val="20"/>
              </w:rPr>
            </w:pPr>
            <w:r w:rsidRPr="00B92499">
              <w:rPr>
                <w:rFonts w:ascii="Arial" w:hAnsi="Arial" w:cs="Arial"/>
                <w:color w:val="000000"/>
                <w:sz w:val="20"/>
                <w:szCs w:val="20"/>
              </w:rPr>
              <w:t>XLVIII</w:t>
            </w:r>
          </w:p>
        </w:tc>
        <w:tc>
          <w:tcPr>
            <w:tcW w:w="0" w:type="auto"/>
            <w:tcBorders>
              <w:top w:val="nil"/>
              <w:left w:val="nil"/>
              <w:bottom w:val="single" w:sz="4" w:space="0" w:color="auto"/>
              <w:right w:val="single" w:sz="4" w:space="0" w:color="auto"/>
            </w:tcBorders>
            <w:shd w:val="clear" w:color="auto" w:fill="auto"/>
            <w:vAlign w:val="center"/>
            <w:hideMark/>
          </w:tcPr>
          <w:p w14:paraId="3C9A3464" w14:textId="77777777" w:rsidR="00BB78B7" w:rsidRPr="00B92499" w:rsidRDefault="00BB78B7" w:rsidP="00BB78B7">
            <w:pPr>
              <w:rPr>
                <w:rFonts w:ascii="Arial" w:hAnsi="Arial" w:cs="Arial"/>
                <w:color w:val="000000"/>
                <w:sz w:val="20"/>
                <w:szCs w:val="20"/>
              </w:rPr>
            </w:pPr>
            <w:r w:rsidRPr="00B92499">
              <w:rPr>
                <w:rFonts w:ascii="Arial" w:hAnsi="Arial" w:cs="Arial"/>
                <w:color w:val="000000"/>
                <w:sz w:val="20"/>
                <w:szCs w:val="20"/>
              </w:rPr>
              <w:t xml:space="preserve">Donaciones en dinero o especie hechas por terceros. </w:t>
            </w:r>
          </w:p>
        </w:tc>
        <w:tc>
          <w:tcPr>
            <w:tcW w:w="823" w:type="dxa"/>
            <w:tcBorders>
              <w:top w:val="nil"/>
              <w:left w:val="nil"/>
              <w:bottom w:val="single" w:sz="4" w:space="0" w:color="auto"/>
              <w:right w:val="single" w:sz="4" w:space="0" w:color="auto"/>
            </w:tcBorders>
            <w:shd w:val="clear" w:color="auto" w:fill="auto"/>
            <w:vAlign w:val="center"/>
            <w:hideMark/>
          </w:tcPr>
          <w:p w14:paraId="02D8C662" w14:textId="77777777" w:rsidR="00BB78B7" w:rsidRPr="00B92499" w:rsidRDefault="00BB78B7" w:rsidP="00BB78B7">
            <w:pPr>
              <w:jc w:val="center"/>
              <w:rPr>
                <w:rFonts w:ascii="Arial" w:hAnsi="Arial" w:cs="Arial"/>
                <w:color w:val="000000"/>
                <w:sz w:val="20"/>
                <w:szCs w:val="20"/>
              </w:rPr>
            </w:pPr>
            <w:r w:rsidRPr="00B92499">
              <w:rPr>
                <w:rFonts w:ascii="Arial" w:hAnsi="Arial" w:cs="Arial"/>
                <w:color w:val="000000"/>
                <w:sz w:val="20"/>
                <w:szCs w:val="20"/>
              </w:rPr>
              <w:t xml:space="preserve">            93.75 </w:t>
            </w:r>
          </w:p>
        </w:tc>
      </w:tr>
      <w:tr w:rsidR="00BB78B7" w:rsidRPr="00B92499" w14:paraId="747F78FE" w14:textId="77777777" w:rsidTr="00BB78B7">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75AE3D2" w14:textId="77777777" w:rsidR="00BB78B7" w:rsidRPr="00B92499" w:rsidRDefault="00BB78B7" w:rsidP="00BB78B7">
            <w:pPr>
              <w:jc w:val="center"/>
              <w:rPr>
                <w:rFonts w:ascii="Arial" w:hAnsi="Arial" w:cs="Arial"/>
                <w:color w:val="000000"/>
                <w:sz w:val="20"/>
                <w:szCs w:val="20"/>
              </w:rPr>
            </w:pPr>
            <w:r w:rsidRPr="00B92499">
              <w:rPr>
                <w:rFonts w:ascii="Arial" w:hAnsi="Arial" w:cs="Arial"/>
                <w:color w:val="000000"/>
                <w:sz w:val="20"/>
                <w:szCs w:val="20"/>
              </w:rPr>
              <w:t>LII</w:t>
            </w:r>
          </w:p>
        </w:tc>
        <w:tc>
          <w:tcPr>
            <w:tcW w:w="0" w:type="auto"/>
            <w:tcBorders>
              <w:top w:val="nil"/>
              <w:left w:val="nil"/>
              <w:bottom w:val="single" w:sz="4" w:space="0" w:color="auto"/>
              <w:right w:val="single" w:sz="4" w:space="0" w:color="auto"/>
            </w:tcBorders>
            <w:shd w:val="clear" w:color="auto" w:fill="auto"/>
            <w:vAlign w:val="center"/>
            <w:hideMark/>
          </w:tcPr>
          <w:p w14:paraId="44E29E7E" w14:textId="77777777" w:rsidR="00BB78B7" w:rsidRPr="00B92499" w:rsidRDefault="00BB78B7" w:rsidP="00BB78B7">
            <w:pPr>
              <w:rPr>
                <w:rFonts w:ascii="Arial" w:hAnsi="Arial" w:cs="Arial"/>
                <w:color w:val="000000"/>
                <w:sz w:val="20"/>
                <w:szCs w:val="20"/>
              </w:rPr>
            </w:pPr>
            <w:r w:rsidRPr="00B92499">
              <w:rPr>
                <w:rFonts w:ascii="Arial" w:hAnsi="Arial" w:cs="Arial"/>
                <w:color w:val="000000"/>
                <w:sz w:val="20"/>
                <w:szCs w:val="20"/>
              </w:rPr>
              <w:t xml:space="preserve">Cualquier otra información que sea de utilidad o se considere relevante. </w:t>
            </w:r>
          </w:p>
        </w:tc>
        <w:tc>
          <w:tcPr>
            <w:tcW w:w="823" w:type="dxa"/>
            <w:tcBorders>
              <w:top w:val="nil"/>
              <w:left w:val="nil"/>
              <w:bottom w:val="single" w:sz="4" w:space="0" w:color="auto"/>
              <w:right w:val="single" w:sz="4" w:space="0" w:color="auto"/>
            </w:tcBorders>
            <w:shd w:val="clear" w:color="auto" w:fill="auto"/>
            <w:vAlign w:val="center"/>
            <w:hideMark/>
          </w:tcPr>
          <w:p w14:paraId="44E7323F" w14:textId="77777777" w:rsidR="00BB78B7" w:rsidRPr="00B92499" w:rsidRDefault="00BB78B7" w:rsidP="00BB78B7">
            <w:pPr>
              <w:jc w:val="center"/>
              <w:rPr>
                <w:rFonts w:ascii="Arial" w:hAnsi="Arial" w:cs="Arial"/>
                <w:color w:val="000000"/>
                <w:sz w:val="20"/>
                <w:szCs w:val="20"/>
              </w:rPr>
            </w:pPr>
            <w:r w:rsidRPr="00B92499">
              <w:rPr>
                <w:rFonts w:ascii="Arial" w:hAnsi="Arial" w:cs="Arial"/>
                <w:color w:val="000000"/>
                <w:sz w:val="20"/>
                <w:szCs w:val="20"/>
              </w:rPr>
              <w:t xml:space="preserve">            93.10 </w:t>
            </w:r>
          </w:p>
        </w:tc>
      </w:tr>
      <w:tr w:rsidR="00BB78B7" w:rsidRPr="00B92499" w14:paraId="50AFCE79" w14:textId="77777777" w:rsidTr="00BB78B7">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951ADDF" w14:textId="77777777" w:rsidR="00BB78B7" w:rsidRPr="00B92499" w:rsidRDefault="00BB78B7" w:rsidP="00BB78B7">
            <w:pPr>
              <w:jc w:val="center"/>
              <w:rPr>
                <w:rFonts w:ascii="Arial" w:hAnsi="Arial" w:cs="Arial"/>
                <w:color w:val="000000"/>
                <w:sz w:val="20"/>
                <w:szCs w:val="20"/>
              </w:rPr>
            </w:pPr>
            <w:r w:rsidRPr="00B92499">
              <w:rPr>
                <w:rFonts w:ascii="Arial" w:hAnsi="Arial" w:cs="Arial"/>
                <w:color w:val="000000"/>
                <w:sz w:val="20"/>
                <w:szCs w:val="20"/>
              </w:rPr>
              <w:t>IV</w:t>
            </w:r>
          </w:p>
        </w:tc>
        <w:tc>
          <w:tcPr>
            <w:tcW w:w="0" w:type="auto"/>
            <w:tcBorders>
              <w:top w:val="nil"/>
              <w:left w:val="nil"/>
              <w:bottom w:val="single" w:sz="4" w:space="0" w:color="auto"/>
              <w:right w:val="single" w:sz="4" w:space="0" w:color="auto"/>
            </w:tcBorders>
            <w:shd w:val="clear" w:color="auto" w:fill="auto"/>
            <w:vAlign w:val="center"/>
            <w:hideMark/>
          </w:tcPr>
          <w:p w14:paraId="2D8818C2" w14:textId="77777777" w:rsidR="00BB78B7" w:rsidRPr="00B92499" w:rsidRDefault="00BB78B7" w:rsidP="00BB78B7">
            <w:pPr>
              <w:rPr>
                <w:rFonts w:ascii="Arial" w:hAnsi="Arial" w:cs="Arial"/>
                <w:color w:val="000000"/>
                <w:sz w:val="20"/>
                <w:szCs w:val="20"/>
              </w:rPr>
            </w:pPr>
            <w:r w:rsidRPr="00B92499">
              <w:rPr>
                <w:rFonts w:ascii="Arial" w:hAnsi="Arial" w:cs="Arial"/>
                <w:color w:val="000000"/>
                <w:sz w:val="20"/>
                <w:szCs w:val="20"/>
              </w:rPr>
              <w:t xml:space="preserve">Metas y objetivos de la Dirección. </w:t>
            </w:r>
          </w:p>
        </w:tc>
        <w:tc>
          <w:tcPr>
            <w:tcW w:w="823" w:type="dxa"/>
            <w:tcBorders>
              <w:top w:val="nil"/>
              <w:left w:val="nil"/>
              <w:bottom w:val="single" w:sz="4" w:space="0" w:color="auto"/>
              <w:right w:val="single" w:sz="4" w:space="0" w:color="auto"/>
            </w:tcBorders>
            <w:shd w:val="clear" w:color="auto" w:fill="auto"/>
            <w:vAlign w:val="center"/>
            <w:hideMark/>
          </w:tcPr>
          <w:p w14:paraId="592A8EA9" w14:textId="77777777" w:rsidR="00BB78B7" w:rsidRPr="00B92499" w:rsidRDefault="00BB78B7" w:rsidP="00BB78B7">
            <w:pPr>
              <w:jc w:val="center"/>
              <w:rPr>
                <w:rFonts w:ascii="Arial" w:hAnsi="Arial" w:cs="Arial"/>
                <w:color w:val="000000"/>
                <w:sz w:val="20"/>
                <w:szCs w:val="20"/>
              </w:rPr>
            </w:pPr>
            <w:r w:rsidRPr="00B92499">
              <w:rPr>
                <w:rFonts w:ascii="Arial" w:hAnsi="Arial" w:cs="Arial"/>
                <w:color w:val="000000"/>
                <w:sz w:val="20"/>
                <w:szCs w:val="20"/>
              </w:rPr>
              <w:t xml:space="preserve">            93.01 </w:t>
            </w:r>
          </w:p>
        </w:tc>
      </w:tr>
      <w:tr w:rsidR="00BB78B7" w:rsidRPr="00B92499" w14:paraId="3F1E0808" w14:textId="77777777" w:rsidTr="00BB78B7">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390D313" w14:textId="77777777" w:rsidR="00BB78B7" w:rsidRPr="00B92499" w:rsidRDefault="00BB78B7" w:rsidP="00BB78B7">
            <w:pPr>
              <w:jc w:val="center"/>
              <w:rPr>
                <w:rFonts w:ascii="Arial" w:hAnsi="Arial" w:cs="Arial"/>
                <w:color w:val="000000"/>
                <w:sz w:val="20"/>
                <w:szCs w:val="20"/>
              </w:rPr>
            </w:pPr>
            <w:r w:rsidRPr="00B92499">
              <w:rPr>
                <w:rFonts w:ascii="Arial" w:hAnsi="Arial" w:cs="Arial"/>
                <w:color w:val="000000"/>
                <w:sz w:val="20"/>
                <w:szCs w:val="20"/>
              </w:rPr>
              <w:t>XLIII</w:t>
            </w:r>
          </w:p>
        </w:tc>
        <w:tc>
          <w:tcPr>
            <w:tcW w:w="0" w:type="auto"/>
            <w:tcBorders>
              <w:top w:val="nil"/>
              <w:left w:val="nil"/>
              <w:bottom w:val="single" w:sz="4" w:space="0" w:color="auto"/>
              <w:right w:val="single" w:sz="4" w:space="0" w:color="auto"/>
            </w:tcBorders>
            <w:shd w:val="clear" w:color="auto" w:fill="auto"/>
            <w:vAlign w:val="center"/>
            <w:hideMark/>
          </w:tcPr>
          <w:p w14:paraId="65FE2E95" w14:textId="77777777" w:rsidR="00BB78B7" w:rsidRPr="00B92499" w:rsidRDefault="00BB78B7" w:rsidP="00BB78B7">
            <w:pPr>
              <w:rPr>
                <w:rFonts w:ascii="Arial" w:hAnsi="Arial" w:cs="Arial"/>
                <w:color w:val="000000"/>
                <w:sz w:val="20"/>
                <w:szCs w:val="20"/>
              </w:rPr>
            </w:pPr>
            <w:r w:rsidRPr="00B92499">
              <w:rPr>
                <w:rFonts w:ascii="Arial" w:hAnsi="Arial" w:cs="Arial"/>
                <w:color w:val="000000"/>
                <w:sz w:val="20"/>
                <w:szCs w:val="20"/>
              </w:rPr>
              <w:t>Actas y Resoluciones del Comité de Transparencia.</w:t>
            </w:r>
          </w:p>
        </w:tc>
        <w:tc>
          <w:tcPr>
            <w:tcW w:w="823" w:type="dxa"/>
            <w:tcBorders>
              <w:top w:val="nil"/>
              <w:left w:val="nil"/>
              <w:bottom w:val="single" w:sz="4" w:space="0" w:color="auto"/>
              <w:right w:val="single" w:sz="4" w:space="0" w:color="auto"/>
            </w:tcBorders>
            <w:shd w:val="clear" w:color="auto" w:fill="auto"/>
            <w:vAlign w:val="center"/>
            <w:hideMark/>
          </w:tcPr>
          <w:p w14:paraId="634DEA2F" w14:textId="77777777" w:rsidR="00BB78B7" w:rsidRPr="00B92499" w:rsidRDefault="00BB78B7" w:rsidP="00BB78B7">
            <w:pPr>
              <w:jc w:val="center"/>
              <w:rPr>
                <w:rFonts w:ascii="Arial" w:hAnsi="Arial" w:cs="Arial"/>
                <w:color w:val="000000"/>
                <w:sz w:val="20"/>
                <w:szCs w:val="20"/>
              </w:rPr>
            </w:pPr>
            <w:r w:rsidRPr="00B92499">
              <w:rPr>
                <w:rFonts w:ascii="Arial" w:hAnsi="Arial" w:cs="Arial"/>
                <w:color w:val="000000"/>
                <w:sz w:val="20"/>
                <w:szCs w:val="20"/>
              </w:rPr>
              <w:t xml:space="preserve">            92.78 </w:t>
            </w:r>
          </w:p>
        </w:tc>
      </w:tr>
      <w:tr w:rsidR="00BB78B7" w:rsidRPr="00B92499" w14:paraId="639CB2B4" w14:textId="77777777" w:rsidTr="00BB78B7">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E26F784" w14:textId="77777777" w:rsidR="00BB78B7" w:rsidRPr="00B92499" w:rsidRDefault="00BB78B7" w:rsidP="00BB78B7">
            <w:pPr>
              <w:jc w:val="center"/>
              <w:rPr>
                <w:rFonts w:ascii="Arial" w:hAnsi="Arial" w:cs="Arial"/>
                <w:color w:val="000000"/>
                <w:sz w:val="20"/>
                <w:szCs w:val="20"/>
              </w:rPr>
            </w:pPr>
            <w:r w:rsidRPr="00B92499">
              <w:rPr>
                <w:rFonts w:ascii="Arial" w:hAnsi="Arial" w:cs="Arial"/>
                <w:color w:val="000000"/>
                <w:sz w:val="20"/>
                <w:szCs w:val="20"/>
              </w:rPr>
              <w:t>I</w:t>
            </w:r>
          </w:p>
        </w:tc>
        <w:tc>
          <w:tcPr>
            <w:tcW w:w="0" w:type="auto"/>
            <w:tcBorders>
              <w:top w:val="nil"/>
              <w:left w:val="nil"/>
              <w:bottom w:val="single" w:sz="4" w:space="0" w:color="auto"/>
              <w:right w:val="single" w:sz="4" w:space="0" w:color="auto"/>
            </w:tcBorders>
            <w:shd w:val="clear" w:color="auto" w:fill="auto"/>
            <w:vAlign w:val="center"/>
            <w:hideMark/>
          </w:tcPr>
          <w:p w14:paraId="37F27046" w14:textId="77777777" w:rsidR="00BB78B7" w:rsidRPr="00B92499" w:rsidRDefault="00BB78B7" w:rsidP="00BB78B7">
            <w:pPr>
              <w:rPr>
                <w:rFonts w:ascii="Arial" w:hAnsi="Arial" w:cs="Arial"/>
                <w:color w:val="000000"/>
                <w:sz w:val="20"/>
                <w:szCs w:val="20"/>
              </w:rPr>
            </w:pPr>
            <w:r w:rsidRPr="00B92499">
              <w:rPr>
                <w:rFonts w:ascii="Arial" w:hAnsi="Arial" w:cs="Arial"/>
                <w:color w:val="000000"/>
                <w:sz w:val="20"/>
                <w:szCs w:val="20"/>
              </w:rPr>
              <w:t>Marco Normativo.</w:t>
            </w:r>
          </w:p>
        </w:tc>
        <w:tc>
          <w:tcPr>
            <w:tcW w:w="823" w:type="dxa"/>
            <w:tcBorders>
              <w:top w:val="nil"/>
              <w:left w:val="nil"/>
              <w:bottom w:val="single" w:sz="4" w:space="0" w:color="auto"/>
              <w:right w:val="single" w:sz="4" w:space="0" w:color="auto"/>
            </w:tcBorders>
            <w:shd w:val="clear" w:color="auto" w:fill="auto"/>
            <w:vAlign w:val="center"/>
            <w:hideMark/>
          </w:tcPr>
          <w:p w14:paraId="6ACA07DE" w14:textId="77777777" w:rsidR="00BB78B7" w:rsidRPr="00B92499" w:rsidRDefault="00BB78B7" w:rsidP="00BB78B7">
            <w:pPr>
              <w:jc w:val="center"/>
              <w:rPr>
                <w:rFonts w:ascii="Arial" w:hAnsi="Arial" w:cs="Arial"/>
                <w:color w:val="000000"/>
                <w:sz w:val="20"/>
                <w:szCs w:val="20"/>
              </w:rPr>
            </w:pPr>
            <w:r w:rsidRPr="00B92499">
              <w:rPr>
                <w:rFonts w:ascii="Arial" w:hAnsi="Arial" w:cs="Arial"/>
                <w:color w:val="000000"/>
                <w:sz w:val="20"/>
                <w:szCs w:val="20"/>
              </w:rPr>
              <w:t xml:space="preserve">            90.49 </w:t>
            </w:r>
          </w:p>
        </w:tc>
      </w:tr>
      <w:tr w:rsidR="00BB78B7" w:rsidRPr="00B92499" w14:paraId="576C138A" w14:textId="77777777" w:rsidTr="00BB78B7">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D808254" w14:textId="77777777" w:rsidR="00BB78B7" w:rsidRPr="00B92499" w:rsidRDefault="00BB78B7" w:rsidP="00BB78B7">
            <w:pPr>
              <w:jc w:val="center"/>
              <w:rPr>
                <w:rFonts w:ascii="Arial" w:hAnsi="Arial" w:cs="Arial"/>
                <w:color w:val="000000"/>
                <w:sz w:val="20"/>
                <w:szCs w:val="20"/>
              </w:rPr>
            </w:pPr>
            <w:r w:rsidRPr="00B92499">
              <w:rPr>
                <w:rFonts w:ascii="Arial" w:hAnsi="Arial" w:cs="Arial"/>
                <w:color w:val="000000"/>
                <w:sz w:val="20"/>
                <w:szCs w:val="20"/>
              </w:rPr>
              <w:t>XXIX</w:t>
            </w:r>
          </w:p>
        </w:tc>
        <w:tc>
          <w:tcPr>
            <w:tcW w:w="0" w:type="auto"/>
            <w:tcBorders>
              <w:top w:val="nil"/>
              <w:left w:val="nil"/>
              <w:bottom w:val="single" w:sz="4" w:space="0" w:color="auto"/>
              <w:right w:val="single" w:sz="4" w:space="0" w:color="auto"/>
            </w:tcBorders>
            <w:shd w:val="clear" w:color="auto" w:fill="auto"/>
            <w:vAlign w:val="center"/>
            <w:hideMark/>
          </w:tcPr>
          <w:p w14:paraId="16148950" w14:textId="77777777" w:rsidR="00BB78B7" w:rsidRPr="00B92499" w:rsidRDefault="00BB78B7" w:rsidP="00BB78B7">
            <w:pPr>
              <w:rPr>
                <w:rFonts w:ascii="Arial" w:hAnsi="Arial" w:cs="Arial"/>
                <w:color w:val="000000"/>
                <w:sz w:val="20"/>
                <w:szCs w:val="20"/>
              </w:rPr>
            </w:pPr>
            <w:r w:rsidRPr="00B92499">
              <w:rPr>
                <w:rFonts w:ascii="Arial" w:hAnsi="Arial" w:cs="Arial"/>
                <w:color w:val="000000"/>
                <w:sz w:val="20"/>
                <w:szCs w:val="20"/>
              </w:rPr>
              <w:t>Concesiones, contratos, convenios, permisos, licencias o autorizaciones otorgados.</w:t>
            </w:r>
          </w:p>
        </w:tc>
        <w:tc>
          <w:tcPr>
            <w:tcW w:w="823" w:type="dxa"/>
            <w:tcBorders>
              <w:top w:val="nil"/>
              <w:left w:val="nil"/>
              <w:bottom w:val="single" w:sz="4" w:space="0" w:color="auto"/>
              <w:right w:val="single" w:sz="4" w:space="0" w:color="auto"/>
            </w:tcBorders>
            <w:shd w:val="clear" w:color="auto" w:fill="auto"/>
            <w:vAlign w:val="center"/>
            <w:hideMark/>
          </w:tcPr>
          <w:p w14:paraId="2CE48FC4" w14:textId="77777777" w:rsidR="00BB78B7" w:rsidRPr="00B92499" w:rsidRDefault="00BB78B7" w:rsidP="00BB78B7">
            <w:pPr>
              <w:jc w:val="center"/>
              <w:rPr>
                <w:rFonts w:ascii="Arial" w:hAnsi="Arial" w:cs="Arial"/>
                <w:color w:val="000000"/>
                <w:sz w:val="20"/>
                <w:szCs w:val="20"/>
              </w:rPr>
            </w:pPr>
            <w:r w:rsidRPr="00B92499">
              <w:rPr>
                <w:rFonts w:ascii="Arial" w:hAnsi="Arial" w:cs="Arial"/>
                <w:color w:val="000000"/>
                <w:sz w:val="20"/>
                <w:szCs w:val="20"/>
              </w:rPr>
              <w:t xml:space="preserve">            89.36 </w:t>
            </w:r>
          </w:p>
        </w:tc>
      </w:tr>
    </w:tbl>
    <w:p w14:paraId="12355BAC" w14:textId="77777777" w:rsidR="00BB78B7" w:rsidRPr="00B92499" w:rsidRDefault="00BB78B7" w:rsidP="00BB78B7">
      <w:pPr>
        <w:rPr>
          <w:lang w:eastAsia="en-US"/>
        </w:rPr>
      </w:pPr>
    </w:p>
    <w:p w14:paraId="7E5F47F8" w14:textId="564F86BB" w:rsidR="002E7D47" w:rsidRPr="00B92499" w:rsidRDefault="00940CBA" w:rsidP="009F64B5">
      <w:pPr>
        <w:pStyle w:val="Ttulo3"/>
        <w:numPr>
          <w:ilvl w:val="2"/>
          <w:numId w:val="7"/>
        </w:numPr>
        <w:contextualSpacing/>
        <w:jc w:val="both"/>
        <w:rPr>
          <w:rFonts w:ascii="Arial" w:hAnsi="Arial" w:cs="Arial"/>
          <w:b/>
          <w:color w:val="auto"/>
        </w:rPr>
      </w:pPr>
      <w:bookmarkStart w:id="13" w:name="_Toc23252971"/>
      <w:r w:rsidRPr="00B92499">
        <w:rPr>
          <w:rFonts w:ascii="Arial" w:hAnsi="Arial" w:cs="Arial"/>
          <w:b/>
          <w:color w:val="auto"/>
        </w:rPr>
        <w:t xml:space="preserve">Análisis del </w:t>
      </w:r>
      <w:r w:rsidR="008F67E4" w:rsidRPr="00B92499">
        <w:rPr>
          <w:rFonts w:ascii="Arial" w:hAnsi="Arial" w:cs="Arial"/>
          <w:b/>
          <w:color w:val="auto"/>
        </w:rPr>
        <w:t>artículo</w:t>
      </w:r>
      <w:r w:rsidRPr="00B92499">
        <w:rPr>
          <w:rFonts w:ascii="Arial" w:hAnsi="Arial" w:cs="Arial"/>
          <w:b/>
          <w:color w:val="auto"/>
        </w:rPr>
        <w:t xml:space="preserve"> 122 y sus respectivas fracciones</w:t>
      </w:r>
      <w:bookmarkEnd w:id="13"/>
    </w:p>
    <w:p w14:paraId="379029AF" w14:textId="400ABF93" w:rsidR="00CF7EED" w:rsidRPr="00B92499" w:rsidRDefault="00BB78B7" w:rsidP="00CF7EED">
      <w:pPr>
        <w:spacing w:before="100" w:beforeAutospacing="1" w:after="100" w:afterAutospacing="1" w:line="360" w:lineRule="auto"/>
        <w:contextualSpacing/>
        <w:jc w:val="both"/>
        <w:rPr>
          <w:rFonts w:ascii="Arial" w:hAnsi="Arial" w:cs="Arial"/>
        </w:rPr>
      </w:pPr>
      <w:r w:rsidRPr="00B92499">
        <w:rPr>
          <w:rFonts w:ascii="Arial" w:hAnsi="Arial" w:cs="Arial"/>
        </w:rPr>
        <w:t>El artículo 122 únicamente le es aplicable a la Secretaría de Educación, Ciencia, Tecnología e Innovación, la Secretaría de Inclusión y Bienestar Social, la Secretaría de las Mujeres y la Secretaría de Pueblos y Barrios Originarios y Comunidades Indígenas Residentes. En esta línea, l</w:t>
      </w:r>
      <w:r w:rsidR="00CF7EED" w:rsidRPr="00B92499">
        <w:rPr>
          <w:rFonts w:ascii="Arial" w:hAnsi="Arial" w:cs="Arial"/>
        </w:rPr>
        <w:t xml:space="preserve">os </w:t>
      </w:r>
      <w:r w:rsidR="008710F6" w:rsidRPr="00B92499">
        <w:rPr>
          <w:rFonts w:ascii="Arial" w:hAnsi="Arial" w:cs="Arial"/>
        </w:rPr>
        <w:t>sujeto</w:t>
      </w:r>
      <w:r w:rsidR="00CF7EED" w:rsidRPr="00B92499">
        <w:rPr>
          <w:rFonts w:ascii="Arial" w:hAnsi="Arial" w:cs="Arial"/>
        </w:rPr>
        <w:t xml:space="preserve">s </w:t>
      </w:r>
      <w:r w:rsidR="008710F6" w:rsidRPr="00B92499">
        <w:rPr>
          <w:rFonts w:ascii="Arial" w:hAnsi="Arial" w:cs="Arial"/>
        </w:rPr>
        <w:t>obligado</w:t>
      </w:r>
      <w:r w:rsidR="00CF7EED" w:rsidRPr="00B92499">
        <w:rPr>
          <w:rFonts w:ascii="Arial" w:hAnsi="Arial" w:cs="Arial"/>
        </w:rPr>
        <w:t xml:space="preserve">s de la Administración Central obtuvieron un ICP de </w:t>
      </w:r>
      <w:r w:rsidRPr="00B92499">
        <w:rPr>
          <w:rFonts w:ascii="Arial" w:hAnsi="Arial" w:cs="Arial"/>
        </w:rPr>
        <w:t>99.32</w:t>
      </w:r>
      <w:r w:rsidR="00CF7EED" w:rsidRPr="00B92499">
        <w:rPr>
          <w:rFonts w:ascii="Arial" w:hAnsi="Arial" w:cs="Arial"/>
        </w:rPr>
        <w:t>%</w:t>
      </w:r>
      <w:r w:rsidR="00BF7A5D" w:rsidRPr="00B92499">
        <w:rPr>
          <w:rFonts w:ascii="Arial" w:hAnsi="Arial" w:cs="Arial"/>
        </w:rPr>
        <w:t>,</w:t>
      </w:r>
      <w:r w:rsidR="00CF7EED" w:rsidRPr="00B92499">
        <w:rPr>
          <w:rFonts w:ascii="Arial" w:hAnsi="Arial" w:cs="Arial"/>
        </w:rPr>
        <w:t xml:space="preserve"> por lo que se encuentra dentro del área de cumplimiento parcial</w:t>
      </w:r>
      <w:r w:rsidR="00BF7A5D" w:rsidRPr="00B92499">
        <w:rPr>
          <w:rFonts w:ascii="Arial" w:hAnsi="Arial" w:cs="Arial"/>
        </w:rPr>
        <w:t xml:space="preserve">. </w:t>
      </w:r>
      <w:r w:rsidR="00CF7EED" w:rsidRPr="00B92499">
        <w:rPr>
          <w:rFonts w:ascii="Arial" w:hAnsi="Arial" w:cs="Arial"/>
        </w:rPr>
        <w:t>Las fracciones I, II y III obtuvieron un ICP de 9</w:t>
      </w:r>
      <w:r w:rsidR="00BF7A5D" w:rsidRPr="00B92499">
        <w:rPr>
          <w:rFonts w:ascii="Arial" w:hAnsi="Arial" w:cs="Arial"/>
        </w:rPr>
        <w:t>7.91</w:t>
      </w:r>
      <w:r w:rsidR="00CF7EED" w:rsidRPr="00B92499">
        <w:rPr>
          <w:rFonts w:ascii="Arial" w:hAnsi="Arial" w:cs="Arial"/>
        </w:rPr>
        <w:t>%, 9</w:t>
      </w:r>
      <w:r w:rsidR="00BF7A5D" w:rsidRPr="00B92499">
        <w:rPr>
          <w:rFonts w:ascii="Arial" w:hAnsi="Arial" w:cs="Arial"/>
        </w:rPr>
        <w:t>7.31</w:t>
      </w:r>
      <w:r w:rsidR="00CF7EED" w:rsidRPr="00B92499">
        <w:rPr>
          <w:rFonts w:ascii="Arial" w:hAnsi="Arial" w:cs="Arial"/>
        </w:rPr>
        <w:t xml:space="preserve">% y </w:t>
      </w:r>
      <w:r w:rsidR="00BF7A5D" w:rsidRPr="00B92499">
        <w:rPr>
          <w:rFonts w:ascii="Arial" w:hAnsi="Arial" w:cs="Arial"/>
        </w:rPr>
        <w:t>98.95</w:t>
      </w:r>
      <w:r w:rsidR="00CF7EED" w:rsidRPr="00B92499">
        <w:rPr>
          <w:rFonts w:ascii="Arial" w:hAnsi="Arial" w:cs="Arial"/>
        </w:rPr>
        <w:t>% respectivamente, colocándose</w:t>
      </w:r>
      <w:r w:rsidR="00BF7A5D" w:rsidRPr="00B92499">
        <w:rPr>
          <w:rFonts w:ascii="Arial" w:hAnsi="Arial" w:cs="Arial"/>
        </w:rPr>
        <w:t>, de igual manera,</w:t>
      </w:r>
      <w:r w:rsidR="00CF7EED" w:rsidRPr="00B92499">
        <w:rPr>
          <w:rFonts w:ascii="Arial" w:hAnsi="Arial" w:cs="Arial"/>
        </w:rPr>
        <w:t xml:space="preserve"> en un cumplimiento parcial. </w:t>
      </w:r>
    </w:p>
    <w:p w14:paraId="309BEB01" w14:textId="77777777" w:rsidR="00CF7EED" w:rsidRPr="00B92499" w:rsidRDefault="00CF7EED" w:rsidP="00CF7EED">
      <w:pPr>
        <w:spacing w:before="100" w:beforeAutospacing="1" w:after="100" w:afterAutospacing="1" w:line="360" w:lineRule="auto"/>
        <w:contextualSpacing/>
        <w:jc w:val="both"/>
        <w:rPr>
          <w:rFonts w:ascii="Arial" w:hAnsi="Arial" w:cs="Arial"/>
        </w:rPr>
      </w:pPr>
    </w:p>
    <w:p w14:paraId="2105CC5A" w14:textId="5F331BE8" w:rsidR="00BF7A5D" w:rsidRPr="00B92499" w:rsidRDefault="00CF7EED" w:rsidP="002E7D47">
      <w:pPr>
        <w:spacing w:before="100" w:beforeAutospacing="1" w:after="100" w:afterAutospacing="1" w:line="360" w:lineRule="auto"/>
        <w:contextualSpacing/>
        <w:jc w:val="both"/>
        <w:rPr>
          <w:rFonts w:ascii="Arial" w:hAnsi="Arial" w:cs="Arial"/>
        </w:rPr>
      </w:pPr>
      <w:r w:rsidRPr="00B92499">
        <w:rPr>
          <w:rFonts w:ascii="Arial" w:hAnsi="Arial" w:cs="Arial"/>
        </w:rPr>
        <w:t xml:space="preserve">Por otra parte, los errores que cometieron los </w:t>
      </w:r>
      <w:r w:rsidR="008710F6" w:rsidRPr="00B92499">
        <w:rPr>
          <w:rFonts w:ascii="Arial" w:hAnsi="Arial" w:cs="Arial"/>
        </w:rPr>
        <w:t>sujeto</w:t>
      </w:r>
      <w:r w:rsidRPr="00B92499">
        <w:rPr>
          <w:rFonts w:ascii="Arial" w:hAnsi="Arial" w:cs="Arial"/>
        </w:rPr>
        <w:t xml:space="preserve">s </w:t>
      </w:r>
      <w:r w:rsidR="008710F6" w:rsidRPr="00B92499">
        <w:rPr>
          <w:rFonts w:ascii="Arial" w:hAnsi="Arial" w:cs="Arial"/>
        </w:rPr>
        <w:t>obligado</w:t>
      </w:r>
      <w:r w:rsidRPr="00B92499">
        <w:rPr>
          <w:rFonts w:ascii="Arial" w:hAnsi="Arial" w:cs="Arial"/>
        </w:rPr>
        <w:t xml:space="preserve">s con mayor frecuencia </w:t>
      </w:r>
      <w:r w:rsidR="0013436A" w:rsidRPr="00B92499">
        <w:rPr>
          <w:rFonts w:ascii="Arial" w:hAnsi="Arial" w:cs="Arial"/>
        </w:rPr>
        <w:t>consistieron en</w:t>
      </w:r>
      <w:r w:rsidR="009F734B" w:rsidRPr="00B92499">
        <w:rPr>
          <w:rFonts w:ascii="Arial" w:hAnsi="Arial" w:cs="Arial"/>
        </w:rPr>
        <w:t xml:space="preserve"> </w:t>
      </w:r>
      <w:r w:rsidRPr="00B92499">
        <w:rPr>
          <w:rFonts w:ascii="Arial" w:hAnsi="Arial" w:cs="Arial"/>
        </w:rPr>
        <w:t>no actualizaron la información conforme indica la normatividad vigente</w:t>
      </w:r>
      <w:r w:rsidR="00BF7A5D" w:rsidRPr="00B92499">
        <w:rPr>
          <w:rFonts w:ascii="Arial" w:hAnsi="Arial" w:cs="Arial"/>
        </w:rPr>
        <w:t>.</w:t>
      </w:r>
    </w:p>
    <w:p w14:paraId="2C86ED7A" w14:textId="43F0859B" w:rsidR="00EE5F08" w:rsidRPr="00B92499" w:rsidRDefault="00940CBA" w:rsidP="009F64B5">
      <w:pPr>
        <w:pStyle w:val="Ttulo3"/>
        <w:numPr>
          <w:ilvl w:val="2"/>
          <w:numId w:val="7"/>
        </w:numPr>
        <w:contextualSpacing/>
        <w:jc w:val="both"/>
        <w:rPr>
          <w:rFonts w:ascii="Arial" w:hAnsi="Arial" w:cs="Arial"/>
          <w:b/>
          <w:color w:val="auto"/>
        </w:rPr>
      </w:pPr>
      <w:bookmarkStart w:id="14" w:name="_Toc23252972"/>
      <w:r w:rsidRPr="00B92499">
        <w:rPr>
          <w:rFonts w:ascii="Arial" w:hAnsi="Arial" w:cs="Arial"/>
          <w:b/>
          <w:color w:val="auto"/>
        </w:rPr>
        <w:t xml:space="preserve">Análisis del </w:t>
      </w:r>
      <w:r w:rsidR="008F67E4" w:rsidRPr="00B92499">
        <w:rPr>
          <w:rFonts w:ascii="Arial" w:hAnsi="Arial" w:cs="Arial"/>
          <w:b/>
          <w:color w:val="auto"/>
        </w:rPr>
        <w:t>artículo</w:t>
      </w:r>
      <w:r w:rsidRPr="00B92499">
        <w:rPr>
          <w:rFonts w:ascii="Arial" w:hAnsi="Arial" w:cs="Arial"/>
          <w:b/>
          <w:color w:val="auto"/>
        </w:rPr>
        <w:t xml:space="preserve"> 123 y sus respectivas fracciones</w:t>
      </w:r>
      <w:bookmarkEnd w:id="14"/>
    </w:p>
    <w:p w14:paraId="4AB2DF11" w14:textId="1C99EBA7" w:rsidR="0013436A" w:rsidRPr="00B92499" w:rsidRDefault="00940CBA" w:rsidP="002E7D47">
      <w:pPr>
        <w:spacing w:before="100" w:beforeAutospacing="1" w:after="100" w:afterAutospacing="1" w:line="360" w:lineRule="auto"/>
        <w:contextualSpacing/>
        <w:jc w:val="both"/>
        <w:rPr>
          <w:rFonts w:ascii="Arial" w:hAnsi="Arial" w:cs="Arial"/>
        </w:rPr>
      </w:pPr>
      <w:r w:rsidRPr="00B92499">
        <w:rPr>
          <w:rFonts w:ascii="Arial" w:hAnsi="Arial" w:cs="Arial"/>
        </w:rPr>
        <w:t xml:space="preserve">Los </w:t>
      </w:r>
      <w:r w:rsidR="008710F6" w:rsidRPr="00B92499">
        <w:rPr>
          <w:rFonts w:ascii="Arial" w:hAnsi="Arial" w:cs="Arial"/>
        </w:rPr>
        <w:t>sujeto</w:t>
      </w:r>
      <w:r w:rsidR="00EB5F64" w:rsidRPr="00B92499">
        <w:rPr>
          <w:rFonts w:ascii="Arial" w:hAnsi="Arial" w:cs="Arial"/>
        </w:rPr>
        <w:t xml:space="preserve">s </w:t>
      </w:r>
      <w:r w:rsidR="008710F6" w:rsidRPr="00B92499">
        <w:rPr>
          <w:rFonts w:ascii="Arial" w:hAnsi="Arial" w:cs="Arial"/>
        </w:rPr>
        <w:t>obligado</w:t>
      </w:r>
      <w:r w:rsidR="00EB5F64" w:rsidRPr="00B92499">
        <w:rPr>
          <w:rFonts w:ascii="Arial" w:hAnsi="Arial" w:cs="Arial"/>
        </w:rPr>
        <w:t>s</w:t>
      </w:r>
      <w:r w:rsidRPr="00B92499">
        <w:rPr>
          <w:rFonts w:ascii="Arial" w:hAnsi="Arial" w:cs="Arial"/>
        </w:rPr>
        <w:t xml:space="preserve"> de la Administración Central alcanzaron un ICP en este </w:t>
      </w:r>
      <w:r w:rsidR="008F67E4" w:rsidRPr="00B92499">
        <w:rPr>
          <w:rFonts w:ascii="Arial" w:hAnsi="Arial" w:cs="Arial"/>
        </w:rPr>
        <w:t>artículo</w:t>
      </w:r>
      <w:r w:rsidRPr="00B92499">
        <w:rPr>
          <w:rFonts w:ascii="Arial" w:hAnsi="Arial" w:cs="Arial"/>
        </w:rPr>
        <w:t xml:space="preserve"> de </w:t>
      </w:r>
      <w:r w:rsidR="0013436A" w:rsidRPr="00B92499">
        <w:rPr>
          <w:rFonts w:ascii="Arial" w:hAnsi="Arial" w:cs="Arial"/>
        </w:rPr>
        <w:t>97.14</w:t>
      </w:r>
      <w:r w:rsidRPr="00B92499">
        <w:rPr>
          <w:rFonts w:ascii="Arial" w:hAnsi="Arial" w:cs="Arial"/>
        </w:rPr>
        <w:t xml:space="preserve">%, por lo que se encuentra dentro del área de cumplimiento parcial. </w:t>
      </w:r>
      <w:r w:rsidRPr="00B92499">
        <w:rPr>
          <w:rFonts w:ascii="Arial" w:hAnsi="Arial" w:cs="Arial"/>
        </w:rPr>
        <w:lastRenderedPageBreak/>
        <w:t xml:space="preserve">En atención a lo anterior, </w:t>
      </w:r>
      <w:r w:rsidR="000D67A7" w:rsidRPr="00B92499">
        <w:rPr>
          <w:rFonts w:ascii="Arial" w:hAnsi="Arial" w:cs="Arial"/>
        </w:rPr>
        <w:t xml:space="preserve">5 </w:t>
      </w:r>
      <w:r w:rsidR="008710F6" w:rsidRPr="00B92499">
        <w:rPr>
          <w:rFonts w:ascii="Arial" w:hAnsi="Arial" w:cs="Arial"/>
        </w:rPr>
        <w:t>sujeto</w:t>
      </w:r>
      <w:r w:rsidR="0013436A" w:rsidRPr="00B92499">
        <w:rPr>
          <w:rFonts w:ascii="Arial" w:hAnsi="Arial" w:cs="Arial"/>
        </w:rPr>
        <w:t>s cumplieron totalmente y</w:t>
      </w:r>
      <w:r w:rsidR="000D67A7" w:rsidRPr="00B92499">
        <w:rPr>
          <w:rFonts w:ascii="Arial" w:hAnsi="Arial" w:cs="Arial"/>
        </w:rPr>
        <w:t xml:space="preserve"> 3 </w:t>
      </w:r>
      <w:r w:rsidR="008710F6" w:rsidRPr="00B92499">
        <w:rPr>
          <w:rFonts w:ascii="Arial" w:hAnsi="Arial" w:cs="Arial"/>
        </w:rPr>
        <w:t>sujeto</w:t>
      </w:r>
      <w:r w:rsidR="0013436A" w:rsidRPr="00B92499">
        <w:rPr>
          <w:rFonts w:ascii="Arial" w:hAnsi="Arial" w:cs="Arial"/>
        </w:rPr>
        <w:t>s cumplieron parcialmente ubicándose entre el 85.37% y 98.40</w:t>
      </w:r>
      <w:r w:rsidR="000F221D" w:rsidRPr="00B92499">
        <w:rPr>
          <w:rFonts w:ascii="Arial" w:hAnsi="Arial" w:cs="Arial"/>
        </w:rPr>
        <w:t>%</w:t>
      </w:r>
      <w:r w:rsidR="0013436A" w:rsidRPr="00B92499">
        <w:rPr>
          <w:rFonts w:ascii="Arial" w:hAnsi="Arial" w:cs="Arial"/>
        </w:rPr>
        <w:t>.</w:t>
      </w:r>
    </w:p>
    <w:p w14:paraId="509B1C14" w14:textId="77777777" w:rsidR="0013436A" w:rsidRPr="00B92499" w:rsidRDefault="0013436A" w:rsidP="002E7D47">
      <w:pPr>
        <w:spacing w:before="100" w:beforeAutospacing="1" w:after="100" w:afterAutospacing="1" w:line="360" w:lineRule="auto"/>
        <w:contextualSpacing/>
        <w:jc w:val="both"/>
        <w:rPr>
          <w:rFonts w:ascii="Arial" w:hAnsi="Arial" w:cs="Arial"/>
        </w:rPr>
      </w:pPr>
    </w:p>
    <w:p w14:paraId="4F513743" w14:textId="46C26F11" w:rsidR="00940CBA" w:rsidRPr="00B92499" w:rsidRDefault="0013436A" w:rsidP="002E7D47">
      <w:pPr>
        <w:spacing w:before="100" w:beforeAutospacing="1" w:after="100" w:afterAutospacing="1" w:line="360" w:lineRule="auto"/>
        <w:contextualSpacing/>
        <w:jc w:val="both"/>
        <w:rPr>
          <w:rFonts w:ascii="Arial" w:hAnsi="Arial" w:cs="Arial"/>
        </w:rPr>
      </w:pPr>
      <w:r w:rsidRPr="00B92499">
        <w:rPr>
          <w:rFonts w:ascii="Arial" w:hAnsi="Arial" w:cs="Arial"/>
        </w:rPr>
        <w:t>De igual forma, respecto de las 26 fracciones que integran este artículo,</w:t>
      </w:r>
      <w:r w:rsidR="000D67A7" w:rsidRPr="00B92499">
        <w:rPr>
          <w:rFonts w:ascii="Arial" w:hAnsi="Arial" w:cs="Arial"/>
        </w:rPr>
        <w:t xml:space="preserve"> 4 </w:t>
      </w:r>
      <w:r w:rsidRPr="00B92499">
        <w:rPr>
          <w:rFonts w:ascii="Arial" w:hAnsi="Arial" w:cs="Arial"/>
        </w:rPr>
        <w:t>se encuentra</w:t>
      </w:r>
      <w:r w:rsidR="009F734B" w:rsidRPr="00B92499">
        <w:rPr>
          <w:rFonts w:ascii="Arial" w:hAnsi="Arial" w:cs="Arial"/>
        </w:rPr>
        <w:t>n</w:t>
      </w:r>
      <w:r w:rsidRPr="00B92499">
        <w:rPr>
          <w:rFonts w:ascii="Arial" w:hAnsi="Arial" w:cs="Arial"/>
        </w:rPr>
        <w:t xml:space="preserve"> entre 87.19% y 90.86%; 20 se encuentran entre 96.56% y 99.90% y </w:t>
      </w:r>
      <w:r w:rsidR="000D67A7" w:rsidRPr="00B92499">
        <w:rPr>
          <w:rFonts w:ascii="Arial" w:hAnsi="Arial" w:cs="Arial"/>
        </w:rPr>
        <w:t>2</w:t>
      </w:r>
      <w:r w:rsidRPr="00B92499">
        <w:rPr>
          <w:rFonts w:ascii="Arial" w:hAnsi="Arial" w:cs="Arial"/>
        </w:rPr>
        <w:t xml:space="preserve"> con un cumplimiento total. </w:t>
      </w:r>
      <w:r w:rsidR="00940CBA" w:rsidRPr="00B92499">
        <w:rPr>
          <w:rFonts w:ascii="Arial" w:hAnsi="Arial" w:cs="Arial"/>
        </w:rPr>
        <w:t>En esta línea, las</w:t>
      </w:r>
      <w:r w:rsidR="000D67A7" w:rsidRPr="00B92499">
        <w:rPr>
          <w:rFonts w:ascii="Arial" w:hAnsi="Arial" w:cs="Arial"/>
        </w:rPr>
        <w:t xml:space="preserve"> 4 </w:t>
      </w:r>
      <w:r w:rsidR="00940CBA" w:rsidRPr="00B92499">
        <w:rPr>
          <w:rFonts w:ascii="Arial" w:hAnsi="Arial" w:cs="Arial"/>
        </w:rPr>
        <w:t xml:space="preserve">fracciones que tienen una mayor área de oportunidad son las siguientes: </w:t>
      </w:r>
    </w:p>
    <w:p w14:paraId="1F92C2C1" w14:textId="2753DE5F" w:rsidR="00EE5F08" w:rsidRPr="00B92499" w:rsidRDefault="00940CBA" w:rsidP="00846BF4">
      <w:pPr>
        <w:pStyle w:val="Prrafodelista"/>
        <w:numPr>
          <w:ilvl w:val="0"/>
          <w:numId w:val="4"/>
        </w:numPr>
        <w:spacing w:before="100" w:beforeAutospacing="1" w:after="100" w:afterAutospacing="1" w:line="360" w:lineRule="auto"/>
        <w:jc w:val="both"/>
        <w:rPr>
          <w:rFonts w:ascii="Arial" w:hAnsi="Arial" w:cs="Arial"/>
          <w:sz w:val="24"/>
          <w:szCs w:val="24"/>
          <w:lang w:val="es-ES_tradnl"/>
        </w:rPr>
      </w:pPr>
      <w:r w:rsidRPr="00B92499">
        <w:rPr>
          <w:rFonts w:ascii="Arial" w:hAnsi="Arial" w:cs="Arial"/>
          <w:sz w:val="24"/>
          <w:szCs w:val="24"/>
          <w:lang w:val="es-ES_tradnl"/>
        </w:rPr>
        <w:t xml:space="preserve">Fracción </w:t>
      </w:r>
      <w:r w:rsidR="00846BF4" w:rsidRPr="00B92499">
        <w:rPr>
          <w:rFonts w:ascii="Arial" w:hAnsi="Arial" w:cs="Arial"/>
          <w:sz w:val="24"/>
          <w:szCs w:val="24"/>
          <w:lang w:val="es-ES_tradnl"/>
        </w:rPr>
        <w:t>XVI</w:t>
      </w:r>
      <w:r w:rsidRPr="00B92499">
        <w:rPr>
          <w:rFonts w:ascii="Arial" w:hAnsi="Arial" w:cs="Arial"/>
          <w:sz w:val="24"/>
          <w:szCs w:val="24"/>
          <w:lang w:val="es-ES_tradnl"/>
        </w:rPr>
        <w:t xml:space="preserve">, con un ICP de </w:t>
      </w:r>
      <w:r w:rsidR="00846BF4" w:rsidRPr="00B92499">
        <w:rPr>
          <w:rFonts w:ascii="Arial" w:hAnsi="Arial" w:cs="Arial"/>
          <w:sz w:val="24"/>
          <w:szCs w:val="24"/>
          <w:lang w:val="es-ES_tradnl"/>
        </w:rPr>
        <w:t>87.19</w:t>
      </w:r>
      <w:r w:rsidRPr="00B92499">
        <w:rPr>
          <w:rFonts w:ascii="Arial" w:hAnsi="Arial" w:cs="Arial"/>
          <w:sz w:val="24"/>
          <w:szCs w:val="24"/>
          <w:lang w:val="es-ES_tradnl"/>
        </w:rPr>
        <w:t xml:space="preserve">% </w:t>
      </w:r>
      <w:r w:rsidR="00846BF4" w:rsidRPr="00B92499">
        <w:rPr>
          <w:rFonts w:ascii="Arial" w:hAnsi="Arial" w:cs="Arial"/>
          <w:sz w:val="24"/>
          <w:szCs w:val="24"/>
          <w:lang w:val="es-ES_tradnl"/>
        </w:rPr>
        <w:t>la cual consiste en la publicación de la relación de constancias, certificados, permisos, licencias, autorizaciones y dictámenes de obras que se llevan a cabo en cada una de las demarcaciones territorial</w:t>
      </w:r>
      <w:r w:rsidR="009F734B" w:rsidRPr="00B92499">
        <w:rPr>
          <w:rFonts w:ascii="Arial" w:hAnsi="Arial" w:cs="Arial"/>
          <w:sz w:val="24"/>
          <w:szCs w:val="24"/>
          <w:lang w:val="es-ES_tradnl"/>
        </w:rPr>
        <w:t>es</w:t>
      </w:r>
      <w:r w:rsidR="00846BF4" w:rsidRPr="00B92499">
        <w:rPr>
          <w:rFonts w:ascii="Arial" w:hAnsi="Arial" w:cs="Arial"/>
          <w:sz w:val="24"/>
          <w:szCs w:val="24"/>
          <w:lang w:val="es-ES_tradnl"/>
        </w:rPr>
        <w:t>. El área de oportunidad de las Secretarías respecto de esta fracción es</w:t>
      </w:r>
      <w:r w:rsidR="003C285F" w:rsidRPr="00B92499">
        <w:rPr>
          <w:rFonts w:ascii="Arial" w:hAnsi="Arial" w:cs="Arial"/>
          <w:sz w:val="24"/>
          <w:szCs w:val="24"/>
          <w:lang w:val="es-ES_tradnl"/>
        </w:rPr>
        <w:t xml:space="preserve"> publicar y actualizar la información correspondiente, así como conservar la información de los ejercicios anteriores. </w:t>
      </w:r>
    </w:p>
    <w:p w14:paraId="096A3ADB" w14:textId="19687082" w:rsidR="00EE5F08" w:rsidRPr="00B92499" w:rsidRDefault="00940CBA" w:rsidP="00846BF4">
      <w:pPr>
        <w:pStyle w:val="Prrafodelista"/>
        <w:numPr>
          <w:ilvl w:val="0"/>
          <w:numId w:val="4"/>
        </w:numPr>
        <w:spacing w:before="100" w:beforeAutospacing="1" w:after="100" w:afterAutospacing="1" w:line="360" w:lineRule="auto"/>
        <w:jc w:val="both"/>
        <w:rPr>
          <w:rFonts w:ascii="Arial" w:hAnsi="Arial" w:cs="Arial"/>
          <w:sz w:val="24"/>
          <w:szCs w:val="24"/>
          <w:lang w:val="es-ES_tradnl"/>
        </w:rPr>
      </w:pPr>
      <w:r w:rsidRPr="00B92499">
        <w:rPr>
          <w:rFonts w:ascii="Arial" w:hAnsi="Arial" w:cs="Arial"/>
          <w:sz w:val="24"/>
          <w:szCs w:val="24"/>
          <w:lang w:val="es-ES_tradnl"/>
        </w:rPr>
        <w:t xml:space="preserve">Fracción XIII, con un ICP de </w:t>
      </w:r>
      <w:r w:rsidR="00846BF4" w:rsidRPr="00B92499">
        <w:rPr>
          <w:rFonts w:ascii="Arial" w:hAnsi="Arial" w:cs="Arial"/>
          <w:sz w:val="24"/>
          <w:szCs w:val="24"/>
          <w:lang w:val="es-ES_tradnl"/>
        </w:rPr>
        <w:t>87.40</w:t>
      </w:r>
      <w:r w:rsidRPr="00B92499">
        <w:rPr>
          <w:rFonts w:ascii="Arial" w:hAnsi="Arial" w:cs="Arial"/>
          <w:sz w:val="24"/>
          <w:szCs w:val="24"/>
          <w:lang w:val="es-ES_tradnl"/>
        </w:rPr>
        <w:t xml:space="preserve">% la cual versa sobre los convenios de coordinación con la Federación, Entidades Federativas y Municipios, y de concentración con los sectores sociales y privados, señalando el objetivo, la partes y el tiempo de duración. </w:t>
      </w:r>
      <w:r w:rsidR="00846BF4" w:rsidRPr="00B92499">
        <w:rPr>
          <w:rFonts w:ascii="Arial" w:hAnsi="Arial" w:cs="Arial"/>
          <w:sz w:val="24"/>
          <w:szCs w:val="24"/>
          <w:lang w:val="es-ES_tradnl"/>
        </w:rPr>
        <w:t>El área de oportunidad de las Secretarías respecto de esta fracción es</w:t>
      </w:r>
      <w:r w:rsidR="003C285F" w:rsidRPr="00B92499">
        <w:rPr>
          <w:rFonts w:ascii="Arial" w:hAnsi="Arial" w:cs="Arial"/>
          <w:sz w:val="24"/>
          <w:szCs w:val="24"/>
          <w:lang w:val="es-ES_tradnl"/>
        </w:rPr>
        <w:t xml:space="preserve"> publicar y actualizar la información correspondiente, así como conservar la información de los ejercicios anteriores.</w:t>
      </w:r>
    </w:p>
    <w:p w14:paraId="5635676B" w14:textId="5E0B88C0" w:rsidR="00EE5F08" w:rsidRPr="00B92499" w:rsidRDefault="00940CBA" w:rsidP="00846BF4">
      <w:pPr>
        <w:pStyle w:val="Prrafodelista"/>
        <w:numPr>
          <w:ilvl w:val="0"/>
          <w:numId w:val="4"/>
        </w:numPr>
        <w:spacing w:before="100" w:beforeAutospacing="1" w:after="100" w:afterAutospacing="1" w:line="360" w:lineRule="auto"/>
        <w:jc w:val="both"/>
        <w:rPr>
          <w:rFonts w:ascii="Arial" w:hAnsi="Arial" w:cs="Arial"/>
          <w:sz w:val="24"/>
          <w:szCs w:val="24"/>
          <w:lang w:val="es-ES_tradnl"/>
        </w:rPr>
      </w:pPr>
      <w:r w:rsidRPr="00B92499">
        <w:rPr>
          <w:rFonts w:ascii="Arial" w:hAnsi="Arial" w:cs="Arial"/>
          <w:sz w:val="24"/>
          <w:szCs w:val="24"/>
          <w:lang w:val="es-ES_tradnl"/>
        </w:rPr>
        <w:t xml:space="preserve">Fracción </w:t>
      </w:r>
      <w:r w:rsidR="00846BF4" w:rsidRPr="00B92499">
        <w:rPr>
          <w:rFonts w:ascii="Arial" w:hAnsi="Arial" w:cs="Arial"/>
          <w:sz w:val="24"/>
          <w:szCs w:val="24"/>
          <w:lang w:val="es-ES_tradnl"/>
        </w:rPr>
        <w:t>VII</w:t>
      </w:r>
      <w:r w:rsidRPr="00B92499">
        <w:rPr>
          <w:rFonts w:ascii="Arial" w:hAnsi="Arial" w:cs="Arial"/>
          <w:sz w:val="24"/>
          <w:szCs w:val="24"/>
          <w:lang w:val="es-ES_tradnl"/>
        </w:rPr>
        <w:t xml:space="preserve">I, con un ICP de </w:t>
      </w:r>
      <w:r w:rsidR="00846BF4" w:rsidRPr="00B92499">
        <w:rPr>
          <w:rFonts w:ascii="Arial" w:hAnsi="Arial" w:cs="Arial"/>
          <w:sz w:val="24"/>
          <w:szCs w:val="24"/>
          <w:lang w:val="es-ES_tradnl"/>
        </w:rPr>
        <w:t>87.50</w:t>
      </w:r>
      <w:r w:rsidRPr="00B92499">
        <w:rPr>
          <w:rFonts w:ascii="Arial" w:hAnsi="Arial" w:cs="Arial"/>
          <w:sz w:val="24"/>
          <w:szCs w:val="24"/>
          <w:lang w:val="es-ES_tradnl"/>
        </w:rPr>
        <w:t xml:space="preserve">%, </w:t>
      </w:r>
      <w:r w:rsidR="00846BF4" w:rsidRPr="00B92499">
        <w:rPr>
          <w:rFonts w:ascii="Arial" w:hAnsi="Arial" w:cs="Arial"/>
          <w:sz w:val="24"/>
          <w:szCs w:val="24"/>
          <w:lang w:val="es-ES_tradnl"/>
        </w:rPr>
        <w:t>la cual mandata la publicación de las disposiciones administrativas, directamente o a través de la autoridad competente. El área de oportunidad de las Secretarías respecto de esta fracción es</w:t>
      </w:r>
      <w:r w:rsidR="003C285F" w:rsidRPr="00B92499">
        <w:rPr>
          <w:rFonts w:ascii="Arial" w:hAnsi="Arial" w:cs="Arial"/>
          <w:sz w:val="24"/>
          <w:szCs w:val="24"/>
          <w:lang w:val="es-ES_tradnl"/>
        </w:rPr>
        <w:t xml:space="preserve"> publicar y actualizar la información correspondiente.</w:t>
      </w:r>
    </w:p>
    <w:p w14:paraId="37D426A1" w14:textId="71D41CFF" w:rsidR="004B6BFD" w:rsidRPr="00B92499" w:rsidRDefault="00940CBA" w:rsidP="00846BF4">
      <w:pPr>
        <w:pStyle w:val="Prrafodelista"/>
        <w:numPr>
          <w:ilvl w:val="0"/>
          <w:numId w:val="4"/>
        </w:numPr>
        <w:spacing w:before="100" w:beforeAutospacing="1" w:after="100" w:afterAutospacing="1" w:line="360" w:lineRule="auto"/>
        <w:jc w:val="both"/>
        <w:rPr>
          <w:rFonts w:ascii="Arial" w:hAnsi="Arial" w:cs="Arial"/>
          <w:sz w:val="24"/>
          <w:szCs w:val="24"/>
          <w:lang w:val="es-ES_tradnl"/>
        </w:rPr>
      </w:pPr>
      <w:r w:rsidRPr="00B92499">
        <w:rPr>
          <w:rFonts w:ascii="Arial" w:hAnsi="Arial" w:cs="Arial"/>
          <w:sz w:val="24"/>
          <w:szCs w:val="24"/>
          <w:lang w:val="es-ES_tradnl"/>
        </w:rPr>
        <w:t xml:space="preserve">Fracción </w:t>
      </w:r>
      <w:r w:rsidR="00846BF4" w:rsidRPr="00B92499">
        <w:rPr>
          <w:rFonts w:ascii="Arial" w:hAnsi="Arial" w:cs="Arial"/>
          <w:sz w:val="24"/>
          <w:szCs w:val="24"/>
          <w:lang w:val="es-ES_tradnl"/>
        </w:rPr>
        <w:t>XVIII</w:t>
      </w:r>
      <w:r w:rsidRPr="00B92499">
        <w:rPr>
          <w:rFonts w:ascii="Arial" w:hAnsi="Arial" w:cs="Arial"/>
          <w:sz w:val="24"/>
          <w:szCs w:val="24"/>
          <w:lang w:val="es-ES_tradnl"/>
        </w:rPr>
        <w:t xml:space="preserve">, con un ICP de </w:t>
      </w:r>
      <w:r w:rsidR="00846BF4" w:rsidRPr="00B92499">
        <w:rPr>
          <w:rFonts w:ascii="Arial" w:hAnsi="Arial" w:cs="Arial"/>
          <w:sz w:val="24"/>
          <w:szCs w:val="24"/>
          <w:lang w:val="es-ES_tradnl"/>
        </w:rPr>
        <w:t>90.86</w:t>
      </w:r>
      <w:r w:rsidRPr="00B92499">
        <w:rPr>
          <w:rFonts w:ascii="Arial" w:hAnsi="Arial" w:cs="Arial"/>
          <w:sz w:val="24"/>
          <w:szCs w:val="24"/>
          <w:lang w:val="es-ES_tradnl"/>
        </w:rPr>
        <w:t xml:space="preserve">%, </w:t>
      </w:r>
      <w:r w:rsidR="00846BF4" w:rsidRPr="00B92499">
        <w:rPr>
          <w:rFonts w:ascii="Arial" w:hAnsi="Arial" w:cs="Arial"/>
          <w:sz w:val="24"/>
          <w:szCs w:val="24"/>
          <w:lang w:val="es-ES_tradnl"/>
        </w:rPr>
        <w:t>en la cual es señalada la obligación de publicar los usos de suelo a través de mapas y planos georreferenciados</w:t>
      </w:r>
      <w:r w:rsidRPr="00B92499">
        <w:rPr>
          <w:rFonts w:ascii="Arial" w:hAnsi="Arial" w:cs="Arial"/>
          <w:sz w:val="24"/>
          <w:szCs w:val="24"/>
          <w:lang w:val="es-ES_tradnl"/>
        </w:rPr>
        <w:t xml:space="preserve">. </w:t>
      </w:r>
      <w:r w:rsidR="00846BF4" w:rsidRPr="00B92499">
        <w:rPr>
          <w:rFonts w:ascii="Arial" w:hAnsi="Arial" w:cs="Arial"/>
          <w:sz w:val="24"/>
          <w:szCs w:val="24"/>
          <w:lang w:val="es-ES_tradnl"/>
        </w:rPr>
        <w:t>El área de oportunidad de las Secretarías respecto de esta fracción es</w:t>
      </w:r>
      <w:r w:rsidR="003C285F" w:rsidRPr="00B92499">
        <w:rPr>
          <w:rFonts w:ascii="Arial" w:hAnsi="Arial" w:cs="Arial"/>
          <w:sz w:val="24"/>
          <w:szCs w:val="24"/>
          <w:lang w:val="es-ES_tradnl"/>
        </w:rPr>
        <w:t xml:space="preserve"> publicar y actualizar la información correspondiente o en el caso de no generar la misma, fundar y motivar la no generación a través de una nota.</w:t>
      </w:r>
    </w:p>
    <w:p w14:paraId="60DAC720" w14:textId="0DBD5A93" w:rsidR="00940CBA" w:rsidRPr="00B92499" w:rsidRDefault="00940CBA" w:rsidP="002E7D47">
      <w:pPr>
        <w:spacing w:before="100" w:beforeAutospacing="1" w:after="100" w:afterAutospacing="1" w:line="360" w:lineRule="auto"/>
        <w:contextualSpacing/>
        <w:jc w:val="both"/>
        <w:rPr>
          <w:rFonts w:ascii="Arial" w:hAnsi="Arial" w:cs="Arial"/>
        </w:rPr>
      </w:pPr>
      <w:r w:rsidRPr="00B92499">
        <w:rPr>
          <w:rFonts w:ascii="Arial" w:hAnsi="Arial" w:cs="Arial"/>
        </w:rPr>
        <w:lastRenderedPageBreak/>
        <w:t xml:space="preserve">De igual forma, las </w:t>
      </w:r>
      <w:r w:rsidR="000D67A7" w:rsidRPr="00B92499">
        <w:rPr>
          <w:rFonts w:ascii="Arial" w:hAnsi="Arial" w:cs="Arial"/>
        </w:rPr>
        <w:t>2</w:t>
      </w:r>
      <w:r w:rsidRPr="00B92499">
        <w:rPr>
          <w:rFonts w:ascii="Arial" w:hAnsi="Arial" w:cs="Arial"/>
        </w:rPr>
        <w:t xml:space="preserve"> fracciones con un ICP </w:t>
      </w:r>
      <w:r w:rsidR="00846BF4" w:rsidRPr="00B92499">
        <w:rPr>
          <w:rFonts w:ascii="Arial" w:hAnsi="Arial" w:cs="Arial"/>
        </w:rPr>
        <w:t>de 100</w:t>
      </w:r>
      <w:r w:rsidRPr="00B92499">
        <w:rPr>
          <w:rFonts w:ascii="Arial" w:hAnsi="Arial" w:cs="Arial"/>
        </w:rPr>
        <w:t>% son las que se detallan a continuación:</w:t>
      </w:r>
    </w:p>
    <w:p w14:paraId="44161242" w14:textId="22EAFF55" w:rsidR="00940CBA" w:rsidRPr="00B92499" w:rsidRDefault="00940CBA" w:rsidP="002E7D47">
      <w:pPr>
        <w:pStyle w:val="Prrafodelista"/>
        <w:numPr>
          <w:ilvl w:val="0"/>
          <w:numId w:val="3"/>
        </w:numPr>
        <w:spacing w:before="100" w:beforeAutospacing="1" w:after="100" w:afterAutospacing="1" w:line="360" w:lineRule="auto"/>
        <w:jc w:val="both"/>
        <w:rPr>
          <w:rFonts w:ascii="Arial" w:hAnsi="Arial" w:cs="Arial"/>
          <w:sz w:val="24"/>
          <w:szCs w:val="24"/>
          <w:lang w:val="es-ES_tradnl"/>
        </w:rPr>
      </w:pPr>
      <w:r w:rsidRPr="00B92499">
        <w:rPr>
          <w:rFonts w:ascii="Arial" w:hAnsi="Arial" w:cs="Arial"/>
          <w:sz w:val="24"/>
          <w:szCs w:val="24"/>
          <w:lang w:val="es-ES_tradnl"/>
        </w:rPr>
        <w:t xml:space="preserve">Fracción I, consistente </w:t>
      </w:r>
      <w:r w:rsidR="00846BF4" w:rsidRPr="00B92499">
        <w:rPr>
          <w:rFonts w:ascii="Arial" w:hAnsi="Arial" w:cs="Arial"/>
          <w:sz w:val="24"/>
          <w:szCs w:val="24"/>
          <w:lang w:val="es-ES_tradnl"/>
        </w:rPr>
        <w:t xml:space="preserve">en la publicación de las iniciativas de leyes o decretos y demás disposiciones generales o particulares en materia administrativa. </w:t>
      </w:r>
    </w:p>
    <w:p w14:paraId="3D25BE9A" w14:textId="77777777" w:rsidR="00E46046" w:rsidRPr="00B92499" w:rsidRDefault="00940CBA" w:rsidP="00E46046">
      <w:pPr>
        <w:pStyle w:val="Prrafodelista"/>
        <w:numPr>
          <w:ilvl w:val="0"/>
          <w:numId w:val="3"/>
        </w:numPr>
        <w:spacing w:before="100" w:beforeAutospacing="1" w:after="100" w:afterAutospacing="1" w:line="360" w:lineRule="auto"/>
        <w:jc w:val="both"/>
        <w:rPr>
          <w:rFonts w:ascii="Arial" w:hAnsi="Arial" w:cs="Arial"/>
          <w:sz w:val="24"/>
          <w:szCs w:val="24"/>
          <w:lang w:val="es-ES_tradnl"/>
        </w:rPr>
      </w:pPr>
      <w:r w:rsidRPr="00B92499">
        <w:rPr>
          <w:rFonts w:ascii="Arial" w:hAnsi="Arial" w:cs="Arial"/>
          <w:sz w:val="24"/>
          <w:szCs w:val="24"/>
          <w:lang w:val="es-ES_tradnl"/>
        </w:rPr>
        <w:t xml:space="preserve">Fracción </w:t>
      </w:r>
      <w:r w:rsidR="00846BF4" w:rsidRPr="00B92499">
        <w:rPr>
          <w:rFonts w:ascii="Arial" w:hAnsi="Arial" w:cs="Arial"/>
          <w:sz w:val="24"/>
          <w:szCs w:val="24"/>
          <w:lang w:val="es-ES_tradnl"/>
        </w:rPr>
        <w:t>XVII</w:t>
      </w:r>
      <w:r w:rsidRPr="00B92499">
        <w:rPr>
          <w:rFonts w:ascii="Arial" w:hAnsi="Arial" w:cs="Arial"/>
          <w:sz w:val="24"/>
          <w:szCs w:val="24"/>
          <w:lang w:val="es-ES_tradnl"/>
        </w:rPr>
        <w:t>,</w:t>
      </w:r>
      <w:r w:rsidR="00846BF4" w:rsidRPr="00B92499">
        <w:rPr>
          <w:rFonts w:ascii="Arial" w:hAnsi="Arial" w:cs="Arial"/>
          <w:sz w:val="24"/>
          <w:szCs w:val="24"/>
          <w:lang w:val="es-ES_tradnl"/>
        </w:rPr>
        <w:t xml:space="preserve"> en la que se mandata la publicación de los recursos remanentes de los ejercicios fiscales anteriores, así como su aplicación específica.</w:t>
      </w:r>
    </w:p>
    <w:p w14:paraId="6E589308" w14:textId="483C534E" w:rsidR="00E46046" w:rsidRPr="00B92499" w:rsidRDefault="00E46046" w:rsidP="00E46046">
      <w:pPr>
        <w:spacing w:before="100" w:beforeAutospacing="1" w:after="100" w:afterAutospacing="1" w:line="360" w:lineRule="auto"/>
        <w:jc w:val="both"/>
        <w:rPr>
          <w:rFonts w:ascii="Arial" w:hAnsi="Arial" w:cs="Arial"/>
        </w:rPr>
      </w:pPr>
      <w:r w:rsidRPr="00B92499">
        <w:rPr>
          <w:rFonts w:ascii="Arial" w:hAnsi="Arial" w:cs="Arial"/>
        </w:rPr>
        <w:t>Con el objetivo de mostrar con mayor detalle el ICP de cada fracción del artículo 12</w:t>
      </w:r>
      <w:r w:rsidR="00BD5AFE" w:rsidRPr="00B92499">
        <w:rPr>
          <w:rFonts w:ascii="Arial" w:hAnsi="Arial" w:cs="Arial"/>
        </w:rPr>
        <w:t>3</w:t>
      </w:r>
      <w:r w:rsidRPr="00B92499">
        <w:rPr>
          <w:rFonts w:ascii="Arial" w:hAnsi="Arial" w:cs="Arial"/>
        </w:rPr>
        <w:t xml:space="preserve"> es presentada la siguiente tabla ordenada de forma descendente.</w:t>
      </w:r>
    </w:p>
    <w:tbl>
      <w:tblPr>
        <w:tblW w:w="8927" w:type="dxa"/>
        <w:tblCellMar>
          <w:left w:w="70" w:type="dxa"/>
          <w:right w:w="70" w:type="dxa"/>
        </w:tblCellMar>
        <w:tblLook w:val="04A0" w:firstRow="1" w:lastRow="0" w:firstColumn="1" w:lastColumn="0" w:noHBand="0" w:noVBand="1"/>
      </w:tblPr>
      <w:tblGrid>
        <w:gridCol w:w="974"/>
        <w:gridCol w:w="7246"/>
        <w:gridCol w:w="707"/>
      </w:tblGrid>
      <w:tr w:rsidR="00E46046" w:rsidRPr="00B92499" w14:paraId="3F317DAE" w14:textId="77777777" w:rsidTr="00B012BD">
        <w:trPr>
          <w:trHeight w:val="20"/>
          <w:tblHeader/>
        </w:trPr>
        <w:tc>
          <w:tcPr>
            <w:tcW w:w="8927" w:type="dxa"/>
            <w:gridSpan w:val="3"/>
            <w:tcBorders>
              <w:top w:val="single" w:sz="4" w:space="0" w:color="auto"/>
              <w:left w:val="single" w:sz="4" w:space="0" w:color="auto"/>
              <w:bottom w:val="single" w:sz="4" w:space="0" w:color="auto"/>
              <w:right w:val="single" w:sz="4" w:space="0" w:color="auto"/>
            </w:tcBorders>
            <w:shd w:val="clear" w:color="auto" w:fill="00B0F0"/>
            <w:noWrap/>
            <w:vAlign w:val="center"/>
            <w:hideMark/>
          </w:tcPr>
          <w:p w14:paraId="570D959D" w14:textId="77FD3DC1" w:rsidR="00E46046" w:rsidRPr="00B92499" w:rsidRDefault="00E46046" w:rsidP="00B012BD">
            <w:pPr>
              <w:jc w:val="center"/>
              <w:rPr>
                <w:rFonts w:ascii="Arial" w:hAnsi="Arial" w:cs="Arial"/>
                <w:b/>
                <w:bCs/>
                <w:color w:val="000000"/>
                <w:sz w:val="20"/>
                <w:szCs w:val="20"/>
              </w:rPr>
            </w:pPr>
            <w:r w:rsidRPr="00B92499">
              <w:rPr>
                <w:rFonts w:ascii="Arial" w:hAnsi="Arial" w:cs="Arial"/>
                <w:b/>
                <w:bCs/>
                <w:color w:val="000000"/>
                <w:sz w:val="20"/>
                <w:szCs w:val="20"/>
              </w:rPr>
              <w:t xml:space="preserve">Artículo 123 de las </w:t>
            </w:r>
            <w:r w:rsidR="008710F6" w:rsidRPr="00B92499">
              <w:rPr>
                <w:rFonts w:ascii="Arial" w:hAnsi="Arial" w:cs="Arial"/>
                <w:b/>
                <w:bCs/>
                <w:color w:val="000000"/>
                <w:sz w:val="20"/>
                <w:szCs w:val="20"/>
              </w:rPr>
              <w:t>obligaciones de transparencia</w:t>
            </w:r>
            <w:r w:rsidRPr="00B92499">
              <w:rPr>
                <w:rFonts w:ascii="Arial" w:hAnsi="Arial" w:cs="Arial"/>
                <w:b/>
                <w:bCs/>
                <w:color w:val="000000"/>
                <w:sz w:val="20"/>
                <w:szCs w:val="20"/>
              </w:rPr>
              <w:t xml:space="preserve"> específicas</w:t>
            </w:r>
          </w:p>
        </w:tc>
      </w:tr>
      <w:tr w:rsidR="00E46046" w:rsidRPr="00B92499" w14:paraId="5BD159E8" w14:textId="77777777" w:rsidTr="00E46046">
        <w:trPr>
          <w:trHeight w:val="20"/>
          <w:tblHeader/>
        </w:trPr>
        <w:tc>
          <w:tcPr>
            <w:tcW w:w="0" w:type="auto"/>
            <w:tcBorders>
              <w:top w:val="nil"/>
              <w:left w:val="single" w:sz="4" w:space="0" w:color="auto"/>
              <w:bottom w:val="single" w:sz="4" w:space="0" w:color="auto"/>
              <w:right w:val="single" w:sz="4" w:space="0" w:color="auto"/>
            </w:tcBorders>
            <w:shd w:val="clear" w:color="auto" w:fill="00B0F0"/>
            <w:noWrap/>
            <w:vAlign w:val="center"/>
            <w:hideMark/>
          </w:tcPr>
          <w:p w14:paraId="68AF4749" w14:textId="77777777" w:rsidR="00E46046" w:rsidRPr="00B92499" w:rsidRDefault="00E46046" w:rsidP="00B012BD">
            <w:pPr>
              <w:jc w:val="center"/>
              <w:rPr>
                <w:rFonts w:ascii="Arial" w:hAnsi="Arial" w:cs="Arial"/>
                <w:b/>
                <w:bCs/>
                <w:color w:val="000000"/>
                <w:sz w:val="20"/>
                <w:szCs w:val="20"/>
              </w:rPr>
            </w:pPr>
            <w:r w:rsidRPr="00B92499">
              <w:rPr>
                <w:rFonts w:ascii="Arial" w:hAnsi="Arial" w:cs="Arial"/>
                <w:b/>
                <w:bCs/>
                <w:color w:val="000000"/>
                <w:sz w:val="20"/>
                <w:szCs w:val="20"/>
              </w:rPr>
              <w:t>Fracción</w:t>
            </w:r>
          </w:p>
        </w:tc>
        <w:tc>
          <w:tcPr>
            <w:tcW w:w="0" w:type="auto"/>
            <w:tcBorders>
              <w:top w:val="nil"/>
              <w:left w:val="nil"/>
              <w:bottom w:val="single" w:sz="4" w:space="0" w:color="auto"/>
              <w:right w:val="single" w:sz="4" w:space="0" w:color="auto"/>
            </w:tcBorders>
            <w:shd w:val="clear" w:color="auto" w:fill="00B0F0"/>
            <w:noWrap/>
            <w:vAlign w:val="center"/>
            <w:hideMark/>
          </w:tcPr>
          <w:p w14:paraId="274EBBE0" w14:textId="77777777" w:rsidR="00E46046" w:rsidRPr="00B92499" w:rsidRDefault="00E46046" w:rsidP="00B012BD">
            <w:pPr>
              <w:jc w:val="center"/>
              <w:rPr>
                <w:rFonts w:ascii="Arial" w:hAnsi="Arial" w:cs="Arial"/>
                <w:b/>
                <w:bCs/>
                <w:color w:val="000000"/>
                <w:sz w:val="20"/>
                <w:szCs w:val="20"/>
              </w:rPr>
            </w:pPr>
            <w:r w:rsidRPr="00B92499">
              <w:rPr>
                <w:rFonts w:ascii="Arial" w:hAnsi="Arial" w:cs="Arial"/>
                <w:b/>
                <w:bCs/>
                <w:color w:val="000000"/>
                <w:sz w:val="20"/>
                <w:szCs w:val="20"/>
              </w:rPr>
              <w:t>Resumen de la Fracción</w:t>
            </w:r>
          </w:p>
        </w:tc>
        <w:tc>
          <w:tcPr>
            <w:tcW w:w="770" w:type="dxa"/>
            <w:tcBorders>
              <w:top w:val="nil"/>
              <w:left w:val="nil"/>
              <w:bottom w:val="single" w:sz="4" w:space="0" w:color="auto"/>
              <w:right w:val="single" w:sz="4" w:space="0" w:color="auto"/>
            </w:tcBorders>
            <w:shd w:val="clear" w:color="auto" w:fill="00B0F0"/>
            <w:vAlign w:val="center"/>
            <w:hideMark/>
          </w:tcPr>
          <w:p w14:paraId="128A39A0" w14:textId="77777777" w:rsidR="00E46046" w:rsidRPr="00B92499" w:rsidRDefault="00E46046" w:rsidP="00B012BD">
            <w:pPr>
              <w:jc w:val="center"/>
              <w:rPr>
                <w:rFonts w:ascii="Arial" w:hAnsi="Arial" w:cs="Arial"/>
                <w:b/>
                <w:bCs/>
                <w:color w:val="000000"/>
                <w:sz w:val="20"/>
                <w:szCs w:val="20"/>
              </w:rPr>
            </w:pPr>
            <w:r w:rsidRPr="00B92499">
              <w:rPr>
                <w:rFonts w:ascii="Arial" w:hAnsi="Arial" w:cs="Arial"/>
                <w:b/>
                <w:bCs/>
                <w:color w:val="000000"/>
                <w:sz w:val="20"/>
                <w:szCs w:val="20"/>
              </w:rPr>
              <w:t>ICP</w:t>
            </w:r>
          </w:p>
        </w:tc>
      </w:tr>
      <w:tr w:rsidR="00E46046" w:rsidRPr="00B92499" w14:paraId="714A0995" w14:textId="77777777" w:rsidTr="00E46046">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57D56E2" w14:textId="77777777" w:rsidR="00E46046" w:rsidRPr="00B92499" w:rsidRDefault="00E46046">
            <w:pPr>
              <w:jc w:val="center"/>
              <w:rPr>
                <w:rFonts w:ascii="Arial" w:hAnsi="Arial" w:cs="Arial"/>
                <w:color w:val="000000"/>
                <w:sz w:val="20"/>
                <w:szCs w:val="20"/>
              </w:rPr>
            </w:pPr>
            <w:r w:rsidRPr="00B92499">
              <w:rPr>
                <w:rFonts w:ascii="Arial" w:hAnsi="Arial" w:cs="Arial"/>
                <w:color w:val="000000"/>
                <w:sz w:val="20"/>
                <w:szCs w:val="20"/>
              </w:rPr>
              <w:t>I</w:t>
            </w:r>
          </w:p>
        </w:tc>
        <w:tc>
          <w:tcPr>
            <w:tcW w:w="0" w:type="auto"/>
            <w:tcBorders>
              <w:top w:val="nil"/>
              <w:left w:val="nil"/>
              <w:bottom w:val="single" w:sz="4" w:space="0" w:color="auto"/>
              <w:right w:val="single" w:sz="4" w:space="0" w:color="auto"/>
            </w:tcBorders>
            <w:shd w:val="clear" w:color="auto" w:fill="auto"/>
            <w:vAlign w:val="center"/>
            <w:hideMark/>
          </w:tcPr>
          <w:p w14:paraId="147B0142" w14:textId="5957ECCC" w:rsidR="00E46046" w:rsidRPr="00B92499" w:rsidRDefault="00E46046" w:rsidP="00BD5AFE">
            <w:pPr>
              <w:jc w:val="both"/>
              <w:rPr>
                <w:rFonts w:ascii="Arial" w:hAnsi="Arial" w:cs="Arial"/>
                <w:color w:val="000000"/>
                <w:sz w:val="20"/>
                <w:szCs w:val="20"/>
              </w:rPr>
            </w:pPr>
            <w:r w:rsidRPr="00B92499">
              <w:rPr>
                <w:rFonts w:ascii="Arial" w:hAnsi="Arial" w:cs="Arial"/>
                <w:color w:val="000000"/>
                <w:sz w:val="20"/>
                <w:szCs w:val="20"/>
              </w:rPr>
              <w:t>Las iniciativas de leyes o decretos y demás disposiciones generales o particulares en materia administrativa</w:t>
            </w:r>
            <w:r w:rsidR="00BD5AFE" w:rsidRPr="00B92499">
              <w:rPr>
                <w:rFonts w:ascii="Arial" w:hAnsi="Arial" w:cs="Arial"/>
                <w:color w:val="000000"/>
                <w:sz w:val="20"/>
                <w:szCs w:val="20"/>
              </w:rPr>
              <w:t>.</w:t>
            </w:r>
          </w:p>
        </w:tc>
        <w:tc>
          <w:tcPr>
            <w:tcW w:w="770" w:type="dxa"/>
            <w:tcBorders>
              <w:top w:val="nil"/>
              <w:left w:val="nil"/>
              <w:bottom w:val="single" w:sz="4" w:space="0" w:color="auto"/>
              <w:right w:val="single" w:sz="4" w:space="0" w:color="auto"/>
            </w:tcBorders>
            <w:shd w:val="clear" w:color="auto" w:fill="auto"/>
            <w:vAlign w:val="center"/>
            <w:hideMark/>
          </w:tcPr>
          <w:p w14:paraId="4DEBFCB2" w14:textId="7B61D759" w:rsidR="00E46046" w:rsidRPr="00B92499" w:rsidRDefault="00E46046" w:rsidP="00516AA8">
            <w:pPr>
              <w:jc w:val="center"/>
              <w:rPr>
                <w:rFonts w:ascii="Arial" w:hAnsi="Arial" w:cs="Arial"/>
                <w:color w:val="000000"/>
                <w:sz w:val="20"/>
                <w:szCs w:val="20"/>
              </w:rPr>
            </w:pPr>
            <w:r w:rsidRPr="00B92499">
              <w:rPr>
                <w:rFonts w:ascii="Arial" w:hAnsi="Arial" w:cs="Arial"/>
                <w:color w:val="000000"/>
                <w:sz w:val="20"/>
                <w:szCs w:val="20"/>
              </w:rPr>
              <w:t xml:space="preserve">              100 </w:t>
            </w:r>
          </w:p>
        </w:tc>
      </w:tr>
      <w:tr w:rsidR="00E46046" w:rsidRPr="00B92499" w14:paraId="6D619DFE" w14:textId="77777777" w:rsidTr="00E46046">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05E9FED" w14:textId="77777777" w:rsidR="00E46046" w:rsidRPr="00B92499" w:rsidRDefault="00E46046">
            <w:pPr>
              <w:jc w:val="center"/>
              <w:rPr>
                <w:rFonts w:ascii="Arial" w:hAnsi="Arial" w:cs="Arial"/>
                <w:color w:val="000000"/>
                <w:sz w:val="20"/>
                <w:szCs w:val="20"/>
              </w:rPr>
            </w:pPr>
            <w:r w:rsidRPr="00B92499">
              <w:rPr>
                <w:rFonts w:ascii="Arial" w:hAnsi="Arial" w:cs="Arial"/>
                <w:color w:val="000000"/>
                <w:sz w:val="20"/>
                <w:szCs w:val="20"/>
              </w:rPr>
              <w:t>XVII</w:t>
            </w:r>
          </w:p>
        </w:tc>
        <w:tc>
          <w:tcPr>
            <w:tcW w:w="0" w:type="auto"/>
            <w:tcBorders>
              <w:top w:val="nil"/>
              <w:left w:val="nil"/>
              <w:bottom w:val="single" w:sz="4" w:space="0" w:color="auto"/>
              <w:right w:val="single" w:sz="4" w:space="0" w:color="auto"/>
            </w:tcBorders>
            <w:shd w:val="clear" w:color="auto" w:fill="auto"/>
            <w:vAlign w:val="center"/>
            <w:hideMark/>
          </w:tcPr>
          <w:p w14:paraId="092A1840" w14:textId="1D242F5E" w:rsidR="00E46046" w:rsidRPr="00B92499" w:rsidRDefault="00E46046" w:rsidP="00BD5AFE">
            <w:pPr>
              <w:jc w:val="both"/>
              <w:rPr>
                <w:rFonts w:ascii="Arial" w:hAnsi="Arial" w:cs="Arial"/>
                <w:color w:val="000000"/>
                <w:sz w:val="20"/>
                <w:szCs w:val="20"/>
              </w:rPr>
            </w:pPr>
            <w:r w:rsidRPr="00B92499">
              <w:rPr>
                <w:rFonts w:ascii="Arial" w:hAnsi="Arial" w:cs="Arial"/>
                <w:color w:val="000000"/>
                <w:sz w:val="20"/>
                <w:szCs w:val="20"/>
              </w:rPr>
              <w:t>Los recursos remanentes de los ejercicios fiscales anteriores, así como su aplicación específica</w:t>
            </w:r>
            <w:r w:rsidR="00BD5AFE" w:rsidRPr="00B92499">
              <w:rPr>
                <w:rFonts w:ascii="Arial" w:hAnsi="Arial" w:cs="Arial"/>
                <w:color w:val="000000"/>
                <w:sz w:val="20"/>
                <w:szCs w:val="20"/>
              </w:rPr>
              <w:t>.</w:t>
            </w:r>
          </w:p>
        </w:tc>
        <w:tc>
          <w:tcPr>
            <w:tcW w:w="770" w:type="dxa"/>
            <w:tcBorders>
              <w:top w:val="nil"/>
              <w:left w:val="nil"/>
              <w:bottom w:val="single" w:sz="4" w:space="0" w:color="auto"/>
              <w:right w:val="single" w:sz="4" w:space="0" w:color="auto"/>
            </w:tcBorders>
            <w:shd w:val="clear" w:color="auto" w:fill="auto"/>
            <w:vAlign w:val="center"/>
            <w:hideMark/>
          </w:tcPr>
          <w:p w14:paraId="2EF0F7DD" w14:textId="738F71FB" w:rsidR="00E46046" w:rsidRPr="00B92499" w:rsidRDefault="00E46046" w:rsidP="00516AA8">
            <w:pPr>
              <w:jc w:val="center"/>
              <w:rPr>
                <w:rFonts w:ascii="Arial" w:hAnsi="Arial" w:cs="Arial"/>
                <w:color w:val="000000"/>
                <w:sz w:val="20"/>
                <w:szCs w:val="20"/>
              </w:rPr>
            </w:pPr>
            <w:r w:rsidRPr="00B92499">
              <w:rPr>
                <w:rFonts w:ascii="Arial" w:hAnsi="Arial" w:cs="Arial"/>
                <w:color w:val="000000"/>
                <w:sz w:val="20"/>
                <w:szCs w:val="20"/>
              </w:rPr>
              <w:t xml:space="preserve">              100 </w:t>
            </w:r>
          </w:p>
        </w:tc>
      </w:tr>
      <w:tr w:rsidR="00E46046" w:rsidRPr="00B92499" w14:paraId="62FC2DC4" w14:textId="77777777" w:rsidTr="00E46046">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4F708C4" w14:textId="77777777" w:rsidR="00E46046" w:rsidRPr="00B92499" w:rsidRDefault="00E46046">
            <w:pPr>
              <w:jc w:val="center"/>
              <w:rPr>
                <w:rFonts w:ascii="Arial" w:hAnsi="Arial" w:cs="Arial"/>
                <w:color w:val="000000"/>
                <w:sz w:val="20"/>
                <w:szCs w:val="20"/>
              </w:rPr>
            </w:pPr>
            <w:r w:rsidRPr="00B92499">
              <w:rPr>
                <w:rFonts w:ascii="Arial" w:hAnsi="Arial" w:cs="Arial"/>
                <w:color w:val="000000"/>
                <w:sz w:val="20"/>
                <w:szCs w:val="20"/>
              </w:rPr>
              <w:t>XIV</w:t>
            </w:r>
          </w:p>
        </w:tc>
        <w:tc>
          <w:tcPr>
            <w:tcW w:w="0" w:type="auto"/>
            <w:tcBorders>
              <w:top w:val="nil"/>
              <w:left w:val="nil"/>
              <w:bottom w:val="single" w:sz="4" w:space="0" w:color="auto"/>
              <w:right w:val="single" w:sz="4" w:space="0" w:color="auto"/>
            </w:tcBorders>
            <w:shd w:val="clear" w:color="auto" w:fill="auto"/>
            <w:vAlign w:val="center"/>
            <w:hideMark/>
          </w:tcPr>
          <w:p w14:paraId="24182BD5" w14:textId="1B3E44D8" w:rsidR="00E46046" w:rsidRPr="00B92499" w:rsidRDefault="00E46046" w:rsidP="00BD5AFE">
            <w:pPr>
              <w:jc w:val="both"/>
              <w:rPr>
                <w:rFonts w:ascii="Arial" w:hAnsi="Arial" w:cs="Arial"/>
                <w:color w:val="000000"/>
                <w:sz w:val="20"/>
                <w:szCs w:val="20"/>
              </w:rPr>
            </w:pPr>
            <w:r w:rsidRPr="00B92499">
              <w:rPr>
                <w:rFonts w:ascii="Arial" w:hAnsi="Arial" w:cs="Arial"/>
                <w:color w:val="000000"/>
                <w:sz w:val="20"/>
                <w:szCs w:val="20"/>
              </w:rPr>
              <w:t>La información que sea de utilidad o resulte relevante para el conocimiento y evaluación de las funciones y políticas públicas</w:t>
            </w:r>
            <w:r w:rsidR="00BD5AFE" w:rsidRPr="00B92499">
              <w:rPr>
                <w:rFonts w:ascii="Arial" w:hAnsi="Arial" w:cs="Arial"/>
                <w:color w:val="000000"/>
                <w:sz w:val="20"/>
                <w:szCs w:val="20"/>
              </w:rPr>
              <w:t>.</w:t>
            </w:r>
          </w:p>
        </w:tc>
        <w:tc>
          <w:tcPr>
            <w:tcW w:w="770" w:type="dxa"/>
            <w:tcBorders>
              <w:top w:val="nil"/>
              <w:left w:val="nil"/>
              <w:bottom w:val="single" w:sz="4" w:space="0" w:color="auto"/>
              <w:right w:val="single" w:sz="4" w:space="0" w:color="auto"/>
            </w:tcBorders>
            <w:shd w:val="clear" w:color="auto" w:fill="auto"/>
            <w:vAlign w:val="center"/>
            <w:hideMark/>
          </w:tcPr>
          <w:p w14:paraId="4E56620B" w14:textId="77777777" w:rsidR="00E46046" w:rsidRPr="00B92499" w:rsidRDefault="00E46046">
            <w:pPr>
              <w:jc w:val="center"/>
              <w:rPr>
                <w:rFonts w:ascii="Arial" w:hAnsi="Arial" w:cs="Arial"/>
                <w:color w:val="000000"/>
                <w:sz w:val="20"/>
                <w:szCs w:val="20"/>
              </w:rPr>
            </w:pPr>
            <w:r w:rsidRPr="00B92499">
              <w:rPr>
                <w:rFonts w:ascii="Arial" w:hAnsi="Arial" w:cs="Arial"/>
                <w:color w:val="000000"/>
                <w:sz w:val="20"/>
                <w:szCs w:val="20"/>
              </w:rPr>
              <w:t xml:space="preserve">                 99.90 </w:t>
            </w:r>
          </w:p>
        </w:tc>
      </w:tr>
      <w:tr w:rsidR="00E46046" w:rsidRPr="00B92499" w14:paraId="776D286E" w14:textId="77777777" w:rsidTr="00E46046">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F749603" w14:textId="77777777" w:rsidR="00E46046" w:rsidRPr="00B92499" w:rsidRDefault="00E46046">
            <w:pPr>
              <w:jc w:val="center"/>
              <w:rPr>
                <w:rFonts w:ascii="Arial" w:hAnsi="Arial" w:cs="Arial"/>
                <w:color w:val="000000"/>
                <w:sz w:val="20"/>
                <w:szCs w:val="20"/>
              </w:rPr>
            </w:pPr>
            <w:r w:rsidRPr="00B92499">
              <w:rPr>
                <w:rFonts w:ascii="Arial" w:hAnsi="Arial" w:cs="Arial"/>
                <w:color w:val="000000"/>
                <w:sz w:val="20"/>
                <w:szCs w:val="20"/>
              </w:rPr>
              <w:t>XXIII</w:t>
            </w:r>
          </w:p>
        </w:tc>
        <w:tc>
          <w:tcPr>
            <w:tcW w:w="0" w:type="auto"/>
            <w:tcBorders>
              <w:top w:val="nil"/>
              <w:left w:val="nil"/>
              <w:bottom w:val="single" w:sz="4" w:space="0" w:color="auto"/>
              <w:right w:val="single" w:sz="4" w:space="0" w:color="auto"/>
            </w:tcBorders>
            <w:shd w:val="clear" w:color="auto" w:fill="auto"/>
            <w:vAlign w:val="center"/>
            <w:hideMark/>
          </w:tcPr>
          <w:p w14:paraId="36ABDAD1" w14:textId="3EE3DF6C" w:rsidR="00E46046" w:rsidRPr="00B92499" w:rsidRDefault="00E46046" w:rsidP="00BD5AFE">
            <w:pPr>
              <w:jc w:val="both"/>
              <w:rPr>
                <w:rFonts w:ascii="Arial" w:hAnsi="Arial" w:cs="Arial"/>
                <w:color w:val="000000"/>
                <w:sz w:val="20"/>
                <w:szCs w:val="20"/>
              </w:rPr>
            </w:pPr>
            <w:r w:rsidRPr="00B92499">
              <w:rPr>
                <w:rFonts w:ascii="Arial" w:hAnsi="Arial" w:cs="Arial"/>
                <w:color w:val="000000"/>
                <w:sz w:val="20"/>
                <w:szCs w:val="20"/>
              </w:rPr>
              <w:t>Información sobre las tarifas del suministro de agua potable según los diferentes usos doméstico, no doméstico y mixto por Colonia y Delegación</w:t>
            </w:r>
            <w:r w:rsidR="00BD5AFE" w:rsidRPr="00B92499">
              <w:rPr>
                <w:rFonts w:ascii="Arial" w:hAnsi="Arial" w:cs="Arial"/>
                <w:color w:val="000000"/>
                <w:sz w:val="20"/>
                <w:szCs w:val="20"/>
              </w:rPr>
              <w:t>.</w:t>
            </w:r>
          </w:p>
        </w:tc>
        <w:tc>
          <w:tcPr>
            <w:tcW w:w="770" w:type="dxa"/>
            <w:tcBorders>
              <w:top w:val="nil"/>
              <w:left w:val="nil"/>
              <w:bottom w:val="single" w:sz="4" w:space="0" w:color="auto"/>
              <w:right w:val="single" w:sz="4" w:space="0" w:color="auto"/>
            </w:tcBorders>
            <w:shd w:val="clear" w:color="auto" w:fill="auto"/>
            <w:vAlign w:val="center"/>
            <w:hideMark/>
          </w:tcPr>
          <w:p w14:paraId="79F642CA" w14:textId="77777777" w:rsidR="00E46046" w:rsidRPr="00B92499" w:rsidRDefault="00E46046">
            <w:pPr>
              <w:jc w:val="center"/>
              <w:rPr>
                <w:rFonts w:ascii="Arial" w:hAnsi="Arial" w:cs="Arial"/>
                <w:color w:val="000000"/>
                <w:sz w:val="20"/>
                <w:szCs w:val="20"/>
              </w:rPr>
            </w:pPr>
            <w:r w:rsidRPr="00B92499">
              <w:rPr>
                <w:rFonts w:ascii="Arial" w:hAnsi="Arial" w:cs="Arial"/>
                <w:color w:val="000000"/>
                <w:sz w:val="20"/>
                <w:szCs w:val="20"/>
              </w:rPr>
              <w:t xml:space="preserve">                 99.84 </w:t>
            </w:r>
          </w:p>
        </w:tc>
      </w:tr>
      <w:tr w:rsidR="00E46046" w:rsidRPr="00B92499" w14:paraId="5795A76F" w14:textId="77777777" w:rsidTr="00E46046">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1B4F747" w14:textId="77777777" w:rsidR="00E46046" w:rsidRPr="00B92499" w:rsidRDefault="00E46046">
            <w:pPr>
              <w:jc w:val="center"/>
              <w:rPr>
                <w:rFonts w:ascii="Arial" w:hAnsi="Arial" w:cs="Arial"/>
                <w:color w:val="000000"/>
                <w:sz w:val="20"/>
                <w:szCs w:val="20"/>
              </w:rPr>
            </w:pPr>
            <w:r w:rsidRPr="00B92499">
              <w:rPr>
                <w:rFonts w:ascii="Arial" w:hAnsi="Arial" w:cs="Arial"/>
                <w:color w:val="000000"/>
                <w:sz w:val="20"/>
                <w:szCs w:val="20"/>
              </w:rPr>
              <w:t>IV</w:t>
            </w:r>
          </w:p>
        </w:tc>
        <w:tc>
          <w:tcPr>
            <w:tcW w:w="0" w:type="auto"/>
            <w:tcBorders>
              <w:top w:val="nil"/>
              <w:left w:val="nil"/>
              <w:bottom w:val="single" w:sz="4" w:space="0" w:color="auto"/>
              <w:right w:val="single" w:sz="4" w:space="0" w:color="auto"/>
            </w:tcBorders>
            <w:shd w:val="clear" w:color="auto" w:fill="auto"/>
            <w:vAlign w:val="center"/>
            <w:hideMark/>
          </w:tcPr>
          <w:p w14:paraId="067F2741" w14:textId="072F3166" w:rsidR="00E46046" w:rsidRPr="00B92499" w:rsidRDefault="00E46046" w:rsidP="00BD5AFE">
            <w:pPr>
              <w:jc w:val="both"/>
              <w:rPr>
                <w:rFonts w:ascii="Arial" w:hAnsi="Arial" w:cs="Arial"/>
                <w:color w:val="000000"/>
                <w:sz w:val="20"/>
                <w:szCs w:val="20"/>
              </w:rPr>
            </w:pPr>
            <w:r w:rsidRPr="00B92499">
              <w:rPr>
                <w:rFonts w:ascii="Arial" w:hAnsi="Arial" w:cs="Arial"/>
                <w:color w:val="000000"/>
                <w:sz w:val="20"/>
                <w:szCs w:val="20"/>
              </w:rPr>
              <w:t>El listado de expropiaciones decretadas y ejecutadas</w:t>
            </w:r>
            <w:r w:rsidR="00BD5AFE" w:rsidRPr="00B92499">
              <w:rPr>
                <w:rFonts w:ascii="Arial" w:hAnsi="Arial" w:cs="Arial"/>
                <w:color w:val="000000"/>
                <w:sz w:val="20"/>
                <w:szCs w:val="20"/>
              </w:rPr>
              <w:t>.</w:t>
            </w:r>
          </w:p>
        </w:tc>
        <w:tc>
          <w:tcPr>
            <w:tcW w:w="770" w:type="dxa"/>
            <w:tcBorders>
              <w:top w:val="nil"/>
              <w:left w:val="nil"/>
              <w:bottom w:val="single" w:sz="4" w:space="0" w:color="auto"/>
              <w:right w:val="single" w:sz="4" w:space="0" w:color="auto"/>
            </w:tcBorders>
            <w:shd w:val="clear" w:color="auto" w:fill="auto"/>
            <w:vAlign w:val="center"/>
            <w:hideMark/>
          </w:tcPr>
          <w:p w14:paraId="57118E87" w14:textId="77777777" w:rsidR="00E46046" w:rsidRPr="00B92499" w:rsidRDefault="00E46046">
            <w:pPr>
              <w:jc w:val="center"/>
              <w:rPr>
                <w:rFonts w:ascii="Arial" w:hAnsi="Arial" w:cs="Arial"/>
                <w:color w:val="000000"/>
                <w:sz w:val="20"/>
                <w:szCs w:val="20"/>
              </w:rPr>
            </w:pPr>
            <w:r w:rsidRPr="00B92499">
              <w:rPr>
                <w:rFonts w:ascii="Arial" w:hAnsi="Arial" w:cs="Arial"/>
                <w:color w:val="000000"/>
                <w:sz w:val="20"/>
                <w:szCs w:val="20"/>
              </w:rPr>
              <w:t xml:space="preserve">                 99.69 </w:t>
            </w:r>
          </w:p>
        </w:tc>
      </w:tr>
      <w:tr w:rsidR="00E46046" w:rsidRPr="00B92499" w14:paraId="259F0C3C" w14:textId="77777777" w:rsidTr="00E46046">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34537B9" w14:textId="77777777" w:rsidR="00E46046" w:rsidRPr="00B92499" w:rsidRDefault="00E46046">
            <w:pPr>
              <w:jc w:val="center"/>
              <w:rPr>
                <w:rFonts w:ascii="Arial" w:hAnsi="Arial" w:cs="Arial"/>
                <w:color w:val="000000"/>
                <w:sz w:val="20"/>
                <w:szCs w:val="20"/>
              </w:rPr>
            </w:pPr>
            <w:r w:rsidRPr="00B92499">
              <w:rPr>
                <w:rFonts w:ascii="Arial" w:hAnsi="Arial" w:cs="Arial"/>
                <w:color w:val="000000"/>
                <w:sz w:val="20"/>
                <w:szCs w:val="20"/>
              </w:rPr>
              <w:t>V</w:t>
            </w:r>
          </w:p>
        </w:tc>
        <w:tc>
          <w:tcPr>
            <w:tcW w:w="0" w:type="auto"/>
            <w:tcBorders>
              <w:top w:val="nil"/>
              <w:left w:val="nil"/>
              <w:bottom w:val="single" w:sz="4" w:space="0" w:color="auto"/>
              <w:right w:val="single" w:sz="4" w:space="0" w:color="auto"/>
            </w:tcBorders>
            <w:shd w:val="clear" w:color="auto" w:fill="auto"/>
            <w:vAlign w:val="center"/>
            <w:hideMark/>
          </w:tcPr>
          <w:p w14:paraId="31778B5A" w14:textId="0BF28A46" w:rsidR="00E46046" w:rsidRPr="00B92499" w:rsidRDefault="00E46046" w:rsidP="00BD5AFE">
            <w:pPr>
              <w:jc w:val="both"/>
              <w:rPr>
                <w:rFonts w:ascii="Arial" w:hAnsi="Arial" w:cs="Arial"/>
                <w:color w:val="000000"/>
                <w:sz w:val="20"/>
                <w:szCs w:val="20"/>
              </w:rPr>
            </w:pPr>
            <w:r w:rsidRPr="00B92499">
              <w:rPr>
                <w:rFonts w:ascii="Arial" w:hAnsi="Arial" w:cs="Arial"/>
                <w:color w:val="000000"/>
                <w:sz w:val="20"/>
                <w:szCs w:val="20"/>
              </w:rPr>
              <w:t xml:space="preserve">El listado de las personas que han recibido exenciones, condonaciones o cancelaciones de impuestos locales. </w:t>
            </w:r>
          </w:p>
        </w:tc>
        <w:tc>
          <w:tcPr>
            <w:tcW w:w="770" w:type="dxa"/>
            <w:tcBorders>
              <w:top w:val="nil"/>
              <w:left w:val="nil"/>
              <w:bottom w:val="single" w:sz="4" w:space="0" w:color="auto"/>
              <w:right w:val="single" w:sz="4" w:space="0" w:color="auto"/>
            </w:tcBorders>
            <w:shd w:val="clear" w:color="auto" w:fill="auto"/>
            <w:vAlign w:val="center"/>
            <w:hideMark/>
          </w:tcPr>
          <w:p w14:paraId="5229B8B0" w14:textId="77777777" w:rsidR="00E46046" w:rsidRPr="00B92499" w:rsidRDefault="00E46046">
            <w:pPr>
              <w:jc w:val="center"/>
              <w:rPr>
                <w:rFonts w:ascii="Arial" w:hAnsi="Arial" w:cs="Arial"/>
                <w:color w:val="000000"/>
                <w:sz w:val="20"/>
                <w:szCs w:val="20"/>
              </w:rPr>
            </w:pPr>
            <w:r w:rsidRPr="00B92499">
              <w:rPr>
                <w:rFonts w:ascii="Arial" w:hAnsi="Arial" w:cs="Arial"/>
                <w:color w:val="000000"/>
                <w:sz w:val="20"/>
                <w:szCs w:val="20"/>
              </w:rPr>
              <w:t xml:space="preserve">                 99.69 </w:t>
            </w:r>
          </w:p>
        </w:tc>
      </w:tr>
      <w:tr w:rsidR="00E46046" w:rsidRPr="00B92499" w14:paraId="313AA1DC" w14:textId="77777777" w:rsidTr="00E46046">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1A51A88" w14:textId="77777777" w:rsidR="00E46046" w:rsidRPr="00B92499" w:rsidRDefault="00E46046">
            <w:pPr>
              <w:jc w:val="center"/>
              <w:rPr>
                <w:rFonts w:ascii="Arial" w:hAnsi="Arial" w:cs="Arial"/>
                <w:color w:val="000000"/>
                <w:sz w:val="20"/>
                <w:szCs w:val="20"/>
              </w:rPr>
            </w:pPr>
            <w:r w:rsidRPr="00B92499">
              <w:rPr>
                <w:rFonts w:ascii="Arial" w:hAnsi="Arial" w:cs="Arial"/>
                <w:color w:val="000000"/>
                <w:sz w:val="20"/>
                <w:szCs w:val="20"/>
              </w:rPr>
              <w:t>VI</w:t>
            </w:r>
          </w:p>
        </w:tc>
        <w:tc>
          <w:tcPr>
            <w:tcW w:w="0" w:type="auto"/>
            <w:tcBorders>
              <w:top w:val="nil"/>
              <w:left w:val="nil"/>
              <w:bottom w:val="single" w:sz="4" w:space="0" w:color="auto"/>
              <w:right w:val="single" w:sz="4" w:space="0" w:color="auto"/>
            </w:tcBorders>
            <w:shd w:val="clear" w:color="auto" w:fill="auto"/>
            <w:vAlign w:val="center"/>
            <w:hideMark/>
          </w:tcPr>
          <w:p w14:paraId="15F7D137" w14:textId="77777777" w:rsidR="00E46046" w:rsidRPr="00B92499" w:rsidRDefault="00E46046" w:rsidP="00BD5AFE">
            <w:pPr>
              <w:jc w:val="both"/>
              <w:rPr>
                <w:rFonts w:ascii="Arial" w:hAnsi="Arial" w:cs="Arial"/>
                <w:color w:val="000000"/>
                <w:sz w:val="20"/>
                <w:szCs w:val="20"/>
              </w:rPr>
            </w:pPr>
            <w:r w:rsidRPr="00B92499">
              <w:rPr>
                <w:rFonts w:ascii="Arial" w:hAnsi="Arial" w:cs="Arial"/>
                <w:color w:val="000000"/>
                <w:sz w:val="20"/>
                <w:szCs w:val="20"/>
              </w:rPr>
              <w:t>El listado de patentes de corredores y notarios públicos otorgadas, en términos de la Ley respectiva.</w:t>
            </w:r>
          </w:p>
        </w:tc>
        <w:tc>
          <w:tcPr>
            <w:tcW w:w="770" w:type="dxa"/>
            <w:tcBorders>
              <w:top w:val="nil"/>
              <w:left w:val="nil"/>
              <w:bottom w:val="single" w:sz="4" w:space="0" w:color="auto"/>
              <w:right w:val="single" w:sz="4" w:space="0" w:color="auto"/>
            </w:tcBorders>
            <w:shd w:val="clear" w:color="auto" w:fill="auto"/>
            <w:vAlign w:val="center"/>
            <w:hideMark/>
          </w:tcPr>
          <w:p w14:paraId="5F21DD7B" w14:textId="77777777" w:rsidR="00E46046" w:rsidRPr="00B92499" w:rsidRDefault="00E46046">
            <w:pPr>
              <w:jc w:val="center"/>
              <w:rPr>
                <w:rFonts w:ascii="Arial" w:hAnsi="Arial" w:cs="Arial"/>
                <w:color w:val="000000"/>
                <w:sz w:val="20"/>
                <w:szCs w:val="20"/>
              </w:rPr>
            </w:pPr>
            <w:r w:rsidRPr="00B92499">
              <w:rPr>
                <w:rFonts w:ascii="Arial" w:hAnsi="Arial" w:cs="Arial"/>
                <w:color w:val="000000"/>
                <w:sz w:val="20"/>
                <w:szCs w:val="20"/>
              </w:rPr>
              <w:t xml:space="preserve">                 99.69 </w:t>
            </w:r>
          </w:p>
        </w:tc>
      </w:tr>
      <w:tr w:rsidR="00E46046" w:rsidRPr="00B92499" w14:paraId="0A696D8A" w14:textId="77777777" w:rsidTr="00E46046">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1603729" w14:textId="77777777" w:rsidR="00E46046" w:rsidRPr="00B92499" w:rsidRDefault="00E46046">
            <w:pPr>
              <w:jc w:val="center"/>
              <w:rPr>
                <w:rFonts w:ascii="Arial" w:hAnsi="Arial" w:cs="Arial"/>
                <w:color w:val="000000"/>
                <w:sz w:val="20"/>
                <w:szCs w:val="20"/>
              </w:rPr>
            </w:pPr>
            <w:r w:rsidRPr="00B92499">
              <w:rPr>
                <w:rFonts w:ascii="Arial" w:hAnsi="Arial" w:cs="Arial"/>
                <w:color w:val="000000"/>
                <w:sz w:val="20"/>
                <w:szCs w:val="20"/>
              </w:rPr>
              <w:t>VII</w:t>
            </w:r>
          </w:p>
        </w:tc>
        <w:tc>
          <w:tcPr>
            <w:tcW w:w="0" w:type="auto"/>
            <w:tcBorders>
              <w:top w:val="nil"/>
              <w:left w:val="nil"/>
              <w:bottom w:val="single" w:sz="4" w:space="0" w:color="auto"/>
              <w:right w:val="single" w:sz="4" w:space="0" w:color="auto"/>
            </w:tcBorders>
            <w:shd w:val="clear" w:color="auto" w:fill="auto"/>
            <w:vAlign w:val="center"/>
            <w:hideMark/>
          </w:tcPr>
          <w:p w14:paraId="5330E940" w14:textId="07F5A760" w:rsidR="00E46046" w:rsidRPr="00B92499" w:rsidRDefault="00E46046" w:rsidP="00BD5AFE">
            <w:pPr>
              <w:jc w:val="both"/>
              <w:rPr>
                <w:rFonts w:ascii="Arial" w:hAnsi="Arial" w:cs="Arial"/>
                <w:color w:val="000000"/>
                <w:sz w:val="20"/>
                <w:szCs w:val="20"/>
              </w:rPr>
            </w:pPr>
            <w:r w:rsidRPr="00B92499">
              <w:rPr>
                <w:rFonts w:ascii="Arial" w:hAnsi="Arial" w:cs="Arial"/>
                <w:color w:val="000000"/>
                <w:sz w:val="20"/>
                <w:szCs w:val="20"/>
              </w:rPr>
              <w:t>La información detallada que contengan los planes de desarrollo urbano, ordenamiento territorial y ecológico, los tipos y usos de suelo, licencias de uso y construcción otorgadas por el Gobierno de la Ciudad de México</w:t>
            </w:r>
            <w:r w:rsidR="00BD5AFE" w:rsidRPr="00B92499">
              <w:rPr>
                <w:rFonts w:ascii="Arial" w:hAnsi="Arial" w:cs="Arial"/>
                <w:color w:val="000000"/>
                <w:sz w:val="20"/>
                <w:szCs w:val="20"/>
              </w:rPr>
              <w:t>.</w:t>
            </w:r>
          </w:p>
        </w:tc>
        <w:tc>
          <w:tcPr>
            <w:tcW w:w="770" w:type="dxa"/>
            <w:tcBorders>
              <w:top w:val="nil"/>
              <w:left w:val="nil"/>
              <w:bottom w:val="single" w:sz="4" w:space="0" w:color="auto"/>
              <w:right w:val="single" w:sz="4" w:space="0" w:color="auto"/>
            </w:tcBorders>
            <w:shd w:val="clear" w:color="auto" w:fill="auto"/>
            <w:vAlign w:val="center"/>
            <w:hideMark/>
          </w:tcPr>
          <w:p w14:paraId="16710F6C" w14:textId="77777777" w:rsidR="00E46046" w:rsidRPr="00B92499" w:rsidRDefault="00E46046">
            <w:pPr>
              <w:jc w:val="center"/>
              <w:rPr>
                <w:rFonts w:ascii="Arial" w:hAnsi="Arial" w:cs="Arial"/>
                <w:color w:val="000000"/>
                <w:sz w:val="20"/>
                <w:szCs w:val="20"/>
              </w:rPr>
            </w:pPr>
            <w:r w:rsidRPr="00B92499">
              <w:rPr>
                <w:rFonts w:ascii="Arial" w:hAnsi="Arial" w:cs="Arial"/>
                <w:color w:val="000000"/>
                <w:sz w:val="20"/>
                <w:szCs w:val="20"/>
              </w:rPr>
              <w:t xml:space="preserve">                 99.69 </w:t>
            </w:r>
          </w:p>
        </w:tc>
      </w:tr>
      <w:tr w:rsidR="00E46046" w:rsidRPr="00B92499" w14:paraId="5F5B099F" w14:textId="77777777" w:rsidTr="00E46046">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99C0FAB" w14:textId="77777777" w:rsidR="00E46046" w:rsidRPr="00B92499" w:rsidRDefault="00E46046">
            <w:pPr>
              <w:jc w:val="center"/>
              <w:rPr>
                <w:rFonts w:ascii="Arial" w:hAnsi="Arial" w:cs="Arial"/>
                <w:color w:val="000000"/>
                <w:sz w:val="20"/>
                <w:szCs w:val="20"/>
              </w:rPr>
            </w:pPr>
            <w:r w:rsidRPr="00B92499">
              <w:rPr>
                <w:rFonts w:ascii="Arial" w:hAnsi="Arial" w:cs="Arial"/>
                <w:color w:val="000000"/>
                <w:sz w:val="20"/>
                <w:szCs w:val="20"/>
              </w:rPr>
              <w:t>XII</w:t>
            </w:r>
          </w:p>
        </w:tc>
        <w:tc>
          <w:tcPr>
            <w:tcW w:w="0" w:type="auto"/>
            <w:tcBorders>
              <w:top w:val="nil"/>
              <w:left w:val="nil"/>
              <w:bottom w:val="single" w:sz="4" w:space="0" w:color="auto"/>
              <w:right w:val="single" w:sz="4" w:space="0" w:color="auto"/>
            </w:tcBorders>
            <w:shd w:val="clear" w:color="auto" w:fill="auto"/>
            <w:vAlign w:val="center"/>
            <w:hideMark/>
          </w:tcPr>
          <w:p w14:paraId="4311C001" w14:textId="6315AE44" w:rsidR="00E46046" w:rsidRPr="00B92499" w:rsidRDefault="00E46046" w:rsidP="00BD5AFE">
            <w:pPr>
              <w:jc w:val="both"/>
              <w:rPr>
                <w:rFonts w:ascii="Arial" w:hAnsi="Arial" w:cs="Arial"/>
                <w:color w:val="000000"/>
                <w:sz w:val="20"/>
                <w:szCs w:val="20"/>
              </w:rPr>
            </w:pPr>
            <w:r w:rsidRPr="00B92499">
              <w:rPr>
                <w:rFonts w:ascii="Arial" w:hAnsi="Arial" w:cs="Arial"/>
                <w:color w:val="000000"/>
                <w:sz w:val="20"/>
                <w:szCs w:val="20"/>
              </w:rPr>
              <w:t>Los reglamentos de las leyes expedidos en ejercicio de sus atribuciones</w:t>
            </w:r>
            <w:r w:rsidR="00BD5AFE" w:rsidRPr="00B92499">
              <w:rPr>
                <w:rFonts w:ascii="Arial" w:hAnsi="Arial" w:cs="Arial"/>
                <w:color w:val="000000"/>
                <w:sz w:val="20"/>
                <w:szCs w:val="20"/>
              </w:rPr>
              <w:t>.</w:t>
            </w:r>
          </w:p>
        </w:tc>
        <w:tc>
          <w:tcPr>
            <w:tcW w:w="770" w:type="dxa"/>
            <w:tcBorders>
              <w:top w:val="nil"/>
              <w:left w:val="nil"/>
              <w:bottom w:val="single" w:sz="4" w:space="0" w:color="auto"/>
              <w:right w:val="single" w:sz="4" w:space="0" w:color="auto"/>
            </w:tcBorders>
            <w:shd w:val="clear" w:color="auto" w:fill="auto"/>
            <w:vAlign w:val="center"/>
            <w:hideMark/>
          </w:tcPr>
          <w:p w14:paraId="1AFFB8A3" w14:textId="77777777" w:rsidR="00E46046" w:rsidRPr="00B92499" w:rsidRDefault="00E46046">
            <w:pPr>
              <w:jc w:val="center"/>
              <w:rPr>
                <w:rFonts w:ascii="Arial" w:hAnsi="Arial" w:cs="Arial"/>
                <w:color w:val="000000"/>
                <w:sz w:val="20"/>
                <w:szCs w:val="20"/>
              </w:rPr>
            </w:pPr>
            <w:r w:rsidRPr="00B92499">
              <w:rPr>
                <w:rFonts w:ascii="Arial" w:hAnsi="Arial" w:cs="Arial"/>
                <w:color w:val="000000"/>
                <w:sz w:val="20"/>
                <w:szCs w:val="20"/>
              </w:rPr>
              <w:t xml:space="preserve">                 99.69 </w:t>
            </w:r>
          </w:p>
        </w:tc>
      </w:tr>
      <w:tr w:rsidR="00E46046" w:rsidRPr="00B92499" w14:paraId="7446AF98" w14:textId="77777777" w:rsidTr="00E46046">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28D12BF" w14:textId="77777777" w:rsidR="00E46046" w:rsidRPr="00B92499" w:rsidRDefault="00E46046">
            <w:pPr>
              <w:jc w:val="center"/>
              <w:rPr>
                <w:rFonts w:ascii="Arial" w:hAnsi="Arial" w:cs="Arial"/>
                <w:color w:val="000000"/>
                <w:sz w:val="20"/>
                <w:szCs w:val="20"/>
              </w:rPr>
            </w:pPr>
            <w:r w:rsidRPr="00B92499">
              <w:rPr>
                <w:rFonts w:ascii="Arial" w:hAnsi="Arial" w:cs="Arial"/>
                <w:color w:val="000000"/>
                <w:sz w:val="20"/>
                <w:szCs w:val="20"/>
              </w:rPr>
              <w:t>XV</w:t>
            </w:r>
          </w:p>
        </w:tc>
        <w:tc>
          <w:tcPr>
            <w:tcW w:w="0" w:type="auto"/>
            <w:tcBorders>
              <w:top w:val="nil"/>
              <w:left w:val="nil"/>
              <w:bottom w:val="single" w:sz="4" w:space="0" w:color="auto"/>
              <w:right w:val="single" w:sz="4" w:space="0" w:color="auto"/>
            </w:tcBorders>
            <w:shd w:val="clear" w:color="auto" w:fill="auto"/>
            <w:vAlign w:val="center"/>
            <w:hideMark/>
          </w:tcPr>
          <w:p w14:paraId="3914F823" w14:textId="7622B762" w:rsidR="00E46046" w:rsidRPr="00B92499" w:rsidRDefault="00E46046" w:rsidP="00BD5AFE">
            <w:pPr>
              <w:jc w:val="both"/>
              <w:rPr>
                <w:rFonts w:ascii="Arial" w:hAnsi="Arial" w:cs="Arial"/>
                <w:color w:val="000000"/>
                <w:sz w:val="20"/>
                <w:szCs w:val="20"/>
              </w:rPr>
            </w:pPr>
            <w:r w:rsidRPr="00B92499">
              <w:rPr>
                <w:rFonts w:ascii="Arial" w:hAnsi="Arial" w:cs="Arial"/>
                <w:color w:val="000000"/>
                <w:sz w:val="20"/>
                <w:szCs w:val="20"/>
              </w:rPr>
              <w:t>Sistema electrónico con el uso de un tabulador que permita consultar el cobro de impuestos, servicios, derechos y aprovechamientos, así como el total de las cantidades recibidas por estos conceptos, así como informes de avance trimestral de dichos ingresos</w:t>
            </w:r>
            <w:r w:rsidR="00BD5AFE" w:rsidRPr="00B92499">
              <w:rPr>
                <w:rFonts w:ascii="Arial" w:hAnsi="Arial" w:cs="Arial"/>
                <w:color w:val="000000"/>
                <w:sz w:val="20"/>
                <w:szCs w:val="20"/>
              </w:rPr>
              <w:t>.</w:t>
            </w:r>
          </w:p>
        </w:tc>
        <w:tc>
          <w:tcPr>
            <w:tcW w:w="770" w:type="dxa"/>
            <w:tcBorders>
              <w:top w:val="nil"/>
              <w:left w:val="nil"/>
              <w:bottom w:val="single" w:sz="4" w:space="0" w:color="auto"/>
              <w:right w:val="single" w:sz="4" w:space="0" w:color="auto"/>
            </w:tcBorders>
            <w:shd w:val="clear" w:color="auto" w:fill="auto"/>
            <w:vAlign w:val="center"/>
            <w:hideMark/>
          </w:tcPr>
          <w:p w14:paraId="74802CE1" w14:textId="77777777" w:rsidR="00E46046" w:rsidRPr="00B92499" w:rsidRDefault="00E46046">
            <w:pPr>
              <w:jc w:val="center"/>
              <w:rPr>
                <w:rFonts w:ascii="Arial" w:hAnsi="Arial" w:cs="Arial"/>
                <w:color w:val="000000"/>
                <w:sz w:val="20"/>
                <w:szCs w:val="20"/>
              </w:rPr>
            </w:pPr>
            <w:r w:rsidRPr="00B92499">
              <w:rPr>
                <w:rFonts w:ascii="Arial" w:hAnsi="Arial" w:cs="Arial"/>
                <w:color w:val="000000"/>
                <w:sz w:val="20"/>
                <w:szCs w:val="20"/>
              </w:rPr>
              <w:t xml:space="preserve">                 99.69 </w:t>
            </w:r>
          </w:p>
        </w:tc>
      </w:tr>
      <w:tr w:rsidR="00E46046" w:rsidRPr="00B92499" w14:paraId="00351C26" w14:textId="77777777" w:rsidTr="00E46046">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6CB3DCC" w14:textId="77777777" w:rsidR="00E46046" w:rsidRPr="00B92499" w:rsidRDefault="00E46046">
            <w:pPr>
              <w:jc w:val="center"/>
              <w:rPr>
                <w:rFonts w:ascii="Arial" w:hAnsi="Arial" w:cs="Arial"/>
                <w:color w:val="000000"/>
                <w:sz w:val="20"/>
                <w:szCs w:val="20"/>
              </w:rPr>
            </w:pPr>
            <w:r w:rsidRPr="00B92499">
              <w:rPr>
                <w:rFonts w:ascii="Arial" w:hAnsi="Arial" w:cs="Arial"/>
                <w:color w:val="000000"/>
                <w:sz w:val="20"/>
                <w:szCs w:val="20"/>
              </w:rPr>
              <w:t>XIX</w:t>
            </w:r>
          </w:p>
        </w:tc>
        <w:tc>
          <w:tcPr>
            <w:tcW w:w="0" w:type="auto"/>
            <w:tcBorders>
              <w:top w:val="nil"/>
              <w:left w:val="nil"/>
              <w:bottom w:val="single" w:sz="4" w:space="0" w:color="auto"/>
              <w:right w:val="single" w:sz="4" w:space="0" w:color="auto"/>
            </w:tcBorders>
            <w:shd w:val="clear" w:color="auto" w:fill="auto"/>
            <w:vAlign w:val="center"/>
            <w:hideMark/>
          </w:tcPr>
          <w:p w14:paraId="4E0EA462" w14:textId="2CE21C92" w:rsidR="00E46046" w:rsidRPr="00B92499" w:rsidRDefault="00E46046" w:rsidP="00BD5AFE">
            <w:pPr>
              <w:jc w:val="both"/>
              <w:rPr>
                <w:rFonts w:ascii="Arial" w:hAnsi="Arial" w:cs="Arial"/>
                <w:color w:val="000000"/>
                <w:sz w:val="20"/>
                <w:szCs w:val="20"/>
              </w:rPr>
            </w:pPr>
            <w:r w:rsidRPr="00B92499">
              <w:rPr>
                <w:rFonts w:ascii="Arial" w:hAnsi="Arial" w:cs="Arial"/>
                <w:color w:val="000000"/>
                <w:sz w:val="20"/>
                <w:szCs w:val="20"/>
              </w:rPr>
              <w:t>La georreferenciación e imagen de todas las obras públicas</w:t>
            </w:r>
            <w:r w:rsidR="00BD5AFE" w:rsidRPr="00B92499">
              <w:rPr>
                <w:rFonts w:ascii="Arial" w:hAnsi="Arial" w:cs="Arial"/>
                <w:color w:val="000000"/>
                <w:sz w:val="20"/>
                <w:szCs w:val="20"/>
              </w:rPr>
              <w:t>.</w:t>
            </w:r>
          </w:p>
        </w:tc>
        <w:tc>
          <w:tcPr>
            <w:tcW w:w="770" w:type="dxa"/>
            <w:tcBorders>
              <w:top w:val="nil"/>
              <w:left w:val="nil"/>
              <w:bottom w:val="single" w:sz="4" w:space="0" w:color="auto"/>
              <w:right w:val="single" w:sz="4" w:space="0" w:color="auto"/>
            </w:tcBorders>
            <w:shd w:val="clear" w:color="auto" w:fill="auto"/>
            <w:vAlign w:val="center"/>
            <w:hideMark/>
          </w:tcPr>
          <w:p w14:paraId="22C5254F" w14:textId="77777777" w:rsidR="00E46046" w:rsidRPr="00B92499" w:rsidRDefault="00E46046">
            <w:pPr>
              <w:jc w:val="center"/>
              <w:rPr>
                <w:rFonts w:ascii="Arial" w:hAnsi="Arial" w:cs="Arial"/>
                <w:color w:val="000000"/>
                <w:sz w:val="20"/>
                <w:szCs w:val="20"/>
              </w:rPr>
            </w:pPr>
            <w:r w:rsidRPr="00B92499">
              <w:rPr>
                <w:rFonts w:ascii="Arial" w:hAnsi="Arial" w:cs="Arial"/>
                <w:color w:val="000000"/>
                <w:sz w:val="20"/>
                <w:szCs w:val="20"/>
              </w:rPr>
              <w:t xml:space="preserve">                 99.69 </w:t>
            </w:r>
          </w:p>
        </w:tc>
      </w:tr>
      <w:tr w:rsidR="00E46046" w:rsidRPr="00B92499" w14:paraId="375DD317" w14:textId="77777777" w:rsidTr="00E46046">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085861F" w14:textId="77777777" w:rsidR="00E46046" w:rsidRPr="00B92499" w:rsidRDefault="00E46046">
            <w:pPr>
              <w:jc w:val="center"/>
              <w:rPr>
                <w:rFonts w:ascii="Arial" w:hAnsi="Arial" w:cs="Arial"/>
                <w:color w:val="000000"/>
                <w:sz w:val="20"/>
                <w:szCs w:val="20"/>
              </w:rPr>
            </w:pPr>
            <w:r w:rsidRPr="00B92499">
              <w:rPr>
                <w:rFonts w:ascii="Arial" w:hAnsi="Arial" w:cs="Arial"/>
                <w:color w:val="000000"/>
                <w:sz w:val="20"/>
                <w:szCs w:val="20"/>
              </w:rPr>
              <w:t>XXI</w:t>
            </w:r>
          </w:p>
        </w:tc>
        <w:tc>
          <w:tcPr>
            <w:tcW w:w="0" w:type="auto"/>
            <w:tcBorders>
              <w:top w:val="nil"/>
              <w:left w:val="nil"/>
              <w:bottom w:val="single" w:sz="4" w:space="0" w:color="auto"/>
              <w:right w:val="single" w:sz="4" w:space="0" w:color="auto"/>
            </w:tcBorders>
            <w:shd w:val="clear" w:color="auto" w:fill="auto"/>
            <w:vAlign w:val="center"/>
            <w:hideMark/>
          </w:tcPr>
          <w:p w14:paraId="6D76FC19" w14:textId="796ECB27" w:rsidR="00E46046" w:rsidRPr="00B92499" w:rsidRDefault="00E46046" w:rsidP="00BD5AFE">
            <w:pPr>
              <w:jc w:val="both"/>
              <w:rPr>
                <w:rFonts w:ascii="Arial" w:hAnsi="Arial" w:cs="Arial"/>
                <w:color w:val="000000"/>
                <w:sz w:val="20"/>
                <w:szCs w:val="20"/>
              </w:rPr>
            </w:pPr>
            <w:r w:rsidRPr="00B92499">
              <w:rPr>
                <w:rFonts w:ascii="Arial" w:hAnsi="Arial" w:cs="Arial"/>
                <w:color w:val="000000"/>
                <w:sz w:val="20"/>
                <w:szCs w:val="20"/>
              </w:rPr>
              <w:t>Un listado de los títulos y las empresas concesionarias que participan en la gestión del agua</w:t>
            </w:r>
            <w:r w:rsidR="00BD5AFE" w:rsidRPr="00B92499">
              <w:rPr>
                <w:rFonts w:ascii="Arial" w:hAnsi="Arial" w:cs="Arial"/>
                <w:color w:val="000000"/>
                <w:sz w:val="20"/>
                <w:szCs w:val="20"/>
              </w:rPr>
              <w:t>.</w:t>
            </w:r>
          </w:p>
        </w:tc>
        <w:tc>
          <w:tcPr>
            <w:tcW w:w="770" w:type="dxa"/>
            <w:tcBorders>
              <w:top w:val="nil"/>
              <w:left w:val="nil"/>
              <w:bottom w:val="single" w:sz="4" w:space="0" w:color="auto"/>
              <w:right w:val="single" w:sz="4" w:space="0" w:color="auto"/>
            </w:tcBorders>
            <w:shd w:val="clear" w:color="auto" w:fill="auto"/>
            <w:vAlign w:val="center"/>
            <w:hideMark/>
          </w:tcPr>
          <w:p w14:paraId="08B23311" w14:textId="77777777" w:rsidR="00E46046" w:rsidRPr="00B92499" w:rsidRDefault="00E46046">
            <w:pPr>
              <w:jc w:val="center"/>
              <w:rPr>
                <w:rFonts w:ascii="Arial" w:hAnsi="Arial" w:cs="Arial"/>
                <w:color w:val="000000"/>
                <w:sz w:val="20"/>
                <w:szCs w:val="20"/>
              </w:rPr>
            </w:pPr>
            <w:r w:rsidRPr="00B92499">
              <w:rPr>
                <w:rFonts w:ascii="Arial" w:hAnsi="Arial" w:cs="Arial"/>
                <w:color w:val="000000"/>
                <w:sz w:val="20"/>
                <w:szCs w:val="20"/>
              </w:rPr>
              <w:t xml:space="preserve">                 99.69 </w:t>
            </w:r>
          </w:p>
        </w:tc>
      </w:tr>
      <w:tr w:rsidR="00E46046" w:rsidRPr="00B92499" w14:paraId="2B7C554B" w14:textId="77777777" w:rsidTr="00E46046">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577F0E0" w14:textId="77777777" w:rsidR="00E46046" w:rsidRPr="00B92499" w:rsidRDefault="00E46046">
            <w:pPr>
              <w:jc w:val="center"/>
              <w:rPr>
                <w:rFonts w:ascii="Arial" w:hAnsi="Arial" w:cs="Arial"/>
                <w:color w:val="000000"/>
                <w:sz w:val="20"/>
                <w:szCs w:val="20"/>
              </w:rPr>
            </w:pPr>
            <w:r w:rsidRPr="00B92499">
              <w:rPr>
                <w:rFonts w:ascii="Arial" w:hAnsi="Arial" w:cs="Arial"/>
                <w:color w:val="000000"/>
                <w:sz w:val="20"/>
                <w:szCs w:val="20"/>
              </w:rPr>
              <w:t>XXIV</w:t>
            </w:r>
          </w:p>
        </w:tc>
        <w:tc>
          <w:tcPr>
            <w:tcW w:w="0" w:type="auto"/>
            <w:tcBorders>
              <w:top w:val="nil"/>
              <w:left w:val="nil"/>
              <w:bottom w:val="single" w:sz="4" w:space="0" w:color="auto"/>
              <w:right w:val="single" w:sz="4" w:space="0" w:color="auto"/>
            </w:tcBorders>
            <w:shd w:val="clear" w:color="auto" w:fill="auto"/>
            <w:vAlign w:val="center"/>
            <w:hideMark/>
          </w:tcPr>
          <w:p w14:paraId="05607AD9" w14:textId="2A748743" w:rsidR="00E46046" w:rsidRPr="00B92499" w:rsidRDefault="00E46046" w:rsidP="00BD5AFE">
            <w:pPr>
              <w:jc w:val="both"/>
              <w:rPr>
                <w:rFonts w:ascii="Arial" w:hAnsi="Arial" w:cs="Arial"/>
                <w:color w:val="000000"/>
                <w:sz w:val="20"/>
                <w:szCs w:val="20"/>
              </w:rPr>
            </w:pPr>
            <w:r w:rsidRPr="00B92499">
              <w:rPr>
                <w:rFonts w:ascii="Arial" w:hAnsi="Arial" w:cs="Arial"/>
                <w:color w:val="000000"/>
                <w:sz w:val="20"/>
                <w:szCs w:val="20"/>
              </w:rPr>
              <w:t>Información trimestral sobre la calidad del agua de la ciudad</w:t>
            </w:r>
            <w:r w:rsidR="00BD5AFE" w:rsidRPr="00B92499">
              <w:rPr>
                <w:rFonts w:ascii="Arial" w:hAnsi="Arial" w:cs="Arial"/>
                <w:color w:val="000000"/>
                <w:sz w:val="20"/>
                <w:szCs w:val="20"/>
              </w:rPr>
              <w:t>.</w:t>
            </w:r>
          </w:p>
        </w:tc>
        <w:tc>
          <w:tcPr>
            <w:tcW w:w="770" w:type="dxa"/>
            <w:tcBorders>
              <w:top w:val="nil"/>
              <w:left w:val="nil"/>
              <w:bottom w:val="single" w:sz="4" w:space="0" w:color="auto"/>
              <w:right w:val="single" w:sz="4" w:space="0" w:color="auto"/>
            </w:tcBorders>
            <w:shd w:val="clear" w:color="auto" w:fill="auto"/>
            <w:vAlign w:val="center"/>
            <w:hideMark/>
          </w:tcPr>
          <w:p w14:paraId="61559685" w14:textId="77777777" w:rsidR="00E46046" w:rsidRPr="00B92499" w:rsidRDefault="00E46046">
            <w:pPr>
              <w:jc w:val="center"/>
              <w:rPr>
                <w:rFonts w:ascii="Arial" w:hAnsi="Arial" w:cs="Arial"/>
                <w:color w:val="000000"/>
                <w:sz w:val="20"/>
                <w:szCs w:val="20"/>
              </w:rPr>
            </w:pPr>
            <w:r w:rsidRPr="00B92499">
              <w:rPr>
                <w:rFonts w:ascii="Arial" w:hAnsi="Arial" w:cs="Arial"/>
                <w:color w:val="000000"/>
                <w:sz w:val="20"/>
                <w:szCs w:val="20"/>
              </w:rPr>
              <w:t xml:space="preserve">                 99.69 </w:t>
            </w:r>
          </w:p>
        </w:tc>
      </w:tr>
      <w:tr w:rsidR="00E46046" w:rsidRPr="00B92499" w14:paraId="74ED9DE3" w14:textId="77777777" w:rsidTr="00E46046">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BE0E414" w14:textId="77777777" w:rsidR="00E46046" w:rsidRPr="00B92499" w:rsidRDefault="00E46046">
            <w:pPr>
              <w:jc w:val="center"/>
              <w:rPr>
                <w:rFonts w:ascii="Arial" w:hAnsi="Arial" w:cs="Arial"/>
                <w:color w:val="000000"/>
                <w:sz w:val="20"/>
                <w:szCs w:val="20"/>
              </w:rPr>
            </w:pPr>
            <w:r w:rsidRPr="00B92499">
              <w:rPr>
                <w:rFonts w:ascii="Arial" w:hAnsi="Arial" w:cs="Arial"/>
                <w:color w:val="000000"/>
                <w:sz w:val="20"/>
                <w:szCs w:val="20"/>
              </w:rPr>
              <w:t>X</w:t>
            </w:r>
          </w:p>
        </w:tc>
        <w:tc>
          <w:tcPr>
            <w:tcW w:w="0" w:type="auto"/>
            <w:tcBorders>
              <w:top w:val="nil"/>
              <w:left w:val="nil"/>
              <w:bottom w:val="single" w:sz="4" w:space="0" w:color="auto"/>
              <w:right w:val="single" w:sz="4" w:space="0" w:color="auto"/>
            </w:tcBorders>
            <w:shd w:val="clear" w:color="auto" w:fill="auto"/>
            <w:vAlign w:val="center"/>
            <w:hideMark/>
          </w:tcPr>
          <w:p w14:paraId="5D9AB831" w14:textId="5375E4FD" w:rsidR="00E46046" w:rsidRPr="00B92499" w:rsidRDefault="00E46046" w:rsidP="00BD5AFE">
            <w:pPr>
              <w:jc w:val="both"/>
              <w:rPr>
                <w:rFonts w:ascii="Arial" w:hAnsi="Arial" w:cs="Arial"/>
                <w:color w:val="000000"/>
                <w:sz w:val="20"/>
                <w:szCs w:val="20"/>
              </w:rPr>
            </w:pPr>
            <w:r w:rsidRPr="00B92499">
              <w:rPr>
                <w:rFonts w:ascii="Arial" w:hAnsi="Arial" w:cs="Arial"/>
                <w:color w:val="000000"/>
                <w:sz w:val="20"/>
                <w:szCs w:val="20"/>
              </w:rPr>
              <w:t>En materia de investigación de los delitos, estadísticas sobre el número de averiguaciones previas o carpetas de investigación</w:t>
            </w:r>
            <w:r w:rsidR="00BD5AFE" w:rsidRPr="00B92499">
              <w:rPr>
                <w:rFonts w:ascii="Arial" w:hAnsi="Arial" w:cs="Arial"/>
                <w:color w:val="000000"/>
                <w:sz w:val="20"/>
                <w:szCs w:val="20"/>
              </w:rPr>
              <w:t>.</w:t>
            </w:r>
          </w:p>
        </w:tc>
        <w:tc>
          <w:tcPr>
            <w:tcW w:w="770" w:type="dxa"/>
            <w:tcBorders>
              <w:top w:val="nil"/>
              <w:left w:val="nil"/>
              <w:bottom w:val="single" w:sz="4" w:space="0" w:color="auto"/>
              <w:right w:val="single" w:sz="4" w:space="0" w:color="auto"/>
            </w:tcBorders>
            <w:shd w:val="clear" w:color="auto" w:fill="auto"/>
            <w:vAlign w:val="center"/>
            <w:hideMark/>
          </w:tcPr>
          <w:p w14:paraId="13992358" w14:textId="77777777" w:rsidR="00E46046" w:rsidRPr="00B92499" w:rsidRDefault="00E46046">
            <w:pPr>
              <w:jc w:val="center"/>
              <w:rPr>
                <w:rFonts w:ascii="Arial" w:hAnsi="Arial" w:cs="Arial"/>
                <w:color w:val="000000"/>
                <w:sz w:val="20"/>
                <w:szCs w:val="20"/>
              </w:rPr>
            </w:pPr>
            <w:r w:rsidRPr="00B92499">
              <w:rPr>
                <w:rFonts w:ascii="Arial" w:hAnsi="Arial" w:cs="Arial"/>
                <w:color w:val="000000"/>
                <w:sz w:val="20"/>
                <w:szCs w:val="20"/>
              </w:rPr>
              <w:t xml:space="preserve">                 98.44 </w:t>
            </w:r>
          </w:p>
        </w:tc>
      </w:tr>
      <w:tr w:rsidR="00E46046" w:rsidRPr="00B92499" w14:paraId="1799F6BF" w14:textId="77777777" w:rsidTr="00E46046">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ACF1323" w14:textId="77777777" w:rsidR="00E46046" w:rsidRPr="00B92499" w:rsidRDefault="00E46046">
            <w:pPr>
              <w:jc w:val="center"/>
              <w:rPr>
                <w:rFonts w:ascii="Arial" w:hAnsi="Arial" w:cs="Arial"/>
                <w:color w:val="000000"/>
                <w:sz w:val="20"/>
                <w:szCs w:val="20"/>
              </w:rPr>
            </w:pPr>
            <w:r w:rsidRPr="00B92499">
              <w:rPr>
                <w:rFonts w:ascii="Arial" w:hAnsi="Arial" w:cs="Arial"/>
                <w:color w:val="000000"/>
                <w:sz w:val="20"/>
                <w:szCs w:val="20"/>
              </w:rPr>
              <w:t>II</w:t>
            </w:r>
          </w:p>
        </w:tc>
        <w:tc>
          <w:tcPr>
            <w:tcW w:w="0" w:type="auto"/>
            <w:tcBorders>
              <w:top w:val="nil"/>
              <w:left w:val="nil"/>
              <w:bottom w:val="single" w:sz="4" w:space="0" w:color="auto"/>
              <w:right w:val="single" w:sz="4" w:space="0" w:color="auto"/>
            </w:tcBorders>
            <w:shd w:val="clear" w:color="auto" w:fill="auto"/>
            <w:vAlign w:val="center"/>
            <w:hideMark/>
          </w:tcPr>
          <w:p w14:paraId="551E015A" w14:textId="6CDE9AF8" w:rsidR="00E46046" w:rsidRPr="00B92499" w:rsidRDefault="00E46046" w:rsidP="00BD5AFE">
            <w:pPr>
              <w:jc w:val="both"/>
              <w:rPr>
                <w:rFonts w:ascii="Arial" w:hAnsi="Arial" w:cs="Arial"/>
                <w:color w:val="000000"/>
                <w:sz w:val="20"/>
                <w:szCs w:val="20"/>
              </w:rPr>
            </w:pPr>
            <w:r w:rsidRPr="00B92499">
              <w:rPr>
                <w:rFonts w:ascii="Arial" w:hAnsi="Arial" w:cs="Arial"/>
                <w:color w:val="000000"/>
                <w:sz w:val="20"/>
                <w:szCs w:val="20"/>
              </w:rPr>
              <w:t xml:space="preserve">El Programa General de Desarrollo de la Ciudad de México vinculado con los programas operativos anuales y los respectivos indicadores de gestión que </w:t>
            </w:r>
            <w:r w:rsidRPr="00B92499">
              <w:rPr>
                <w:rFonts w:ascii="Arial" w:hAnsi="Arial" w:cs="Arial"/>
                <w:color w:val="000000"/>
                <w:sz w:val="20"/>
                <w:szCs w:val="20"/>
              </w:rPr>
              <w:lastRenderedPageBreak/>
              <w:t>permitan conocer las metas, así como los avances físico y financiero. Sobre los indicadores de gestión se deberá difundir, además, el método de evaluación con una justificación de los resultados obtenidos y el monto de los recursos públicos asignados para su cumplimiento</w:t>
            </w:r>
            <w:r w:rsidR="00BD5AFE" w:rsidRPr="00B92499">
              <w:rPr>
                <w:rFonts w:ascii="Arial" w:hAnsi="Arial" w:cs="Arial"/>
                <w:color w:val="000000"/>
                <w:sz w:val="20"/>
                <w:szCs w:val="20"/>
              </w:rPr>
              <w:t>.</w:t>
            </w:r>
          </w:p>
        </w:tc>
        <w:tc>
          <w:tcPr>
            <w:tcW w:w="770" w:type="dxa"/>
            <w:tcBorders>
              <w:top w:val="nil"/>
              <w:left w:val="nil"/>
              <w:bottom w:val="single" w:sz="4" w:space="0" w:color="auto"/>
              <w:right w:val="single" w:sz="4" w:space="0" w:color="auto"/>
            </w:tcBorders>
            <w:shd w:val="clear" w:color="auto" w:fill="auto"/>
            <w:vAlign w:val="center"/>
            <w:hideMark/>
          </w:tcPr>
          <w:p w14:paraId="7B26B927" w14:textId="77777777" w:rsidR="00E46046" w:rsidRPr="00B92499" w:rsidRDefault="00E46046">
            <w:pPr>
              <w:jc w:val="center"/>
              <w:rPr>
                <w:rFonts w:ascii="Arial" w:hAnsi="Arial" w:cs="Arial"/>
                <w:color w:val="000000"/>
                <w:sz w:val="20"/>
                <w:szCs w:val="20"/>
              </w:rPr>
            </w:pPr>
            <w:r w:rsidRPr="00B92499">
              <w:rPr>
                <w:rFonts w:ascii="Arial" w:hAnsi="Arial" w:cs="Arial"/>
                <w:color w:val="000000"/>
                <w:sz w:val="20"/>
                <w:szCs w:val="20"/>
              </w:rPr>
              <w:lastRenderedPageBreak/>
              <w:t xml:space="preserve">                 97.76 </w:t>
            </w:r>
          </w:p>
        </w:tc>
      </w:tr>
      <w:tr w:rsidR="00E46046" w:rsidRPr="00B92499" w14:paraId="5568B106" w14:textId="77777777" w:rsidTr="00E46046">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89BAE52" w14:textId="77777777" w:rsidR="00E46046" w:rsidRPr="00B92499" w:rsidRDefault="00E46046">
            <w:pPr>
              <w:jc w:val="center"/>
              <w:rPr>
                <w:rFonts w:ascii="Arial" w:hAnsi="Arial" w:cs="Arial"/>
                <w:color w:val="000000"/>
                <w:sz w:val="20"/>
                <w:szCs w:val="20"/>
              </w:rPr>
            </w:pPr>
            <w:r w:rsidRPr="00B92499">
              <w:rPr>
                <w:rFonts w:ascii="Arial" w:hAnsi="Arial" w:cs="Arial"/>
                <w:color w:val="000000"/>
                <w:sz w:val="20"/>
                <w:szCs w:val="20"/>
              </w:rPr>
              <w:t>XXV</w:t>
            </w:r>
          </w:p>
        </w:tc>
        <w:tc>
          <w:tcPr>
            <w:tcW w:w="0" w:type="auto"/>
            <w:tcBorders>
              <w:top w:val="nil"/>
              <w:left w:val="nil"/>
              <w:bottom w:val="single" w:sz="4" w:space="0" w:color="auto"/>
              <w:right w:val="single" w:sz="4" w:space="0" w:color="auto"/>
            </w:tcBorders>
            <w:shd w:val="clear" w:color="auto" w:fill="auto"/>
            <w:vAlign w:val="center"/>
            <w:hideMark/>
          </w:tcPr>
          <w:p w14:paraId="577B245A" w14:textId="32EC0CDD" w:rsidR="00E46046" w:rsidRPr="00B92499" w:rsidRDefault="00E46046" w:rsidP="00BD5AFE">
            <w:pPr>
              <w:jc w:val="both"/>
              <w:rPr>
                <w:rFonts w:ascii="Arial" w:hAnsi="Arial" w:cs="Arial"/>
                <w:color w:val="000000"/>
                <w:sz w:val="20"/>
                <w:szCs w:val="20"/>
              </w:rPr>
            </w:pPr>
            <w:r w:rsidRPr="00B92499">
              <w:rPr>
                <w:rFonts w:ascii="Arial" w:hAnsi="Arial" w:cs="Arial"/>
                <w:color w:val="000000"/>
                <w:sz w:val="20"/>
                <w:szCs w:val="20"/>
              </w:rPr>
              <w:t>Las manifestaciones de impacto ambiental</w:t>
            </w:r>
            <w:r w:rsidR="00BD5AFE" w:rsidRPr="00B92499">
              <w:rPr>
                <w:rFonts w:ascii="Arial" w:hAnsi="Arial" w:cs="Arial"/>
                <w:color w:val="000000"/>
                <w:sz w:val="20"/>
                <w:szCs w:val="20"/>
              </w:rPr>
              <w:t>.</w:t>
            </w:r>
          </w:p>
        </w:tc>
        <w:tc>
          <w:tcPr>
            <w:tcW w:w="770" w:type="dxa"/>
            <w:tcBorders>
              <w:top w:val="nil"/>
              <w:left w:val="nil"/>
              <w:bottom w:val="single" w:sz="4" w:space="0" w:color="auto"/>
              <w:right w:val="single" w:sz="4" w:space="0" w:color="auto"/>
            </w:tcBorders>
            <w:shd w:val="clear" w:color="auto" w:fill="auto"/>
            <w:vAlign w:val="center"/>
            <w:hideMark/>
          </w:tcPr>
          <w:p w14:paraId="2A2E831D" w14:textId="77777777" w:rsidR="00E46046" w:rsidRPr="00B92499" w:rsidRDefault="00E46046">
            <w:pPr>
              <w:jc w:val="center"/>
              <w:rPr>
                <w:rFonts w:ascii="Arial" w:hAnsi="Arial" w:cs="Arial"/>
                <w:color w:val="000000"/>
                <w:sz w:val="20"/>
                <w:szCs w:val="20"/>
              </w:rPr>
            </w:pPr>
            <w:r w:rsidRPr="00B92499">
              <w:rPr>
                <w:rFonts w:ascii="Arial" w:hAnsi="Arial" w:cs="Arial"/>
                <w:color w:val="000000"/>
                <w:sz w:val="20"/>
                <w:szCs w:val="20"/>
              </w:rPr>
              <w:t xml:space="preserve">                 97.45 </w:t>
            </w:r>
          </w:p>
        </w:tc>
      </w:tr>
      <w:tr w:rsidR="00E46046" w:rsidRPr="00B92499" w14:paraId="75B4EB25" w14:textId="77777777" w:rsidTr="00E46046">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C5C0394" w14:textId="77777777" w:rsidR="00E46046" w:rsidRPr="00B92499" w:rsidRDefault="00E46046">
            <w:pPr>
              <w:jc w:val="center"/>
              <w:rPr>
                <w:rFonts w:ascii="Arial" w:hAnsi="Arial" w:cs="Arial"/>
                <w:color w:val="000000"/>
                <w:sz w:val="20"/>
                <w:szCs w:val="20"/>
              </w:rPr>
            </w:pPr>
            <w:r w:rsidRPr="00B92499">
              <w:rPr>
                <w:rFonts w:ascii="Arial" w:hAnsi="Arial" w:cs="Arial"/>
                <w:color w:val="000000"/>
                <w:sz w:val="20"/>
                <w:szCs w:val="20"/>
              </w:rPr>
              <w:t>XXVI</w:t>
            </w:r>
          </w:p>
        </w:tc>
        <w:tc>
          <w:tcPr>
            <w:tcW w:w="0" w:type="auto"/>
            <w:tcBorders>
              <w:top w:val="nil"/>
              <w:left w:val="nil"/>
              <w:bottom w:val="single" w:sz="4" w:space="0" w:color="auto"/>
              <w:right w:val="single" w:sz="4" w:space="0" w:color="auto"/>
            </w:tcBorders>
            <w:shd w:val="clear" w:color="auto" w:fill="auto"/>
            <w:vAlign w:val="center"/>
            <w:hideMark/>
          </w:tcPr>
          <w:p w14:paraId="61021AC8" w14:textId="24B63C00" w:rsidR="00E46046" w:rsidRPr="00B92499" w:rsidRDefault="00E46046" w:rsidP="00BD5AFE">
            <w:pPr>
              <w:jc w:val="both"/>
              <w:rPr>
                <w:rFonts w:ascii="Arial" w:hAnsi="Arial" w:cs="Arial"/>
                <w:color w:val="000000"/>
                <w:sz w:val="20"/>
                <w:szCs w:val="20"/>
              </w:rPr>
            </w:pPr>
            <w:r w:rsidRPr="00B92499">
              <w:rPr>
                <w:rFonts w:ascii="Arial" w:hAnsi="Arial" w:cs="Arial"/>
                <w:color w:val="000000"/>
                <w:sz w:val="20"/>
                <w:szCs w:val="20"/>
              </w:rPr>
              <w:t>Los resultados de estudios de calidad del aire</w:t>
            </w:r>
            <w:r w:rsidR="00BD5AFE" w:rsidRPr="00B92499">
              <w:rPr>
                <w:rFonts w:ascii="Arial" w:hAnsi="Arial" w:cs="Arial"/>
                <w:color w:val="000000"/>
                <w:sz w:val="20"/>
                <w:szCs w:val="20"/>
              </w:rPr>
              <w:t>.</w:t>
            </w:r>
          </w:p>
        </w:tc>
        <w:tc>
          <w:tcPr>
            <w:tcW w:w="770" w:type="dxa"/>
            <w:tcBorders>
              <w:top w:val="nil"/>
              <w:left w:val="nil"/>
              <w:bottom w:val="single" w:sz="4" w:space="0" w:color="auto"/>
              <w:right w:val="single" w:sz="4" w:space="0" w:color="auto"/>
            </w:tcBorders>
            <w:shd w:val="clear" w:color="auto" w:fill="auto"/>
            <w:vAlign w:val="center"/>
            <w:hideMark/>
          </w:tcPr>
          <w:p w14:paraId="28CA5894" w14:textId="77777777" w:rsidR="00E46046" w:rsidRPr="00B92499" w:rsidRDefault="00E46046">
            <w:pPr>
              <w:jc w:val="center"/>
              <w:rPr>
                <w:rFonts w:ascii="Arial" w:hAnsi="Arial" w:cs="Arial"/>
                <w:color w:val="000000"/>
                <w:sz w:val="20"/>
                <w:szCs w:val="20"/>
              </w:rPr>
            </w:pPr>
            <w:r w:rsidRPr="00B92499">
              <w:rPr>
                <w:rFonts w:ascii="Arial" w:hAnsi="Arial" w:cs="Arial"/>
                <w:color w:val="000000"/>
                <w:sz w:val="20"/>
                <w:szCs w:val="20"/>
              </w:rPr>
              <w:t xml:space="preserve">                 97.45 </w:t>
            </w:r>
          </w:p>
        </w:tc>
      </w:tr>
      <w:tr w:rsidR="00E46046" w:rsidRPr="00B92499" w14:paraId="31911766" w14:textId="77777777" w:rsidTr="00E46046">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8ADF24A" w14:textId="77777777" w:rsidR="00E46046" w:rsidRPr="00B92499" w:rsidRDefault="00E46046">
            <w:pPr>
              <w:jc w:val="center"/>
              <w:rPr>
                <w:rFonts w:ascii="Arial" w:hAnsi="Arial" w:cs="Arial"/>
                <w:color w:val="000000"/>
                <w:sz w:val="20"/>
                <w:szCs w:val="20"/>
              </w:rPr>
            </w:pPr>
            <w:r w:rsidRPr="00B92499">
              <w:rPr>
                <w:rFonts w:ascii="Arial" w:hAnsi="Arial" w:cs="Arial"/>
                <w:color w:val="000000"/>
                <w:sz w:val="20"/>
                <w:szCs w:val="20"/>
              </w:rPr>
              <w:t>XXII</w:t>
            </w:r>
          </w:p>
        </w:tc>
        <w:tc>
          <w:tcPr>
            <w:tcW w:w="0" w:type="auto"/>
            <w:tcBorders>
              <w:top w:val="nil"/>
              <w:left w:val="nil"/>
              <w:bottom w:val="single" w:sz="4" w:space="0" w:color="auto"/>
              <w:right w:val="single" w:sz="4" w:space="0" w:color="auto"/>
            </w:tcBorders>
            <w:shd w:val="clear" w:color="auto" w:fill="auto"/>
            <w:vAlign w:val="center"/>
            <w:hideMark/>
          </w:tcPr>
          <w:p w14:paraId="0434C080" w14:textId="7E288AF0" w:rsidR="00E46046" w:rsidRPr="00B92499" w:rsidRDefault="00E46046" w:rsidP="00BD5AFE">
            <w:pPr>
              <w:jc w:val="both"/>
              <w:rPr>
                <w:rFonts w:ascii="Arial" w:hAnsi="Arial" w:cs="Arial"/>
                <w:color w:val="000000"/>
                <w:sz w:val="20"/>
                <w:szCs w:val="20"/>
              </w:rPr>
            </w:pPr>
            <w:r w:rsidRPr="00B92499">
              <w:rPr>
                <w:rFonts w:ascii="Arial" w:hAnsi="Arial" w:cs="Arial"/>
                <w:color w:val="000000"/>
                <w:sz w:val="20"/>
                <w:szCs w:val="20"/>
              </w:rPr>
              <w:t>Los mecanismos e informes de supervisión del desempeño de las empresas concesionarias que participan en la gestión del agua</w:t>
            </w:r>
            <w:r w:rsidR="00BD5AFE" w:rsidRPr="00B92499">
              <w:rPr>
                <w:rFonts w:ascii="Arial" w:hAnsi="Arial" w:cs="Arial"/>
                <w:color w:val="000000"/>
                <w:sz w:val="20"/>
                <w:szCs w:val="20"/>
              </w:rPr>
              <w:t>.</w:t>
            </w:r>
          </w:p>
        </w:tc>
        <w:tc>
          <w:tcPr>
            <w:tcW w:w="770" w:type="dxa"/>
            <w:tcBorders>
              <w:top w:val="nil"/>
              <w:left w:val="nil"/>
              <w:bottom w:val="single" w:sz="4" w:space="0" w:color="auto"/>
              <w:right w:val="single" w:sz="4" w:space="0" w:color="auto"/>
            </w:tcBorders>
            <w:shd w:val="clear" w:color="auto" w:fill="auto"/>
            <w:vAlign w:val="center"/>
            <w:hideMark/>
          </w:tcPr>
          <w:p w14:paraId="76C9AA24" w14:textId="77777777" w:rsidR="00E46046" w:rsidRPr="00B92499" w:rsidRDefault="00E46046">
            <w:pPr>
              <w:jc w:val="center"/>
              <w:rPr>
                <w:rFonts w:ascii="Arial" w:hAnsi="Arial" w:cs="Arial"/>
                <w:color w:val="000000"/>
                <w:sz w:val="20"/>
                <w:szCs w:val="20"/>
              </w:rPr>
            </w:pPr>
            <w:r w:rsidRPr="00B92499">
              <w:rPr>
                <w:rFonts w:ascii="Arial" w:hAnsi="Arial" w:cs="Arial"/>
                <w:color w:val="000000"/>
                <w:sz w:val="20"/>
                <w:szCs w:val="20"/>
              </w:rPr>
              <w:t xml:space="preserve">                 97.37 </w:t>
            </w:r>
          </w:p>
        </w:tc>
      </w:tr>
      <w:tr w:rsidR="00E46046" w:rsidRPr="00B92499" w14:paraId="51BD4E74" w14:textId="77777777" w:rsidTr="00E46046">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63B6252" w14:textId="77777777" w:rsidR="00E46046" w:rsidRPr="00B92499" w:rsidRDefault="00E46046">
            <w:pPr>
              <w:jc w:val="center"/>
              <w:rPr>
                <w:rFonts w:ascii="Arial" w:hAnsi="Arial" w:cs="Arial"/>
                <w:color w:val="000000"/>
                <w:sz w:val="20"/>
                <w:szCs w:val="20"/>
              </w:rPr>
            </w:pPr>
            <w:r w:rsidRPr="00B92499">
              <w:rPr>
                <w:rFonts w:ascii="Arial" w:hAnsi="Arial" w:cs="Arial"/>
                <w:color w:val="000000"/>
                <w:sz w:val="20"/>
                <w:szCs w:val="20"/>
              </w:rPr>
              <w:t>XI</w:t>
            </w:r>
          </w:p>
        </w:tc>
        <w:tc>
          <w:tcPr>
            <w:tcW w:w="0" w:type="auto"/>
            <w:tcBorders>
              <w:top w:val="nil"/>
              <w:left w:val="nil"/>
              <w:bottom w:val="single" w:sz="4" w:space="0" w:color="auto"/>
              <w:right w:val="single" w:sz="4" w:space="0" w:color="auto"/>
            </w:tcBorders>
            <w:shd w:val="clear" w:color="auto" w:fill="auto"/>
            <w:vAlign w:val="center"/>
            <w:hideMark/>
          </w:tcPr>
          <w:p w14:paraId="4F37BB74" w14:textId="74670934" w:rsidR="00E46046" w:rsidRPr="00B92499" w:rsidRDefault="00E46046" w:rsidP="00BD5AFE">
            <w:pPr>
              <w:jc w:val="both"/>
              <w:rPr>
                <w:rFonts w:ascii="Arial" w:hAnsi="Arial" w:cs="Arial"/>
                <w:color w:val="000000"/>
                <w:sz w:val="20"/>
                <w:szCs w:val="20"/>
              </w:rPr>
            </w:pPr>
            <w:r w:rsidRPr="00B92499">
              <w:rPr>
                <w:rFonts w:ascii="Arial" w:hAnsi="Arial" w:cs="Arial"/>
                <w:color w:val="000000"/>
                <w:sz w:val="20"/>
                <w:szCs w:val="20"/>
              </w:rPr>
              <w:t>Las cantidades recibidas por concepto de multas y servicios de grúa y almacenamiento de vehículos, en su caso, así como el destino al que se aplicaron</w:t>
            </w:r>
            <w:r w:rsidR="00BD5AFE" w:rsidRPr="00B92499">
              <w:rPr>
                <w:rFonts w:ascii="Arial" w:hAnsi="Arial" w:cs="Arial"/>
                <w:color w:val="000000"/>
                <w:sz w:val="20"/>
                <w:szCs w:val="20"/>
              </w:rPr>
              <w:t>.</w:t>
            </w:r>
          </w:p>
        </w:tc>
        <w:tc>
          <w:tcPr>
            <w:tcW w:w="770" w:type="dxa"/>
            <w:tcBorders>
              <w:top w:val="nil"/>
              <w:left w:val="nil"/>
              <w:bottom w:val="single" w:sz="4" w:space="0" w:color="auto"/>
              <w:right w:val="single" w:sz="4" w:space="0" w:color="auto"/>
            </w:tcBorders>
            <w:shd w:val="clear" w:color="auto" w:fill="auto"/>
            <w:vAlign w:val="center"/>
            <w:hideMark/>
          </w:tcPr>
          <w:p w14:paraId="281F3EEA" w14:textId="77777777" w:rsidR="00E46046" w:rsidRPr="00B92499" w:rsidRDefault="00E46046">
            <w:pPr>
              <w:jc w:val="center"/>
              <w:rPr>
                <w:rFonts w:ascii="Arial" w:hAnsi="Arial" w:cs="Arial"/>
                <w:color w:val="000000"/>
                <w:sz w:val="20"/>
                <w:szCs w:val="20"/>
              </w:rPr>
            </w:pPr>
            <w:r w:rsidRPr="00B92499">
              <w:rPr>
                <w:rFonts w:ascii="Arial" w:hAnsi="Arial" w:cs="Arial"/>
                <w:color w:val="000000"/>
                <w:sz w:val="20"/>
                <w:szCs w:val="20"/>
              </w:rPr>
              <w:t xml:space="preserve">                 97.11 </w:t>
            </w:r>
          </w:p>
        </w:tc>
      </w:tr>
      <w:tr w:rsidR="00E46046" w:rsidRPr="00B92499" w14:paraId="11A2987E" w14:textId="77777777" w:rsidTr="00E46046">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677A1DD" w14:textId="77777777" w:rsidR="00E46046" w:rsidRPr="00B92499" w:rsidRDefault="00E46046">
            <w:pPr>
              <w:jc w:val="center"/>
              <w:rPr>
                <w:rFonts w:ascii="Arial" w:hAnsi="Arial" w:cs="Arial"/>
                <w:color w:val="000000"/>
                <w:sz w:val="20"/>
                <w:szCs w:val="20"/>
              </w:rPr>
            </w:pPr>
            <w:r w:rsidRPr="00B92499">
              <w:rPr>
                <w:rFonts w:ascii="Arial" w:hAnsi="Arial" w:cs="Arial"/>
                <w:color w:val="000000"/>
                <w:sz w:val="20"/>
                <w:szCs w:val="20"/>
              </w:rPr>
              <w:t>XX</w:t>
            </w:r>
          </w:p>
        </w:tc>
        <w:tc>
          <w:tcPr>
            <w:tcW w:w="0" w:type="auto"/>
            <w:tcBorders>
              <w:top w:val="nil"/>
              <w:left w:val="nil"/>
              <w:bottom w:val="single" w:sz="4" w:space="0" w:color="auto"/>
              <w:right w:val="single" w:sz="4" w:space="0" w:color="auto"/>
            </w:tcBorders>
            <w:shd w:val="clear" w:color="auto" w:fill="auto"/>
            <w:vAlign w:val="center"/>
            <w:hideMark/>
          </w:tcPr>
          <w:p w14:paraId="16898071" w14:textId="2FD8FF03" w:rsidR="00E46046" w:rsidRPr="00B92499" w:rsidRDefault="00E46046" w:rsidP="00BD5AFE">
            <w:pPr>
              <w:jc w:val="both"/>
              <w:rPr>
                <w:rFonts w:ascii="Arial" w:hAnsi="Arial" w:cs="Arial"/>
                <w:color w:val="000000"/>
                <w:sz w:val="20"/>
                <w:szCs w:val="20"/>
              </w:rPr>
            </w:pPr>
            <w:r w:rsidRPr="00B92499">
              <w:rPr>
                <w:rFonts w:ascii="Arial" w:hAnsi="Arial" w:cs="Arial"/>
                <w:color w:val="000000"/>
                <w:sz w:val="20"/>
                <w:szCs w:val="20"/>
              </w:rPr>
              <w:t>Un listado de las oficinas del Registro Civil en la Ciudad de México, incluyendo su ubicación, el currículum y antigüedad en el cargo de los oficiales o titulares y las estadísticas de los trámites que realice</w:t>
            </w:r>
            <w:r w:rsidR="00BD5AFE" w:rsidRPr="00B92499">
              <w:rPr>
                <w:rFonts w:ascii="Arial" w:hAnsi="Arial" w:cs="Arial"/>
                <w:color w:val="000000"/>
                <w:sz w:val="20"/>
                <w:szCs w:val="20"/>
              </w:rPr>
              <w:t>.</w:t>
            </w:r>
          </w:p>
        </w:tc>
        <w:tc>
          <w:tcPr>
            <w:tcW w:w="770" w:type="dxa"/>
            <w:tcBorders>
              <w:top w:val="nil"/>
              <w:left w:val="nil"/>
              <w:bottom w:val="single" w:sz="4" w:space="0" w:color="auto"/>
              <w:right w:val="single" w:sz="4" w:space="0" w:color="auto"/>
            </w:tcBorders>
            <w:shd w:val="clear" w:color="auto" w:fill="auto"/>
            <w:vAlign w:val="center"/>
            <w:hideMark/>
          </w:tcPr>
          <w:p w14:paraId="34112AC5" w14:textId="77777777" w:rsidR="00E46046" w:rsidRPr="00B92499" w:rsidRDefault="00E46046">
            <w:pPr>
              <w:jc w:val="center"/>
              <w:rPr>
                <w:rFonts w:ascii="Arial" w:hAnsi="Arial" w:cs="Arial"/>
                <w:color w:val="000000"/>
                <w:sz w:val="20"/>
                <w:szCs w:val="20"/>
              </w:rPr>
            </w:pPr>
            <w:r w:rsidRPr="00B92499">
              <w:rPr>
                <w:rFonts w:ascii="Arial" w:hAnsi="Arial" w:cs="Arial"/>
                <w:color w:val="000000"/>
                <w:sz w:val="20"/>
                <w:szCs w:val="20"/>
              </w:rPr>
              <w:t xml:space="preserve">                 97.11 </w:t>
            </w:r>
          </w:p>
        </w:tc>
      </w:tr>
      <w:tr w:rsidR="00E46046" w:rsidRPr="00B92499" w14:paraId="0146CFC6" w14:textId="77777777" w:rsidTr="00E46046">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5C0D3D8" w14:textId="77777777" w:rsidR="00E46046" w:rsidRPr="00B92499" w:rsidRDefault="00E46046">
            <w:pPr>
              <w:jc w:val="center"/>
              <w:rPr>
                <w:rFonts w:ascii="Arial" w:hAnsi="Arial" w:cs="Arial"/>
                <w:color w:val="000000"/>
                <w:sz w:val="20"/>
                <w:szCs w:val="20"/>
              </w:rPr>
            </w:pPr>
            <w:r w:rsidRPr="00B92499">
              <w:rPr>
                <w:rFonts w:ascii="Arial" w:hAnsi="Arial" w:cs="Arial"/>
                <w:color w:val="000000"/>
                <w:sz w:val="20"/>
                <w:szCs w:val="20"/>
              </w:rPr>
              <w:t>IX</w:t>
            </w:r>
          </w:p>
        </w:tc>
        <w:tc>
          <w:tcPr>
            <w:tcW w:w="0" w:type="auto"/>
            <w:tcBorders>
              <w:top w:val="nil"/>
              <w:left w:val="nil"/>
              <w:bottom w:val="single" w:sz="4" w:space="0" w:color="auto"/>
              <w:right w:val="single" w:sz="4" w:space="0" w:color="auto"/>
            </w:tcBorders>
            <w:shd w:val="clear" w:color="auto" w:fill="auto"/>
            <w:vAlign w:val="center"/>
            <w:hideMark/>
          </w:tcPr>
          <w:p w14:paraId="718BD68A" w14:textId="32BBD7F4" w:rsidR="00E46046" w:rsidRPr="00B92499" w:rsidRDefault="00E46046" w:rsidP="00BD5AFE">
            <w:pPr>
              <w:jc w:val="both"/>
              <w:rPr>
                <w:rFonts w:ascii="Arial" w:hAnsi="Arial" w:cs="Arial"/>
                <w:color w:val="000000"/>
                <w:sz w:val="20"/>
                <w:szCs w:val="20"/>
              </w:rPr>
            </w:pPr>
            <w:r w:rsidRPr="00B92499">
              <w:rPr>
                <w:rFonts w:ascii="Arial" w:hAnsi="Arial" w:cs="Arial"/>
                <w:color w:val="000000"/>
                <w:sz w:val="20"/>
                <w:szCs w:val="20"/>
              </w:rPr>
              <w:t>Estadísticas e índices delictivos, así como los indicadores de la procuración de justicia</w:t>
            </w:r>
            <w:r w:rsidR="00BD5AFE" w:rsidRPr="00B92499">
              <w:rPr>
                <w:rFonts w:ascii="Arial" w:hAnsi="Arial" w:cs="Arial"/>
                <w:color w:val="000000"/>
                <w:sz w:val="20"/>
                <w:szCs w:val="20"/>
              </w:rPr>
              <w:t>.</w:t>
            </w:r>
          </w:p>
        </w:tc>
        <w:tc>
          <w:tcPr>
            <w:tcW w:w="770" w:type="dxa"/>
            <w:tcBorders>
              <w:top w:val="nil"/>
              <w:left w:val="nil"/>
              <w:bottom w:val="single" w:sz="4" w:space="0" w:color="auto"/>
              <w:right w:val="single" w:sz="4" w:space="0" w:color="auto"/>
            </w:tcBorders>
            <w:shd w:val="clear" w:color="auto" w:fill="auto"/>
            <w:vAlign w:val="center"/>
            <w:hideMark/>
          </w:tcPr>
          <w:p w14:paraId="1CB25A81" w14:textId="77777777" w:rsidR="00E46046" w:rsidRPr="00B92499" w:rsidRDefault="00E46046">
            <w:pPr>
              <w:jc w:val="center"/>
              <w:rPr>
                <w:rFonts w:ascii="Arial" w:hAnsi="Arial" w:cs="Arial"/>
                <w:color w:val="000000"/>
                <w:sz w:val="20"/>
                <w:szCs w:val="20"/>
              </w:rPr>
            </w:pPr>
            <w:r w:rsidRPr="00B92499">
              <w:rPr>
                <w:rFonts w:ascii="Arial" w:hAnsi="Arial" w:cs="Arial"/>
                <w:color w:val="000000"/>
                <w:sz w:val="20"/>
                <w:szCs w:val="20"/>
              </w:rPr>
              <w:t xml:space="preserve">                 96.56 </w:t>
            </w:r>
          </w:p>
        </w:tc>
      </w:tr>
      <w:tr w:rsidR="00E46046" w:rsidRPr="00B92499" w14:paraId="27D54872" w14:textId="77777777" w:rsidTr="00E46046">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49D884B" w14:textId="77777777" w:rsidR="00E46046" w:rsidRPr="00B92499" w:rsidRDefault="00E46046">
            <w:pPr>
              <w:jc w:val="center"/>
              <w:rPr>
                <w:rFonts w:ascii="Arial" w:hAnsi="Arial" w:cs="Arial"/>
                <w:color w:val="000000"/>
                <w:sz w:val="20"/>
                <w:szCs w:val="20"/>
              </w:rPr>
            </w:pPr>
            <w:r w:rsidRPr="00B92499">
              <w:rPr>
                <w:rFonts w:ascii="Arial" w:hAnsi="Arial" w:cs="Arial"/>
                <w:color w:val="000000"/>
                <w:sz w:val="20"/>
                <w:szCs w:val="20"/>
              </w:rPr>
              <w:t>III</w:t>
            </w:r>
          </w:p>
        </w:tc>
        <w:tc>
          <w:tcPr>
            <w:tcW w:w="0" w:type="auto"/>
            <w:tcBorders>
              <w:top w:val="nil"/>
              <w:left w:val="nil"/>
              <w:bottom w:val="single" w:sz="4" w:space="0" w:color="auto"/>
              <w:right w:val="single" w:sz="4" w:space="0" w:color="auto"/>
            </w:tcBorders>
            <w:shd w:val="clear" w:color="auto" w:fill="auto"/>
            <w:vAlign w:val="center"/>
            <w:hideMark/>
          </w:tcPr>
          <w:p w14:paraId="7A8262E9" w14:textId="6B587884" w:rsidR="00E46046" w:rsidRPr="00B92499" w:rsidRDefault="00E46046" w:rsidP="00BD5AFE">
            <w:pPr>
              <w:jc w:val="both"/>
              <w:rPr>
                <w:rFonts w:ascii="Arial" w:hAnsi="Arial" w:cs="Arial"/>
                <w:color w:val="000000"/>
                <w:sz w:val="20"/>
                <w:szCs w:val="20"/>
              </w:rPr>
            </w:pPr>
            <w:r w:rsidRPr="00B92499">
              <w:rPr>
                <w:rFonts w:ascii="Arial" w:hAnsi="Arial" w:cs="Arial"/>
                <w:color w:val="000000"/>
                <w:sz w:val="20"/>
                <w:szCs w:val="20"/>
              </w:rPr>
              <w:t>El presupuesto de egresos y las fórmulas de distribución de los recursos otorgados</w:t>
            </w:r>
            <w:r w:rsidR="00BD5AFE" w:rsidRPr="00B92499">
              <w:rPr>
                <w:rFonts w:ascii="Arial" w:hAnsi="Arial" w:cs="Arial"/>
                <w:color w:val="000000"/>
                <w:sz w:val="20"/>
                <w:szCs w:val="20"/>
              </w:rPr>
              <w:t>.</w:t>
            </w:r>
          </w:p>
        </w:tc>
        <w:tc>
          <w:tcPr>
            <w:tcW w:w="770" w:type="dxa"/>
            <w:tcBorders>
              <w:top w:val="nil"/>
              <w:left w:val="nil"/>
              <w:bottom w:val="single" w:sz="4" w:space="0" w:color="auto"/>
              <w:right w:val="single" w:sz="4" w:space="0" w:color="auto"/>
            </w:tcBorders>
            <w:shd w:val="clear" w:color="auto" w:fill="auto"/>
            <w:vAlign w:val="center"/>
            <w:hideMark/>
          </w:tcPr>
          <w:p w14:paraId="77197CCA" w14:textId="77777777" w:rsidR="00E46046" w:rsidRPr="00B92499" w:rsidRDefault="00E46046">
            <w:pPr>
              <w:jc w:val="center"/>
              <w:rPr>
                <w:rFonts w:ascii="Arial" w:hAnsi="Arial" w:cs="Arial"/>
                <w:color w:val="000000"/>
                <w:sz w:val="20"/>
                <w:szCs w:val="20"/>
              </w:rPr>
            </w:pPr>
            <w:r w:rsidRPr="00B92499">
              <w:rPr>
                <w:rFonts w:ascii="Arial" w:hAnsi="Arial" w:cs="Arial"/>
                <w:color w:val="000000"/>
                <w:sz w:val="20"/>
                <w:szCs w:val="20"/>
              </w:rPr>
              <w:t xml:space="preserve">                 96.51 </w:t>
            </w:r>
          </w:p>
        </w:tc>
      </w:tr>
      <w:tr w:rsidR="00E46046" w:rsidRPr="00B92499" w14:paraId="61B4F158" w14:textId="77777777" w:rsidTr="00E46046">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C490904" w14:textId="77777777" w:rsidR="00E46046" w:rsidRPr="00B92499" w:rsidRDefault="00E46046">
            <w:pPr>
              <w:jc w:val="center"/>
              <w:rPr>
                <w:rFonts w:ascii="Arial" w:hAnsi="Arial" w:cs="Arial"/>
                <w:color w:val="000000"/>
                <w:sz w:val="20"/>
                <w:szCs w:val="20"/>
              </w:rPr>
            </w:pPr>
            <w:r w:rsidRPr="00B92499">
              <w:rPr>
                <w:rFonts w:ascii="Arial" w:hAnsi="Arial" w:cs="Arial"/>
                <w:color w:val="000000"/>
                <w:sz w:val="20"/>
                <w:szCs w:val="20"/>
              </w:rPr>
              <w:t>XVIII</w:t>
            </w:r>
          </w:p>
        </w:tc>
        <w:tc>
          <w:tcPr>
            <w:tcW w:w="0" w:type="auto"/>
            <w:tcBorders>
              <w:top w:val="nil"/>
              <w:left w:val="nil"/>
              <w:bottom w:val="single" w:sz="4" w:space="0" w:color="auto"/>
              <w:right w:val="single" w:sz="4" w:space="0" w:color="auto"/>
            </w:tcBorders>
            <w:shd w:val="clear" w:color="auto" w:fill="auto"/>
            <w:vAlign w:val="center"/>
            <w:hideMark/>
          </w:tcPr>
          <w:p w14:paraId="58EBC2DB" w14:textId="42C5FB74" w:rsidR="00E46046" w:rsidRPr="00B92499" w:rsidRDefault="00E46046" w:rsidP="00BD5AFE">
            <w:pPr>
              <w:jc w:val="both"/>
              <w:rPr>
                <w:rFonts w:ascii="Arial" w:hAnsi="Arial" w:cs="Arial"/>
                <w:color w:val="000000"/>
                <w:sz w:val="20"/>
                <w:szCs w:val="20"/>
              </w:rPr>
            </w:pPr>
            <w:r w:rsidRPr="00B92499">
              <w:rPr>
                <w:rFonts w:ascii="Arial" w:hAnsi="Arial" w:cs="Arial"/>
                <w:color w:val="000000"/>
                <w:sz w:val="20"/>
                <w:szCs w:val="20"/>
              </w:rPr>
              <w:t>Los usos de suelo a través de mapas y planos georreferenciados</w:t>
            </w:r>
            <w:r w:rsidR="00BD5AFE" w:rsidRPr="00B92499">
              <w:rPr>
                <w:rFonts w:ascii="Arial" w:hAnsi="Arial" w:cs="Arial"/>
                <w:color w:val="000000"/>
                <w:sz w:val="20"/>
                <w:szCs w:val="20"/>
              </w:rPr>
              <w:t>.</w:t>
            </w:r>
          </w:p>
        </w:tc>
        <w:tc>
          <w:tcPr>
            <w:tcW w:w="770" w:type="dxa"/>
            <w:tcBorders>
              <w:top w:val="nil"/>
              <w:left w:val="nil"/>
              <w:bottom w:val="single" w:sz="4" w:space="0" w:color="auto"/>
              <w:right w:val="single" w:sz="4" w:space="0" w:color="auto"/>
            </w:tcBorders>
            <w:shd w:val="clear" w:color="auto" w:fill="auto"/>
            <w:vAlign w:val="center"/>
            <w:hideMark/>
          </w:tcPr>
          <w:p w14:paraId="679F34AE" w14:textId="77777777" w:rsidR="00E46046" w:rsidRPr="00B92499" w:rsidRDefault="00E46046">
            <w:pPr>
              <w:jc w:val="center"/>
              <w:rPr>
                <w:rFonts w:ascii="Arial" w:hAnsi="Arial" w:cs="Arial"/>
                <w:color w:val="000000"/>
                <w:sz w:val="20"/>
                <w:szCs w:val="20"/>
              </w:rPr>
            </w:pPr>
            <w:r w:rsidRPr="00B92499">
              <w:rPr>
                <w:rFonts w:ascii="Arial" w:hAnsi="Arial" w:cs="Arial"/>
                <w:color w:val="000000"/>
                <w:sz w:val="20"/>
                <w:szCs w:val="20"/>
              </w:rPr>
              <w:t xml:space="preserve">                 90.86 </w:t>
            </w:r>
          </w:p>
        </w:tc>
      </w:tr>
      <w:tr w:rsidR="00E46046" w:rsidRPr="00B92499" w14:paraId="2DF9CD6D" w14:textId="77777777" w:rsidTr="00E46046">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59B99A7" w14:textId="77777777" w:rsidR="00E46046" w:rsidRPr="00B92499" w:rsidRDefault="00E46046">
            <w:pPr>
              <w:jc w:val="center"/>
              <w:rPr>
                <w:rFonts w:ascii="Arial" w:hAnsi="Arial" w:cs="Arial"/>
                <w:color w:val="000000"/>
                <w:sz w:val="20"/>
                <w:szCs w:val="20"/>
              </w:rPr>
            </w:pPr>
            <w:r w:rsidRPr="00B92499">
              <w:rPr>
                <w:rFonts w:ascii="Arial" w:hAnsi="Arial" w:cs="Arial"/>
                <w:color w:val="000000"/>
                <w:sz w:val="20"/>
                <w:szCs w:val="20"/>
              </w:rPr>
              <w:t>VIII</w:t>
            </w:r>
          </w:p>
        </w:tc>
        <w:tc>
          <w:tcPr>
            <w:tcW w:w="0" w:type="auto"/>
            <w:tcBorders>
              <w:top w:val="nil"/>
              <w:left w:val="nil"/>
              <w:bottom w:val="single" w:sz="4" w:space="0" w:color="auto"/>
              <w:right w:val="single" w:sz="4" w:space="0" w:color="auto"/>
            </w:tcBorders>
            <w:shd w:val="clear" w:color="auto" w:fill="auto"/>
            <w:vAlign w:val="center"/>
            <w:hideMark/>
          </w:tcPr>
          <w:p w14:paraId="6D628FF4" w14:textId="4D2A0271" w:rsidR="00E46046" w:rsidRPr="00B92499" w:rsidRDefault="00E46046" w:rsidP="00BD5AFE">
            <w:pPr>
              <w:jc w:val="both"/>
              <w:rPr>
                <w:rFonts w:ascii="Arial" w:hAnsi="Arial" w:cs="Arial"/>
                <w:color w:val="000000"/>
                <w:sz w:val="20"/>
                <w:szCs w:val="20"/>
              </w:rPr>
            </w:pPr>
            <w:r w:rsidRPr="00B92499">
              <w:rPr>
                <w:rFonts w:ascii="Arial" w:hAnsi="Arial" w:cs="Arial"/>
                <w:color w:val="000000"/>
                <w:sz w:val="20"/>
                <w:szCs w:val="20"/>
              </w:rPr>
              <w:t>Las disposiciones administrativas, directamente o a través de la autoridad competente</w:t>
            </w:r>
            <w:r w:rsidR="00BD5AFE" w:rsidRPr="00B92499">
              <w:rPr>
                <w:rFonts w:ascii="Arial" w:hAnsi="Arial" w:cs="Arial"/>
                <w:color w:val="000000"/>
                <w:sz w:val="20"/>
                <w:szCs w:val="20"/>
              </w:rPr>
              <w:t>.</w:t>
            </w:r>
          </w:p>
        </w:tc>
        <w:tc>
          <w:tcPr>
            <w:tcW w:w="770" w:type="dxa"/>
            <w:tcBorders>
              <w:top w:val="nil"/>
              <w:left w:val="nil"/>
              <w:bottom w:val="single" w:sz="4" w:space="0" w:color="auto"/>
              <w:right w:val="single" w:sz="4" w:space="0" w:color="auto"/>
            </w:tcBorders>
            <w:shd w:val="clear" w:color="auto" w:fill="auto"/>
            <w:vAlign w:val="center"/>
            <w:hideMark/>
          </w:tcPr>
          <w:p w14:paraId="7939803E" w14:textId="77777777" w:rsidR="00E46046" w:rsidRPr="00B92499" w:rsidRDefault="00E46046">
            <w:pPr>
              <w:jc w:val="center"/>
              <w:rPr>
                <w:rFonts w:ascii="Arial" w:hAnsi="Arial" w:cs="Arial"/>
                <w:color w:val="000000"/>
                <w:sz w:val="20"/>
                <w:szCs w:val="20"/>
              </w:rPr>
            </w:pPr>
            <w:r w:rsidRPr="00B92499">
              <w:rPr>
                <w:rFonts w:ascii="Arial" w:hAnsi="Arial" w:cs="Arial"/>
                <w:color w:val="000000"/>
                <w:sz w:val="20"/>
                <w:szCs w:val="20"/>
              </w:rPr>
              <w:t xml:space="preserve">                 87.50 </w:t>
            </w:r>
          </w:p>
        </w:tc>
      </w:tr>
      <w:tr w:rsidR="00E46046" w:rsidRPr="00B92499" w14:paraId="3FFE4009" w14:textId="77777777" w:rsidTr="00E46046">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34A8EA9" w14:textId="77777777" w:rsidR="00E46046" w:rsidRPr="00B92499" w:rsidRDefault="00E46046">
            <w:pPr>
              <w:jc w:val="center"/>
              <w:rPr>
                <w:rFonts w:ascii="Arial" w:hAnsi="Arial" w:cs="Arial"/>
                <w:color w:val="000000"/>
                <w:sz w:val="20"/>
                <w:szCs w:val="20"/>
              </w:rPr>
            </w:pPr>
            <w:r w:rsidRPr="00B92499">
              <w:rPr>
                <w:rFonts w:ascii="Arial" w:hAnsi="Arial" w:cs="Arial"/>
                <w:color w:val="000000"/>
                <w:sz w:val="20"/>
                <w:szCs w:val="20"/>
              </w:rPr>
              <w:t>XIII</w:t>
            </w:r>
          </w:p>
        </w:tc>
        <w:tc>
          <w:tcPr>
            <w:tcW w:w="0" w:type="auto"/>
            <w:tcBorders>
              <w:top w:val="nil"/>
              <w:left w:val="nil"/>
              <w:bottom w:val="single" w:sz="4" w:space="0" w:color="auto"/>
              <w:right w:val="single" w:sz="4" w:space="0" w:color="auto"/>
            </w:tcBorders>
            <w:shd w:val="clear" w:color="auto" w:fill="auto"/>
            <w:vAlign w:val="center"/>
            <w:hideMark/>
          </w:tcPr>
          <w:p w14:paraId="3E4FCED9" w14:textId="404C60CA" w:rsidR="00E46046" w:rsidRPr="00B92499" w:rsidRDefault="00E46046" w:rsidP="00BD5AFE">
            <w:pPr>
              <w:jc w:val="both"/>
              <w:rPr>
                <w:rFonts w:ascii="Arial" w:hAnsi="Arial" w:cs="Arial"/>
                <w:color w:val="000000"/>
                <w:sz w:val="20"/>
                <w:szCs w:val="20"/>
              </w:rPr>
            </w:pPr>
            <w:r w:rsidRPr="00B92499">
              <w:rPr>
                <w:rFonts w:ascii="Arial" w:hAnsi="Arial" w:cs="Arial"/>
                <w:color w:val="000000"/>
                <w:sz w:val="20"/>
                <w:szCs w:val="20"/>
              </w:rPr>
              <w:t>Los convenios de coordinación con la Federación, Entidades Federativas y Municipios, y de concertación con los sectores social y privado</w:t>
            </w:r>
            <w:r w:rsidR="00BD5AFE" w:rsidRPr="00B92499">
              <w:rPr>
                <w:rFonts w:ascii="Arial" w:hAnsi="Arial" w:cs="Arial"/>
                <w:color w:val="000000"/>
                <w:sz w:val="20"/>
                <w:szCs w:val="20"/>
              </w:rPr>
              <w:t>.</w:t>
            </w:r>
          </w:p>
        </w:tc>
        <w:tc>
          <w:tcPr>
            <w:tcW w:w="770" w:type="dxa"/>
            <w:tcBorders>
              <w:top w:val="nil"/>
              <w:left w:val="nil"/>
              <w:bottom w:val="single" w:sz="4" w:space="0" w:color="auto"/>
              <w:right w:val="single" w:sz="4" w:space="0" w:color="auto"/>
            </w:tcBorders>
            <w:shd w:val="clear" w:color="auto" w:fill="auto"/>
            <w:vAlign w:val="center"/>
            <w:hideMark/>
          </w:tcPr>
          <w:p w14:paraId="16BF326D" w14:textId="77777777" w:rsidR="00E46046" w:rsidRPr="00B92499" w:rsidRDefault="00E46046">
            <w:pPr>
              <w:jc w:val="center"/>
              <w:rPr>
                <w:rFonts w:ascii="Arial" w:hAnsi="Arial" w:cs="Arial"/>
                <w:color w:val="000000"/>
                <w:sz w:val="20"/>
                <w:szCs w:val="20"/>
              </w:rPr>
            </w:pPr>
            <w:r w:rsidRPr="00B92499">
              <w:rPr>
                <w:rFonts w:ascii="Arial" w:hAnsi="Arial" w:cs="Arial"/>
                <w:color w:val="000000"/>
                <w:sz w:val="20"/>
                <w:szCs w:val="20"/>
              </w:rPr>
              <w:t xml:space="preserve">                 87.40 </w:t>
            </w:r>
          </w:p>
        </w:tc>
      </w:tr>
      <w:tr w:rsidR="00E46046" w:rsidRPr="00B92499" w14:paraId="53FA310B" w14:textId="77777777" w:rsidTr="00BD5AFE">
        <w:trPr>
          <w:trHeight w:val="6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7EB7B34" w14:textId="77777777" w:rsidR="00E46046" w:rsidRPr="00B92499" w:rsidRDefault="00E46046">
            <w:pPr>
              <w:jc w:val="center"/>
              <w:rPr>
                <w:rFonts w:ascii="Arial" w:hAnsi="Arial" w:cs="Arial"/>
                <w:color w:val="000000"/>
                <w:sz w:val="20"/>
                <w:szCs w:val="20"/>
              </w:rPr>
            </w:pPr>
            <w:r w:rsidRPr="00B92499">
              <w:rPr>
                <w:rFonts w:ascii="Arial" w:hAnsi="Arial" w:cs="Arial"/>
                <w:color w:val="000000"/>
                <w:sz w:val="20"/>
                <w:szCs w:val="20"/>
              </w:rPr>
              <w:t>XVI</w:t>
            </w:r>
          </w:p>
        </w:tc>
        <w:tc>
          <w:tcPr>
            <w:tcW w:w="0" w:type="auto"/>
            <w:tcBorders>
              <w:top w:val="nil"/>
              <w:left w:val="nil"/>
              <w:bottom w:val="single" w:sz="4" w:space="0" w:color="auto"/>
              <w:right w:val="single" w:sz="4" w:space="0" w:color="auto"/>
            </w:tcBorders>
            <w:shd w:val="clear" w:color="auto" w:fill="auto"/>
            <w:vAlign w:val="center"/>
            <w:hideMark/>
          </w:tcPr>
          <w:p w14:paraId="3FE23CE0" w14:textId="5FAC99D1" w:rsidR="00E46046" w:rsidRPr="00B92499" w:rsidRDefault="00E46046" w:rsidP="00BD5AFE">
            <w:pPr>
              <w:jc w:val="both"/>
              <w:rPr>
                <w:rFonts w:ascii="Arial" w:hAnsi="Arial" w:cs="Arial"/>
                <w:color w:val="000000"/>
                <w:sz w:val="20"/>
                <w:szCs w:val="20"/>
              </w:rPr>
            </w:pPr>
            <w:r w:rsidRPr="00B92499">
              <w:rPr>
                <w:rFonts w:ascii="Arial" w:hAnsi="Arial" w:cs="Arial"/>
                <w:color w:val="000000"/>
                <w:sz w:val="20"/>
                <w:szCs w:val="20"/>
              </w:rPr>
              <w:t>Relación de constancias, certificados, permisos, licencias, autorizaciones, certificaciones de uso de suelo, registro de manifestaciones y dictámenes de las obras que se llevan a cabo en cada una de las demarcaciones territoriales</w:t>
            </w:r>
            <w:r w:rsidR="00BD5AFE" w:rsidRPr="00B92499">
              <w:rPr>
                <w:rFonts w:ascii="Arial" w:hAnsi="Arial" w:cs="Arial"/>
                <w:color w:val="000000"/>
                <w:sz w:val="20"/>
                <w:szCs w:val="20"/>
              </w:rPr>
              <w:t>.</w:t>
            </w:r>
          </w:p>
        </w:tc>
        <w:tc>
          <w:tcPr>
            <w:tcW w:w="770" w:type="dxa"/>
            <w:tcBorders>
              <w:top w:val="nil"/>
              <w:left w:val="nil"/>
              <w:bottom w:val="single" w:sz="4" w:space="0" w:color="auto"/>
              <w:right w:val="single" w:sz="4" w:space="0" w:color="auto"/>
            </w:tcBorders>
            <w:shd w:val="clear" w:color="auto" w:fill="auto"/>
            <w:vAlign w:val="center"/>
            <w:hideMark/>
          </w:tcPr>
          <w:p w14:paraId="6546460C" w14:textId="77777777" w:rsidR="00E46046" w:rsidRPr="00B92499" w:rsidRDefault="00E46046">
            <w:pPr>
              <w:jc w:val="center"/>
              <w:rPr>
                <w:rFonts w:ascii="Arial" w:hAnsi="Arial" w:cs="Arial"/>
                <w:color w:val="000000"/>
                <w:sz w:val="20"/>
                <w:szCs w:val="20"/>
              </w:rPr>
            </w:pPr>
            <w:r w:rsidRPr="00B92499">
              <w:rPr>
                <w:rFonts w:ascii="Arial" w:hAnsi="Arial" w:cs="Arial"/>
                <w:color w:val="000000"/>
                <w:sz w:val="20"/>
                <w:szCs w:val="20"/>
              </w:rPr>
              <w:t xml:space="preserve">                 87.19 </w:t>
            </w:r>
          </w:p>
        </w:tc>
      </w:tr>
    </w:tbl>
    <w:p w14:paraId="217E5B5D" w14:textId="77777777" w:rsidR="00E46046" w:rsidRPr="00B92499" w:rsidRDefault="00E46046" w:rsidP="00E46046">
      <w:pPr>
        <w:spacing w:before="100" w:beforeAutospacing="1" w:after="100" w:afterAutospacing="1" w:line="360" w:lineRule="auto"/>
        <w:jc w:val="both"/>
        <w:rPr>
          <w:rFonts w:ascii="Arial" w:hAnsi="Arial" w:cs="Arial"/>
        </w:rPr>
      </w:pPr>
    </w:p>
    <w:p w14:paraId="364FB5D9" w14:textId="771DF540" w:rsidR="00EE5F08" w:rsidRPr="00B92499" w:rsidRDefault="00940CBA" w:rsidP="009F64B5">
      <w:pPr>
        <w:pStyle w:val="Ttulo3"/>
        <w:numPr>
          <w:ilvl w:val="2"/>
          <w:numId w:val="7"/>
        </w:numPr>
        <w:contextualSpacing/>
        <w:jc w:val="both"/>
        <w:rPr>
          <w:rFonts w:ascii="Arial" w:hAnsi="Arial" w:cs="Arial"/>
          <w:b/>
          <w:color w:val="auto"/>
        </w:rPr>
      </w:pPr>
      <w:bookmarkStart w:id="15" w:name="_Toc23252973"/>
      <w:r w:rsidRPr="00B92499">
        <w:rPr>
          <w:rFonts w:ascii="Arial" w:hAnsi="Arial" w:cs="Arial"/>
          <w:b/>
          <w:color w:val="auto"/>
        </w:rPr>
        <w:t xml:space="preserve">Análisis del </w:t>
      </w:r>
      <w:r w:rsidR="008F67E4" w:rsidRPr="00B92499">
        <w:rPr>
          <w:rFonts w:ascii="Arial" w:hAnsi="Arial" w:cs="Arial"/>
          <w:b/>
          <w:color w:val="auto"/>
        </w:rPr>
        <w:t>artículo</w:t>
      </w:r>
      <w:r w:rsidRPr="00B92499">
        <w:rPr>
          <w:rFonts w:ascii="Arial" w:hAnsi="Arial" w:cs="Arial"/>
          <w:b/>
          <w:color w:val="auto"/>
        </w:rPr>
        <w:t xml:space="preserve"> 143</w:t>
      </w:r>
      <w:bookmarkEnd w:id="15"/>
    </w:p>
    <w:p w14:paraId="2B00236B" w14:textId="2B0BE563" w:rsidR="00940CBA" w:rsidRPr="00B92499" w:rsidRDefault="00940CBA" w:rsidP="002E7D47">
      <w:pPr>
        <w:spacing w:before="100" w:beforeAutospacing="1" w:after="100" w:afterAutospacing="1" w:line="360" w:lineRule="auto"/>
        <w:contextualSpacing/>
        <w:jc w:val="both"/>
        <w:rPr>
          <w:rFonts w:ascii="Arial" w:hAnsi="Arial" w:cs="Arial"/>
        </w:rPr>
      </w:pPr>
      <w:r w:rsidRPr="00B92499">
        <w:rPr>
          <w:rFonts w:ascii="Arial" w:hAnsi="Arial" w:cs="Arial"/>
        </w:rPr>
        <w:t xml:space="preserve">Los </w:t>
      </w:r>
      <w:r w:rsidR="008710F6" w:rsidRPr="00B92499">
        <w:rPr>
          <w:rFonts w:ascii="Arial" w:hAnsi="Arial" w:cs="Arial"/>
        </w:rPr>
        <w:t>sujeto</w:t>
      </w:r>
      <w:r w:rsidR="00EB5F64" w:rsidRPr="00B92499">
        <w:rPr>
          <w:rFonts w:ascii="Arial" w:hAnsi="Arial" w:cs="Arial"/>
        </w:rPr>
        <w:t xml:space="preserve">s </w:t>
      </w:r>
      <w:r w:rsidR="008710F6" w:rsidRPr="00B92499">
        <w:rPr>
          <w:rFonts w:ascii="Arial" w:hAnsi="Arial" w:cs="Arial"/>
        </w:rPr>
        <w:t>obligado</w:t>
      </w:r>
      <w:r w:rsidR="00EB5F64" w:rsidRPr="00B92499">
        <w:rPr>
          <w:rFonts w:ascii="Arial" w:hAnsi="Arial" w:cs="Arial"/>
        </w:rPr>
        <w:t>s</w:t>
      </w:r>
      <w:r w:rsidRPr="00B92499">
        <w:rPr>
          <w:rFonts w:ascii="Arial" w:hAnsi="Arial" w:cs="Arial"/>
        </w:rPr>
        <w:t xml:space="preserve"> de este </w:t>
      </w:r>
      <w:r w:rsidR="00A64325" w:rsidRPr="00B92499">
        <w:rPr>
          <w:rFonts w:ascii="Arial" w:hAnsi="Arial" w:cs="Arial"/>
        </w:rPr>
        <w:t>ámbito</w:t>
      </w:r>
      <w:r w:rsidRPr="00B92499">
        <w:rPr>
          <w:rFonts w:ascii="Arial" w:hAnsi="Arial" w:cs="Arial"/>
        </w:rPr>
        <w:t xml:space="preserve">alcanzaron un ICP de </w:t>
      </w:r>
      <w:r w:rsidR="00E46046" w:rsidRPr="00B92499">
        <w:rPr>
          <w:rFonts w:ascii="Arial" w:hAnsi="Arial" w:cs="Arial"/>
        </w:rPr>
        <w:t>99.69</w:t>
      </w:r>
      <w:r w:rsidRPr="00B92499">
        <w:rPr>
          <w:rFonts w:ascii="Arial" w:hAnsi="Arial" w:cs="Arial"/>
        </w:rPr>
        <w:t xml:space="preserve">%; ya que </w:t>
      </w:r>
      <w:r w:rsidR="00E46046" w:rsidRPr="00B92499">
        <w:rPr>
          <w:rFonts w:ascii="Arial" w:hAnsi="Arial" w:cs="Arial"/>
        </w:rPr>
        <w:t>7</w:t>
      </w:r>
      <w:r w:rsidRPr="00B92499">
        <w:rPr>
          <w:rFonts w:ascii="Arial" w:hAnsi="Arial" w:cs="Arial"/>
        </w:rPr>
        <w:t xml:space="preserve"> </w:t>
      </w:r>
      <w:r w:rsidR="008710F6" w:rsidRPr="00B92499">
        <w:rPr>
          <w:rFonts w:ascii="Arial" w:hAnsi="Arial" w:cs="Arial"/>
        </w:rPr>
        <w:t>sujeto</w:t>
      </w:r>
      <w:r w:rsidR="00EB5F64" w:rsidRPr="00B92499">
        <w:rPr>
          <w:rFonts w:ascii="Arial" w:hAnsi="Arial" w:cs="Arial"/>
        </w:rPr>
        <w:t xml:space="preserve">s </w:t>
      </w:r>
      <w:r w:rsidR="008710F6" w:rsidRPr="00B92499">
        <w:rPr>
          <w:rFonts w:ascii="Arial" w:hAnsi="Arial" w:cs="Arial"/>
        </w:rPr>
        <w:t>obligado</w:t>
      </w:r>
      <w:r w:rsidR="00EB5F64" w:rsidRPr="00B92499">
        <w:rPr>
          <w:rFonts w:ascii="Arial" w:hAnsi="Arial" w:cs="Arial"/>
        </w:rPr>
        <w:t>s</w:t>
      </w:r>
      <w:r w:rsidRPr="00B92499">
        <w:rPr>
          <w:rFonts w:ascii="Arial" w:hAnsi="Arial" w:cs="Arial"/>
        </w:rPr>
        <w:t xml:space="preserve"> cumplieron totalmente,</w:t>
      </w:r>
      <w:r w:rsidR="00E46046" w:rsidRPr="00B92499">
        <w:rPr>
          <w:rFonts w:ascii="Arial" w:hAnsi="Arial" w:cs="Arial"/>
        </w:rPr>
        <w:t xml:space="preserve"> y</w:t>
      </w:r>
      <w:r w:rsidR="009F734B" w:rsidRPr="00B92499">
        <w:rPr>
          <w:rFonts w:ascii="Arial" w:hAnsi="Arial" w:cs="Arial"/>
        </w:rPr>
        <w:t xml:space="preserve"> la</w:t>
      </w:r>
      <w:r w:rsidR="00E46046" w:rsidRPr="00B92499">
        <w:rPr>
          <w:rFonts w:ascii="Arial" w:hAnsi="Arial" w:cs="Arial"/>
        </w:rPr>
        <w:t xml:space="preserve"> Secretaría de las Mujeres cumplió parcialmente con un ICP de 97.50%. </w:t>
      </w:r>
      <w:r w:rsidRPr="00B92499">
        <w:rPr>
          <w:rFonts w:ascii="Arial" w:hAnsi="Arial" w:cs="Arial"/>
        </w:rPr>
        <w:t xml:space="preserve">Las ventanas de oportunidad que </w:t>
      </w:r>
      <w:r w:rsidR="00E46046" w:rsidRPr="00B92499">
        <w:rPr>
          <w:rFonts w:ascii="Arial" w:hAnsi="Arial" w:cs="Arial"/>
        </w:rPr>
        <w:t xml:space="preserve">tiene la Secretaría de las Mujeres </w:t>
      </w:r>
      <w:r w:rsidRPr="00B92499">
        <w:rPr>
          <w:rFonts w:ascii="Arial" w:hAnsi="Arial" w:cs="Arial"/>
        </w:rPr>
        <w:t xml:space="preserve">son actualizar la información </w:t>
      </w:r>
      <w:r w:rsidR="00E46046" w:rsidRPr="00B92499">
        <w:rPr>
          <w:rFonts w:ascii="Arial" w:hAnsi="Arial" w:cs="Arial"/>
        </w:rPr>
        <w:t>al segundo trimestre del año 2019</w:t>
      </w:r>
      <w:r w:rsidRPr="00B92499">
        <w:rPr>
          <w:rFonts w:ascii="Arial" w:hAnsi="Arial" w:cs="Arial"/>
        </w:rPr>
        <w:t xml:space="preserve"> y en los casos </w:t>
      </w:r>
      <w:r w:rsidR="00E46046" w:rsidRPr="00B92499">
        <w:rPr>
          <w:rFonts w:ascii="Arial" w:hAnsi="Arial" w:cs="Arial"/>
        </w:rPr>
        <w:t xml:space="preserve">en </w:t>
      </w:r>
      <w:r w:rsidRPr="00B92499">
        <w:rPr>
          <w:rFonts w:ascii="Arial" w:hAnsi="Arial" w:cs="Arial"/>
        </w:rPr>
        <w:t>que no se generó información se funde y motive tal situación</w:t>
      </w:r>
      <w:r w:rsidR="00E46046" w:rsidRPr="00B92499">
        <w:rPr>
          <w:rFonts w:ascii="Arial" w:hAnsi="Arial" w:cs="Arial"/>
        </w:rPr>
        <w:t>,</w:t>
      </w:r>
      <w:r w:rsidRPr="00B92499">
        <w:rPr>
          <w:rFonts w:ascii="Arial" w:hAnsi="Arial" w:cs="Arial"/>
        </w:rPr>
        <w:t xml:space="preserve"> con la finalidad de no dejar en incertidumbre a las personas que consulten la misma. </w:t>
      </w:r>
    </w:p>
    <w:p w14:paraId="1597E41A" w14:textId="53568A5D" w:rsidR="00EE5F08" w:rsidRPr="00B92499" w:rsidRDefault="00940CBA" w:rsidP="009F64B5">
      <w:pPr>
        <w:pStyle w:val="Ttulo3"/>
        <w:numPr>
          <w:ilvl w:val="2"/>
          <w:numId w:val="7"/>
        </w:numPr>
        <w:contextualSpacing/>
        <w:jc w:val="both"/>
        <w:rPr>
          <w:rFonts w:ascii="Arial" w:hAnsi="Arial" w:cs="Arial"/>
          <w:b/>
          <w:color w:val="auto"/>
        </w:rPr>
      </w:pPr>
      <w:bookmarkStart w:id="16" w:name="_Toc23252974"/>
      <w:r w:rsidRPr="00B92499">
        <w:rPr>
          <w:rFonts w:ascii="Arial" w:hAnsi="Arial" w:cs="Arial"/>
          <w:b/>
          <w:color w:val="auto"/>
        </w:rPr>
        <w:t xml:space="preserve">Análisis del </w:t>
      </w:r>
      <w:r w:rsidR="008F67E4" w:rsidRPr="00B92499">
        <w:rPr>
          <w:rFonts w:ascii="Arial" w:hAnsi="Arial" w:cs="Arial"/>
          <w:b/>
          <w:color w:val="auto"/>
        </w:rPr>
        <w:t>artículo</w:t>
      </w:r>
      <w:r w:rsidRPr="00B92499">
        <w:rPr>
          <w:rFonts w:ascii="Arial" w:hAnsi="Arial" w:cs="Arial"/>
          <w:b/>
          <w:color w:val="auto"/>
        </w:rPr>
        <w:t xml:space="preserve"> 145</w:t>
      </w:r>
      <w:bookmarkEnd w:id="16"/>
    </w:p>
    <w:p w14:paraId="7F166E91" w14:textId="166F5E54" w:rsidR="00940CBA" w:rsidRPr="00B92499" w:rsidRDefault="00940CBA" w:rsidP="002E7D47">
      <w:pPr>
        <w:spacing w:before="100" w:beforeAutospacing="1" w:after="100" w:afterAutospacing="1" w:line="360" w:lineRule="auto"/>
        <w:contextualSpacing/>
        <w:jc w:val="both"/>
        <w:rPr>
          <w:rFonts w:ascii="Arial" w:hAnsi="Arial" w:cs="Arial"/>
        </w:rPr>
      </w:pPr>
      <w:r w:rsidRPr="00B92499">
        <w:rPr>
          <w:rFonts w:ascii="Arial" w:hAnsi="Arial" w:cs="Arial"/>
        </w:rPr>
        <w:t xml:space="preserve">En lo que respecta a este </w:t>
      </w:r>
      <w:r w:rsidR="00E46046" w:rsidRPr="00B92499">
        <w:rPr>
          <w:rFonts w:ascii="Arial" w:hAnsi="Arial" w:cs="Arial"/>
        </w:rPr>
        <w:t>a</w:t>
      </w:r>
      <w:r w:rsidR="009D7771" w:rsidRPr="00B92499">
        <w:rPr>
          <w:rFonts w:ascii="Arial" w:hAnsi="Arial" w:cs="Arial"/>
        </w:rPr>
        <w:t>rtículo</w:t>
      </w:r>
      <w:r w:rsidRPr="00B92499">
        <w:rPr>
          <w:rFonts w:ascii="Arial" w:hAnsi="Arial" w:cs="Arial"/>
        </w:rPr>
        <w:t xml:space="preserve">, la Administración Central obtuvo </w:t>
      </w:r>
      <w:r w:rsidR="00E46046" w:rsidRPr="00B92499">
        <w:rPr>
          <w:rFonts w:ascii="Arial" w:hAnsi="Arial" w:cs="Arial"/>
        </w:rPr>
        <w:t>un cumplimiento total</w:t>
      </w:r>
      <w:r w:rsidRPr="00B92499">
        <w:rPr>
          <w:rFonts w:ascii="Arial" w:hAnsi="Arial" w:cs="Arial"/>
        </w:rPr>
        <w:t xml:space="preserve">. </w:t>
      </w:r>
    </w:p>
    <w:p w14:paraId="75C8A0AB" w14:textId="3A070434" w:rsidR="00EE5F08" w:rsidRPr="00B92499" w:rsidRDefault="00940CBA" w:rsidP="009F64B5">
      <w:pPr>
        <w:pStyle w:val="Ttulo3"/>
        <w:numPr>
          <w:ilvl w:val="2"/>
          <w:numId w:val="7"/>
        </w:numPr>
        <w:contextualSpacing/>
        <w:jc w:val="both"/>
        <w:rPr>
          <w:rFonts w:ascii="Arial" w:hAnsi="Arial" w:cs="Arial"/>
          <w:b/>
          <w:color w:val="auto"/>
        </w:rPr>
      </w:pPr>
      <w:bookmarkStart w:id="17" w:name="_Toc23252975"/>
      <w:r w:rsidRPr="00B92499">
        <w:rPr>
          <w:rFonts w:ascii="Arial" w:hAnsi="Arial" w:cs="Arial"/>
          <w:b/>
          <w:color w:val="auto"/>
        </w:rPr>
        <w:lastRenderedPageBreak/>
        <w:t xml:space="preserve">Análisis del </w:t>
      </w:r>
      <w:r w:rsidR="008F67E4" w:rsidRPr="00B92499">
        <w:rPr>
          <w:rFonts w:ascii="Arial" w:hAnsi="Arial" w:cs="Arial"/>
          <w:b/>
          <w:color w:val="auto"/>
        </w:rPr>
        <w:t>artículo</w:t>
      </w:r>
      <w:r w:rsidRPr="00B92499">
        <w:rPr>
          <w:rFonts w:ascii="Arial" w:hAnsi="Arial" w:cs="Arial"/>
          <w:b/>
          <w:color w:val="auto"/>
        </w:rPr>
        <w:t xml:space="preserve"> 146</w:t>
      </w:r>
      <w:bookmarkEnd w:id="17"/>
    </w:p>
    <w:p w14:paraId="2CC8B17D" w14:textId="58A842AA" w:rsidR="00940CBA" w:rsidRPr="00B92499" w:rsidRDefault="00940CBA" w:rsidP="002E7D47">
      <w:pPr>
        <w:spacing w:before="100" w:beforeAutospacing="1" w:after="100" w:afterAutospacing="1" w:line="360" w:lineRule="auto"/>
        <w:contextualSpacing/>
        <w:jc w:val="both"/>
        <w:rPr>
          <w:rFonts w:ascii="Arial" w:hAnsi="Arial" w:cs="Arial"/>
        </w:rPr>
      </w:pPr>
      <w:r w:rsidRPr="00B92499">
        <w:rPr>
          <w:rFonts w:ascii="Arial" w:hAnsi="Arial" w:cs="Arial"/>
        </w:rPr>
        <w:t xml:space="preserve">Este </w:t>
      </w:r>
      <w:r w:rsidR="00A64325" w:rsidRPr="00B92499">
        <w:rPr>
          <w:rFonts w:ascii="Arial" w:hAnsi="Arial" w:cs="Arial"/>
        </w:rPr>
        <w:t xml:space="preserve">ámbito </w:t>
      </w:r>
      <w:r w:rsidRPr="00B92499">
        <w:rPr>
          <w:rFonts w:ascii="Arial" w:hAnsi="Arial" w:cs="Arial"/>
        </w:rPr>
        <w:t xml:space="preserve">obtuvo un ICP de </w:t>
      </w:r>
      <w:r w:rsidR="00E46046" w:rsidRPr="00B92499">
        <w:rPr>
          <w:rFonts w:ascii="Arial" w:hAnsi="Arial" w:cs="Arial"/>
        </w:rPr>
        <w:t>87.17</w:t>
      </w:r>
      <w:r w:rsidR="000D67A7" w:rsidRPr="00B92499">
        <w:rPr>
          <w:rFonts w:ascii="Arial" w:hAnsi="Arial" w:cs="Arial"/>
        </w:rPr>
        <w:t xml:space="preserve">%; debido a que 5 </w:t>
      </w:r>
      <w:r w:rsidR="008710F6" w:rsidRPr="00B92499">
        <w:rPr>
          <w:rFonts w:ascii="Arial" w:hAnsi="Arial" w:cs="Arial"/>
        </w:rPr>
        <w:t>sujeto</w:t>
      </w:r>
      <w:r w:rsidR="00EB5F64" w:rsidRPr="00B92499">
        <w:rPr>
          <w:rFonts w:ascii="Arial" w:hAnsi="Arial" w:cs="Arial"/>
        </w:rPr>
        <w:t xml:space="preserve">s </w:t>
      </w:r>
      <w:r w:rsidR="008710F6" w:rsidRPr="00B92499">
        <w:rPr>
          <w:rFonts w:ascii="Arial" w:hAnsi="Arial" w:cs="Arial"/>
        </w:rPr>
        <w:t>obligado</w:t>
      </w:r>
      <w:r w:rsidR="00EB5F64" w:rsidRPr="00B92499">
        <w:rPr>
          <w:rFonts w:ascii="Arial" w:hAnsi="Arial" w:cs="Arial"/>
        </w:rPr>
        <w:t>s</w:t>
      </w:r>
      <w:r w:rsidRPr="00B92499">
        <w:rPr>
          <w:rFonts w:ascii="Arial" w:hAnsi="Arial" w:cs="Arial"/>
        </w:rPr>
        <w:t xml:space="preserve"> cumplieron totalmente con lo establecido en el</w:t>
      </w:r>
      <w:r w:rsidR="00E46046" w:rsidRPr="00B92499">
        <w:rPr>
          <w:rFonts w:ascii="Arial" w:hAnsi="Arial" w:cs="Arial"/>
        </w:rPr>
        <w:t xml:space="preserve"> artículo</w:t>
      </w:r>
      <w:r w:rsidRPr="00B92499">
        <w:rPr>
          <w:rFonts w:ascii="Arial" w:hAnsi="Arial" w:cs="Arial"/>
        </w:rPr>
        <w:t xml:space="preserve">, </w:t>
      </w:r>
      <w:r w:rsidR="000D67A7" w:rsidRPr="00B92499">
        <w:rPr>
          <w:rFonts w:ascii="Arial" w:hAnsi="Arial" w:cs="Arial"/>
        </w:rPr>
        <w:t>1</w:t>
      </w:r>
      <w:r w:rsidR="00E46046" w:rsidRPr="00B92499">
        <w:rPr>
          <w:rFonts w:ascii="Arial" w:hAnsi="Arial" w:cs="Arial"/>
        </w:rPr>
        <w:t xml:space="preserve"> obtuvo un </w:t>
      </w:r>
      <w:r w:rsidRPr="00B92499">
        <w:rPr>
          <w:rFonts w:ascii="Arial" w:hAnsi="Arial" w:cs="Arial"/>
        </w:rPr>
        <w:t>cumplimiento parcial</w:t>
      </w:r>
      <w:r w:rsidR="00E46046" w:rsidRPr="00B92499">
        <w:rPr>
          <w:rFonts w:ascii="Arial" w:hAnsi="Arial" w:cs="Arial"/>
        </w:rPr>
        <w:t xml:space="preserve"> de 99.17%</w:t>
      </w:r>
      <w:r w:rsidRPr="00B92499">
        <w:rPr>
          <w:rFonts w:ascii="Arial" w:hAnsi="Arial" w:cs="Arial"/>
        </w:rPr>
        <w:t>,</w:t>
      </w:r>
      <w:r w:rsidR="000D67A7" w:rsidRPr="00B92499">
        <w:rPr>
          <w:rFonts w:ascii="Arial" w:hAnsi="Arial" w:cs="Arial"/>
        </w:rPr>
        <w:t xml:space="preserve"> y 2</w:t>
      </w:r>
      <w:r w:rsidRPr="00B92499">
        <w:rPr>
          <w:rFonts w:ascii="Arial" w:hAnsi="Arial" w:cs="Arial"/>
        </w:rPr>
        <w:t xml:space="preserve"> un incumplimiento parcial</w:t>
      </w:r>
      <w:r w:rsidR="00E46046" w:rsidRPr="00B92499">
        <w:rPr>
          <w:rFonts w:ascii="Arial" w:hAnsi="Arial" w:cs="Arial"/>
        </w:rPr>
        <w:t xml:space="preserve"> entre el 48.18% y el 50%. </w:t>
      </w:r>
      <w:r w:rsidR="00B015A8" w:rsidRPr="00B92499">
        <w:rPr>
          <w:rFonts w:ascii="Arial" w:hAnsi="Arial" w:cs="Arial"/>
        </w:rPr>
        <w:t>Por</w:t>
      </w:r>
      <w:r w:rsidRPr="00B92499">
        <w:rPr>
          <w:rFonts w:ascii="Arial" w:hAnsi="Arial" w:cs="Arial"/>
        </w:rPr>
        <w:t xml:space="preserve"> lo anterior, los </w:t>
      </w:r>
      <w:r w:rsidR="008710F6" w:rsidRPr="00B92499">
        <w:rPr>
          <w:rFonts w:ascii="Arial" w:hAnsi="Arial" w:cs="Arial"/>
        </w:rPr>
        <w:t>sujeto</w:t>
      </w:r>
      <w:r w:rsidR="00EB5F64" w:rsidRPr="00B92499">
        <w:rPr>
          <w:rFonts w:ascii="Arial" w:hAnsi="Arial" w:cs="Arial"/>
        </w:rPr>
        <w:t xml:space="preserve">s </w:t>
      </w:r>
      <w:r w:rsidR="008710F6" w:rsidRPr="00B92499">
        <w:rPr>
          <w:rFonts w:ascii="Arial" w:hAnsi="Arial" w:cs="Arial"/>
        </w:rPr>
        <w:t>obligado</w:t>
      </w:r>
      <w:r w:rsidR="00EB5F64" w:rsidRPr="00B92499">
        <w:rPr>
          <w:rFonts w:ascii="Arial" w:hAnsi="Arial" w:cs="Arial"/>
        </w:rPr>
        <w:t>s</w:t>
      </w:r>
      <w:r w:rsidRPr="00B92499">
        <w:rPr>
          <w:rFonts w:ascii="Arial" w:hAnsi="Arial" w:cs="Arial"/>
        </w:rPr>
        <w:t xml:space="preserve"> deberán publicar y actualizar la información; puesto que varios no proporcionan el calendario de actualización de la normatividad en materia de las obligaciones de transparencia.  </w:t>
      </w:r>
    </w:p>
    <w:p w14:paraId="560336F7" w14:textId="3A390061" w:rsidR="00EE5F08" w:rsidRPr="00B92499" w:rsidRDefault="00940CBA" w:rsidP="009F64B5">
      <w:pPr>
        <w:pStyle w:val="Ttulo3"/>
        <w:numPr>
          <w:ilvl w:val="2"/>
          <w:numId w:val="7"/>
        </w:numPr>
        <w:contextualSpacing/>
        <w:jc w:val="both"/>
        <w:rPr>
          <w:rFonts w:ascii="Arial" w:hAnsi="Arial" w:cs="Arial"/>
          <w:b/>
          <w:color w:val="auto"/>
        </w:rPr>
      </w:pPr>
      <w:bookmarkStart w:id="18" w:name="_Toc23252976"/>
      <w:r w:rsidRPr="00B92499">
        <w:rPr>
          <w:rFonts w:ascii="Arial" w:hAnsi="Arial" w:cs="Arial"/>
          <w:b/>
          <w:color w:val="auto"/>
        </w:rPr>
        <w:t xml:space="preserve">Análisis del </w:t>
      </w:r>
      <w:r w:rsidR="008F67E4" w:rsidRPr="00B92499">
        <w:rPr>
          <w:rFonts w:ascii="Arial" w:hAnsi="Arial" w:cs="Arial"/>
          <w:b/>
          <w:color w:val="auto"/>
        </w:rPr>
        <w:t>artículo</w:t>
      </w:r>
      <w:r w:rsidRPr="00B92499">
        <w:rPr>
          <w:rFonts w:ascii="Arial" w:hAnsi="Arial" w:cs="Arial"/>
          <w:b/>
          <w:color w:val="auto"/>
        </w:rPr>
        <w:t xml:space="preserve"> 147</w:t>
      </w:r>
      <w:bookmarkEnd w:id="18"/>
      <w:r w:rsidRPr="00B92499">
        <w:rPr>
          <w:rFonts w:ascii="Arial" w:hAnsi="Arial" w:cs="Arial"/>
          <w:b/>
          <w:color w:val="auto"/>
        </w:rPr>
        <w:t xml:space="preserve"> </w:t>
      </w:r>
    </w:p>
    <w:p w14:paraId="5460749A" w14:textId="0C8C1E09" w:rsidR="00AF69FA" w:rsidRPr="00B92499" w:rsidRDefault="00940CBA" w:rsidP="004B6BFD">
      <w:pPr>
        <w:spacing w:before="100" w:beforeAutospacing="1" w:after="100" w:afterAutospacing="1" w:line="360" w:lineRule="auto"/>
        <w:contextualSpacing/>
        <w:jc w:val="both"/>
        <w:rPr>
          <w:rFonts w:ascii="Arial" w:hAnsi="Arial" w:cs="Arial"/>
        </w:rPr>
      </w:pPr>
      <w:r w:rsidRPr="00B92499">
        <w:rPr>
          <w:rFonts w:ascii="Arial" w:hAnsi="Arial" w:cs="Arial"/>
        </w:rPr>
        <w:t xml:space="preserve">Por último, la Administración Central obtuvo un ICP de </w:t>
      </w:r>
      <w:r w:rsidR="00995E8A" w:rsidRPr="00B92499">
        <w:rPr>
          <w:rFonts w:ascii="Arial" w:hAnsi="Arial" w:cs="Arial"/>
        </w:rPr>
        <w:t>92.78</w:t>
      </w:r>
      <w:r w:rsidRPr="00B92499">
        <w:rPr>
          <w:rFonts w:ascii="Arial" w:hAnsi="Arial" w:cs="Arial"/>
        </w:rPr>
        <w:t xml:space="preserve">%; debido a que </w:t>
      </w:r>
      <w:r w:rsidR="000D67A7" w:rsidRPr="00B92499">
        <w:rPr>
          <w:rFonts w:ascii="Arial" w:hAnsi="Arial" w:cs="Arial"/>
        </w:rPr>
        <w:t xml:space="preserve">5 </w:t>
      </w:r>
      <w:r w:rsidRPr="00B92499">
        <w:rPr>
          <w:rFonts w:ascii="Arial" w:hAnsi="Arial" w:cs="Arial"/>
        </w:rPr>
        <w:t xml:space="preserve"> </w:t>
      </w:r>
      <w:r w:rsidR="008710F6" w:rsidRPr="00B92499">
        <w:rPr>
          <w:rFonts w:ascii="Arial" w:hAnsi="Arial" w:cs="Arial"/>
        </w:rPr>
        <w:t>sujeto</w:t>
      </w:r>
      <w:r w:rsidR="00EB5F64" w:rsidRPr="00B92499">
        <w:rPr>
          <w:rFonts w:ascii="Arial" w:hAnsi="Arial" w:cs="Arial"/>
        </w:rPr>
        <w:t xml:space="preserve">s </w:t>
      </w:r>
      <w:r w:rsidR="008710F6" w:rsidRPr="00B92499">
        <w:rPr>
          <w:rFonts w:ascii="Arial" w:hAnsi="Arial" w:cs="Arial"/>
        </w:rPr>
        <w:t>obligado</w:t>
      </w:r>
      <w:r w:rsidR="00EB5F64" w:rsidRPr="00B92499">
        <w:rPr>
          <w:rFonts w:ascii="Arial" w:hAnsi="Arial" w:cs="Arial"/>
        </w:rPr>
        <w:t>s</w:t>
      </w:r>
      <w:r w:rsidRPr="00B92499">
        <w:rPr>
          <w:rFonts w:ascii="Arial" w:hAnsi="Arial" w:cs="Arial"/>
        </w:rPr>
        <w:t xml:space="preserve"> tuvieron un cumplimiento total, </w:t>
      </w:r>
      <w:r w:rsidR="000D67A7" w:rsidRPr="00B92499">
        <w:rPr>
          <w:rFonts w:ascii="Arial" w:hAnsi="Arial" w:cs="Arial"/>
        </w:rPr>
        <w:t>2</w:t>
      </w:r>
      <w:r w:rsidRPr="00B92499">
        <w:rPr>
          <w:rFonts w:ascii="Arial" w:hAnsi="Arial" w:cs="Arial"/>
        </w:rPr>
        <w:t xml:space="preserve"> un cumplimiento parcial</w:t>
      </w:r>
      <w:r w:rsidR="00995E8A" w:rsidRPr="00B92499">
        <w:rPr>
          <w:rFonts w:ascii="Arial" w:hAnsi="Arial" w:cs="Arial"/>
        </w:rPr>
        <w:t xml:space="preserve"> entre 93.04% y 99.17% y uno un incumplimiento parcial de 50%. </w:t>
      </w:r>
      <w:r w:rsidRPr="00B92499">
        <w:rPr>
          <w:rFonts w:ascii="Arial" w:hAnsi="Arial" w:cs="Arial"/>
        </w:rPr>
        <w:t xml:space="preserve">Los errores que cometieron los </w:t>
      </w:r>
      <w:r w:rsidR="008710F6" w:rsidRPr="00B92499">
        <w:rPr>
          <w:rFonts w:ascii="Arial" w:hAnsi="Arial" w:cs="Arial"/>
        </w:rPr>
        <w:t>sujeto</w:t>
      </w:r>
      <w:r w:rsidR="00EB5F64" w:rsidRPr="00B92499">
        <w:rPr>
          <w:rFonts w:ascii="Arial" w:hAnsi="Arial" w:cs="Arial"/>
        </w:rPr>
        <w:t xml:space="preserve">s </w:t>
      </w:r>
      <w:r w:rsidR="008710F6" w:rsidRPr="00B92499">
        <w:rPr>
          <w:rFonts w:ascii="Arial" w:hAnsi="Arial" w:cs="Arial"/>
        </w:rPr>
        <w:t>obligado</w:t>
      </w:r>
      <w:r w:rsidR="00EB5F64" w:rsidRPr="00B92499">
        <w:rPr>
          <w:rFonts w:ascii="Arial" w:hAnsi="Arial" w:cs="Arial"/>
        </w:rPr>
        <w:t>s</w:t>
      </w:r>
      <w:r w:rsidRPr="00B92499">
        <w:rPr>
          <w:rFonts w:ascii="Arial" w:hAnsi="Arial" w:cs="Arial"/>
        </w:rPr>
        <w:t xml:space="preserve"> con mayor frecuencia </w:t>
      </w:r>
      <w:r w:rsidR="00995E8A" w:rsidRPr="00B92499">
        <w:rPr>
          <w:rFonts w:ascii="Arial" w:hAnsi="Arial" w:cs="Arial"/>
        </w:rPr>
        <w:t xml:space="preserve">consistieron en que </w:t>
      </w:r>
      <w:r w:rsidRPr="00B92499">
        <w:rPr>
          <w:rFonts w:ascii="Arial" w:hAnsi="Arial" w:cs="Arial"/>
        </w:rPr>
        <w:t xml:space="preserve">no actualizaron la información conforme lo indica la normatividad correspondiente y en algunos casos no publicaron la información establecida en el </w:t>
      </w:r>
      <w:r w:rsidR="00995E8A" w:rsidRPr="00B92499">
        <w:rPr>
          <w:rFonts w:ascii="Arial" w:hAnsi="Arial" w:cs="Arial"/>
        </w:rPr>
        <w:t>a</w:t>
      </w:r>
      <w:r w:rsidR="009D7771" w:rsidRPr="00B92499">
        <w:rPr>
          <w:rFonts w:ascii="Arial" w:hAnsi="Arial" w:cs="Arial"/>
        </w:rPr>
        <w:t>rtículo</w:t>
      </w:r>
      <w:r w:rsidRPr="00B92499">
        <w:rPr>
          <w:rFonts w:ascii="Arial" w:hAnsi="Arial" w:cs="Arial"/>
        </w:rPr>
        <w:t>, por lo que deberán mantenerla vige</w:t>
      </w:r>
      <w:r w:rsidR="00EE5F08" w:rsidRPr="00B92499">
        <w:rPr>
          <w:rFonts w:ascii="Arial" w:hAnsi="Arial" w:cs="Arial"/>
        </w:rPr>
        <w:t>nte para la consulta ciudadana.</w:t>
      </w:r>
      <w:r w:rsidR="00AF69FA" w:rsidRPr="00B92499">
        <w:rPr>
          <w:rFonts w:ascii="Arial" w:hAnsi="Arial" w:cs="Arial"/>
        </w:rPr>
        <w:br w:type="page"/>
      </w:r>
    </w:p>
    <w:p w14:paraId="13660DBE" w14:textId="28F51650" w:rsidR="00AF69FA" w:rsidRPr="00B92499" w:rsidRDefault="00674513" w:rsidP="009F64B5">
      <w:pPr>
        <w:pStyle w:val="Ttulo2"/>
        <w:numPr>
          <w:ilvl w:val="1"/>
          <w:numId w:val="7"/>
        </w:numPr>
        <w:contextualSpacing/>
        <w:jc w:val="both"/>
        <w:rPr>
          <w:rFonts w:ascii="Arial" w:hAnsi="Arial" w:cs="Arial"/>
          <w:b/>
          <w:color w:val="auto"/>
          <w:sz w:val="24"/>
          <w:szCs w:val="24"/>
        </w:rPr>
      </w:pPr>
      <w:bookmarkStart w:id="19" w:name="_Toc23252977"/>
      <w:bookmarkStart w:id="20" w:name="OLE_LINK1"/>
      <w:bookmarkStart w:id="21" w:name="OLE_LINK2"/>
      <w:r w:rsidRPr="00B92499">
        <w:rPr>
          <w:rFonts w:ascii="Arial" w:hAnsi="Arial" w:cs="Arial"/>
          <w:b/>
          <w:color w:val="auto"/>
          <w:sz w:val="24"/>
          <w:szCs w:val="24"/>
        </w:rPr>
        <w:lastRenderedPageBreak/>
        <w:t>ÓRGANOS DESCONCENTRADOS</w:t>
      </w:r>
      <w:r w:rsidR="00C576D2" w:rsidRPr="00B92499">
        <w:rPr>
          <w:rFonts w:ascii="Arial" w:hAnsi="Arial" w:cs="Arial"/>
          <w:b/>
          <w:color w:val="auto"/>
          <w:sz w:val="24"/>
          <w:szCs w:val="24"/>
        </w:rPr>
        <w:t>, FIDEICOMISOS Y FONDOS PÚBLICOS</w:t>
      </w:r>
      <w:bookmarkEnd w:id="19"/>
    </w:p>
    <w:p w14:paraId="557E5D5C" w14:textId="15AA33C2" w:rsidR="002B18F9" w:rsidRPr="00B92499" w:rsidRDefault="002B18F9" w:rsidP="002B18F9">
      <w:pPr>
        <w:spacing w:before="100" w:beforeAutospacing="1" w:after="100" w:afterAutospacing="1" w:line="360" w:lineRule="auto"/>
        <w:contextualSpacing/>
        <w:jc w:val="both"/>
        <w:rPr>
          <w:rFonts w:ascii="Arial" w:hAnsi="Arial" w:cs="Arial"/>
        </w:rPr>
      </w:pPr>
      <w:r w:rsidRPr="00B92499">
        <w:rPr>
          <w:rFonts w:ascii="Arial" w:hAnsi="Arial" w:cs="Arial"/>
        </w:rPr>
        <w:t xml:space="preserve">El ámbito del Poder Ejecutivo, por lo que corresponde a los Órganos Desconcentrados, Fideicomisos y Fondos Públicos (Órganos Desconcentrados), está conformado por 63 </w:t>
      </w:r>
      <w:r w:rsidR="008710F6" w:rsidRPr="00B92499">
        <w:rPr>
          <w:rFonts w:ascii="Arial" w:hAnsi="Arial" w:cs="Arial"/>
        </w:rPr>
        <w:t>sujeto</w:t>
      </w:r>
      <w:r w:rsidRPr="00B92499">
        <w:rPr>
          <w:rFonts w:ascii="Arial" w:hAnsi="Arial" w:cs="Arial"/>
        </w:rPr>
        <w:t xml:space="preserve">s obligados de conformidad con el Padrón de </w:t>
      </w:r>
      <w:r w:rsidR="008710F6" w:rsidRPr="00B92499">
        <w:rPr>
          <w:rFonts w:ascii="Arial" w:hAnsi="Arial" w:cs="Arial"/>
        </w:rPr>
        <w:t>sujeto</w:t>
      </w:r>
      <w:r w:rsidRPr="00B92499">
        <w:rPr>
          <w:rFonts w:ascii="Arial" w:hAnsi="Arial" w:cs="Arial"/>
        </w:rPr>
        <w:t xml:space="preserve">s </w:t>
      </w:r>
      <w:r w:rsidR="008710F6" w:rsidRPr="00B92499">
        <w:rPr>
          <w:rFonts w:ascii="Arial" w:hAnsi="Arial" w:cs="Arial"/>
        </w:rPr>
        <w:t>obligado</w:t>
      </w:r>
      <w:r w:rsidRPr="00B92499">
        <w:rPr>
          <w:rFonts w:ascii="Arial" w:hAnsi="Arial" w:cs="Arial"/>
        </w:rPr>
        <w:t>s supeditados al cumplimiento de la Ley de Transparencia, Acceso a la Información Pública y Rendición de Cuentas de la Ciudad de México</w:t>
      </w:r>
      <w:r w:rsidRPr="00B92499" w:rsidDel="005B5D1B">
        <w:rPr>
          <w:rFonts w:ascii="Arial" w:hAnsi="Arial" w:cs="Arial"/>
        </w:rPr>
        <w:t xml:space="preserve"> </w:t>
      </w:r>
      <w:r w:rsidRPr="00B92499">
        <w:rPr>
          <w:rFonts w:ascii="Arial" w:hAnsi="Arial" w:cs="Arial"/>
        </w:rPr>
        <w:t xml:space="preserve">y de la Ley de Protección de Datos Personales en Posesión de los </w:t>
      </w:r>
      <w:r w:rsidR="008710F6" w:rsidRPr="00B92499">
        <w:rPr>
          <w:rFonts w:ascii="Arial" w:hAnsi="Arial" w:cs="Arial"/>
        </w:rPr>
        <w:t>sujeto</w:t>
      </w:r>
      <w:r w:rsidRPr="00B92499">
        <w:rPr>
          <w:rFonts w:ascii="Arial" w:hAnsi="Arial" w:cs="Arial"/>
        </w:rPr>
        <w:t xml:space="preserve">s </w:t>
      </w:r>
      <w:r w:rsidR="008710F6" w:rsidRPr="00B92499">
        <w:rPr>
          <w:rFonts w:ascii="Arial" w:hAnsi="Arial" w:cs="Arial"/>
        </w:rPr>
        <w:t>obligado</w:t>
      </w:r>
      <w:r w:rsidRPr="00B92499">
        <w:rPr>
          <w:rFonts w:ascii="Arial" w:hAnsi="Arial" w:cs="Arial"/>
        </w:rPr>
        <w:t xml:space="preserve">s de la Ciudad de México (Padrón); de los cuales serán examinados únicamente los </w:t>
      </w:r>
      <w:r w:rsidR="000D67A7" w:rsidRPr="00B92499">
        <w:rPr>
          <w:rFonts w:ascii="Arial" w:hAnsi="Arial" w:cs="Arial"/>
        </w:rPr>
        <w:t xml:space="preserve"> 8 </w:t>
      </w:r>
      <w:r w:rsidRPr="00B92499">
        <w:rPr>
          <w:rFonts w:ascii="Arial" w:hAnsi="Arial" w:cs="Arial"/>
        </w:rPr>
        <w:t xml:space="preserve"> </w:t>
      </w:r>
      <w:r w:rsidR="008710F6" w:rsidRPr="00B92499">
        <w:rPr>
          <w:rFonts w:ascii="Arial" w:hAnsi="Arial" w:cs="Arial"/>
        </w:rPr>
        <w:t>sujeto</w:t>
      </w:r>
      <w:r w:rsidRPr="00B92499">
        <w:rPr>
          <w:rFonts w:ascii="Arial" w:hAnsi="Arial" w:cs="Arial"/>
        </w:rPr>
        <w:t xml:space="preserve">s de nueva incorporación al Padrón.  </w:t>
      </w:r>
    </w:p>
    <w:p w14:paraId="6BD06584" w14:textId="77777777" w:rsidR="002B18F9" w:rsidRPr="00B92499" w:rsidRDefault="002B18F9" w:rsidP="002B18F9">
      <w:pPr>
        <w:spacing w:before="100" w:beforeAutospacing="1" w:after="100" w:afterAutospacing="1" w:line="360" w:lineRule="auto"/>
        <w:contextualSpacing/>
        <w:jc w:val="both"/>
        <w:rPr>
          <w:rFonts w:ascii="Arial" w:hAnsi="Arial" w:cs="Arial"/>
        </w:rPr>
      </w:pPr>
    </w:p>
    <w:p w14:paraId="34D363A7" w14:textId="38425564" w:rsidR="002B18F9" w:rsidRPr="00B92499" w:rsidRDefault="002B18F9" w:rsidP="002B18F9">
      <w:pPr>
        <w:spacing w:before="100" w:beforeAutospacing="1" w:after="100" w:afterAutospacing="1" w:line="360" w:lineRule="auto"/>
        <w:contextualSpacing/>
        <w:jc w:val="both"/>
        <w:rPr>
          <w:rFonts w:ascii="Arial" w:hAnsi="Arial" w:cs="Arial"/>
        </w:rPr>
      </w:pPr>
      <w:r w:rsidRPr="00B92499">
        <w:rPr>
          <w:rFonts w:ascii="Arial" w:hAnsi="Arial" w:cs="Arial"/>
        </w:rPr>
        <w:t xml:space="preserve">Los </w:t>
      </w:r>
      <w:r w:rsidR="008710F6" w:rsidRPr="00B92499">
        <w:rPr>
          <w:rFonts w:ascii="Arial" w:hAnsi="Arial" w:cs="Arial"/>
        </w:rPr>
        <w:t>sujeto</w:t>
      </w:r>
      <w:r w:rsidRPr="00B92499">
        <w:rPr>
          <w:rFonts w:ascii="Arial" w:hAnsi="Arial" w:cs="Arial"/>
        </w:rPr>
        <w:t xml:space="preserve">s </w:t>
      </w:r>
      <w:r w:rsidR="008710F6" w:rsidRPr="00B92499">
        <w:rPr>
          <w:rFonts w:ascii="Arial" w:hAnsi="Arial" w:cs="Arial"/>
        </w:rPr>
        <w:t>obligado</w:t>
      </w:r>
      <w:r w:rsidRPr="00B92499">
        <w:rPr>
          <w:rFonts w:ascii="Arial" w:hAnsi="Arial" w:cs="Arial"/>
        </w:rPr>
        <w:t xml:space="preserve">s, así como su Índice de Cumplimiento de </w:t>
      </w:r>
      <w:r w:rsidR="008710F6" w:rsidRPr="00B92499">
        <w:rPr>
          <w:rFonts w:ascii="Arial" w:hAnsi="Arial" w:cs="Arial"/>
        </w:rPr>
        <w:t>obligaciones de transparencia</w:t>
      </w:r>
      <w:r w:rsidRPr="00B92499">
        <w:rPr>
          <w:rFonts w:ascii="Arial" w:hAnsi="Arial" w:cs="Arial"/>
        </w:rPr>
        <w:t xml:space="preserve"> del Portal de Internet (ICOT-PT), el de la Plataforma Nacional de Transparencia (ICOT-PNT) y el Índice General de Cumplimiento de </w:t>
      </w:r>
      <w:r w:rsidR="008710F6" w:rsidRPr="00B92499">
        <w:rPr>
          <w:rFonts w:ascii="Arial" w:hAnsi="Arial" w:cs="Arial"/>
        </w:rPr>
        <w:t>obligaciones de transparencia</w:t>
      </w:r>
      <w:r w:rsidRPr="00B92499">
        <w:rPr>
          <w:rFonts w:ascii="Arial" w:hAnsi="Arial" w:cs="Arial"/>
        </w:rPr>
        <w:t xml:space="preserve"> (IGOT) se presentan en la siguiente tabla, ordenados de forma descendente, respecto del IGOT: </w:t>
      </w:r>
    </w:p>
    <w:p w14:paraId="2CA2CA52" w14:textId="77777777" w:rsidR="002B18F9" w:rsidRPr="00B92499" w:rsidRDefault="002B18F9" w:rsidP="002B18F9">
      <w:pPr>
        <w:spacing w:before="100" w:beforeAutospacing="1" w:after="100" w:afterAutospacing="1" w:line="360" w:lineRule="auto"/>
        <w:contextualSpacing/>
        <w:jc w:val="both"/>
        <w:rPr>
          <w:rFonts w:ascii="Arial" w:hAnsi="Arial" w:cs="Arial"/>
        </w:rPr>
      </w:pPr>
    </w:p>
    <w:tbl>
      <w:tblPr>
        <w:tblW w:w="9375" w:type="dxa"/>
        <w:tblLayout w:type="fixed"/>
        <w:tblCellMar>
          <w:left w:w="70" w:type="dxa"/>
          <w:right w:w="70" w:type="dxa"/>
        </w:tblCellMar>
        <w:tblLook w:val="04A0" w:firstRow="1" w:lastRow="0" w:firstColumn="1" w:lastColumn="0" w:noHBand="0" w:noVBand="1"/>
      </w:tblPr>
      <w:tblGrid>
        <w:gridCol w:w="421"/>
        <w:gridCol w:w="1304"/>
        <w:gridCol w:w="850"/>
        <w:gridCol w:w="850"/>
        <w:gridCol w:w="850"/>
        <w:gridCol w:w="850"/>
        <w:gridCol w:w="850"/>
        <w:gridCol w:w="850"/>
        <w:gridCol w:w="850"/>
        <w:gridCol w:w="850"/>
        <w:gridCol w:w="850"/>
      </w:tblGrid>
      <w:tr w:rsidR="002B18F9" w:rsidRPr="00B92499" w14:paraId="1E5FEF31" w14:textId="77777777" w:rsidTr="002B18F9">
        <w:trPr>
          <w:trHeight w:val="217"/>
          <w:tblHeader/>
        </w:trPr>
        <w:tc>
          <w:tcPr>
            <w:tcW w:w="9375" w:type="dxa"/>
            <w:gridSpan w:val="11"/>
            <w:tcBorders>
              <w:top w:val="single" w:sz="4" w:space="0" w:color="auto"/>
              <w:left w:val="single" w:sz="4" w:space="0" w:color="auto"/>
              <w:bottom w:val="single" w:sz="4" w:space="0" w:color="auto"/>
              <w:right w:val="single" w:sz="4" w:space="0" w:color="auto"/>
            </w:tcBorders>
            <w:shd w:val="clear" w:color="auto" w:fill="00B0F0"/>
            <w:noWrap/>
            <w:vAlign w:val="center"/>
          </w:tcPr>
          <w:p w14:paraId="7C387EA8" w14:textId="77777777" w:rsidR="002B18F9" w:rsidRPr="00B92499" w:rsidRDefault="002B18F9" w:rsidP="002B18F9">
            <w:pPr>
              <w:jc w:val="center"/>
              <w:rPr>
                <w:rFonts w:ascii="Arial" w:hAnsi="Arial" w:cs="Arial"/>
                <w:b/>
                <w:bCs/>
                <w:color w:val="000000"/>
                <w:sz w:val="16"/>
                <w:szCs w:val="16"/>
              </w:rPr>
            </w:pPr>
            <w:r w:rsidRPr="00B92499">
              <w:rPr>
                <w:rFonts w:ascii="Arial" w:hAnsi="Arial" w:cs="Arial"/>
                <w:b/>
                <w:bCs/>
                <w:color w:val="000000"/>
                <w:sz w:val="16"/>
                <w:szCs w:val="16"/>
              </w:rPr>
              <w:t>Resultados de la Segunda Evaluación Vinculante 2019, respecto del primer semestre del año 2019</w:t>
            </w:r>
          </w:p>
        </w:tc>
      </w:tr>
      <w:tr w:rsidR="002B18F9" w:rsidRPr="00B92499" w14:paraId="70158554" w14:textId="77777777" w:rsidTr="002B18F9">
        <w:trPr>
          <w:trHeight w:val="217"/>
          <w:tblHeader/>
        </w:trPr>
        <w:tc>
          <w:tcPr>
            <w:tcW w:w="421" w:type="dxa"/>
            <w:tcBorders>
              <w:top w:val="single" w:sz="4" w:space="0" w:color="auto"/>
              <w:left w:val="single" w:sz="4" w:space="0" w:color="auto"/>
              <w:bottom w:val="single" w:sz="4" w:space="0" w:color="auto"/>
              <w:right w:val="single" w:sz="4" w:space="0" w:color="auto"/>
            </w:tcBorders>
            <w:shd w:val="clear" w:color="auto" w:fill="00B0F0"/>
            <w:noWrap/>
            <w:vAlign w:val="center"/>
            <w:hideMark/>
          </w:tcPr>
          <w:p w14:paraId="6167DD87" w14:textId="77777777" w:rsidR="002B18F9" w:rsidRPr="00B92499" w:rsidRDefault="002B18F9" w:rsidP="002B18F9">
            <w:pPr>
              <w:jc w:val="center"/>
              <w:rPr>
                <w:rFonts w:ascii="Arial" w:hAnsi="Arial" w:cs="Arial"/>
                <w:b/>
                <w:bCs/>
                <w:color w:val="000000"/>
                <w:sz w:val="16"/>
                <w:szCs w:val="16"/>
              </w:rPr>
            </w:pPr>
            <w:r w:rsidRPr="00B92499">
              <w:rPr>
                <w:rFonts w:ascii="Arial" w:hAnsi="Arial" w:cs="Arial"/>
                <w:b/>
                <w:bCs/>
                <w:color w:val="000000"/>
                <w:sz w:val="16"/>
                <w:szCs w:val="16"/>
              </w:rPr>
              <w:t>No.</w:t>
            </w:r>
          </w:p>
        </w:tc>
        <w:tc>
          <w:tcPr>
            <w:tcW w:w="1304" w:type="dxa"/>
            <w:tcBorders>
              <w:top w:val="single" w:sz="4" w:space="0" w:color="auto"/>
              <w:left w:val="nil"/>
              <w:bottom w:val="single" w:sz="4" w:space="0" w:color="auto"/>
              <w:right w:val="single" w:sz="4" w:space="0" w:color="auto"/>
            </w:tcBorders>
            <w:shd w:val="clear" w:color="auto" w:fill="00B0F0"/>
            <w:vAlign w:val="center"/>
            <w:hideMark/>
          </w:tcPr>
          <w:p w14:paraId="68AA5CC2" w14:textId="3B6ADFBF" w:rsidR="002B18F9" w:rsidRPr="00B92499" w:rsidRDefault="002B18F9" w:rsidP="002B18F9">
            <w:pPr>
              <w:jc w:val="center"/>
              <w:rPr>
                <w:rFonts w:ascii="Arial" w:hAnsi="Arial" w:cs="Arial"/>
                <w:b/>
                <w:bCs/>
                <w:color w:val="000000"/>
                <w:sz w:val="16"/>
                <w:szCs w:val="16"/>
              </w:rPr>
            </w:pPr>
            <w:r w:rsidRPr="00B92499">
              <w:rPr>
                <w:rFonts w:ascii="Arial" w:hAnsi="Arial" w:cs="Arial"/>
                <w:b/>
                <w:bCs/>
                <w:color w:val="000000"/>
                <w:sz w:val="16"/>
                <w:szCs w:val="16"/>
              </w:rPr>
              <w:t xml:space="preserve">Denominación del </w:t>
            </w:r>
            <w:r w:rsidR="008710F6" w:rsidRPr="00B92499">
              <w:rPr>
                <w:rFonts w:ascii="Arial" w:hAnsi="Arial" w:cs="Arial"/>
                <w:b/>
                <w:bCs/>
                <w:color w:val="000000"/>
                <w:sz w:val="16"/>
                <w:szCs w:val="16"/>
              </w:rPr>
              <w:t>sujeto obligado</w:t>
            </w:r>
          </w:p>
        </w:tc>
        <w:tc>
          <w:tcPr>
            <w:tcW w:w="850" w:type="dxa"/>
            <w:tcBorders>
              <w:top w:val="single" w:sz="4" w:space="0" w:color="auto"/>
              <w:left w:val="nil"/>
              <w:bottom w:val="single" w:sz="4" w:space="0" w:color="auto"/>
              <w:right w:val="single" w:sz="4" w:space="0" w:color="auto"/>
            </w:tcBorders>
            <w:shd w:val="clear" w:color="auto" w:fill="00B0F0"/>
            <w:vAlign w:val="center"/>
            <w:hideMark/>
          </w:tcPr>
          <w:p w14:paraId="6AB55AB6" w14:textId="77777777" w:rsidR="002B18F9" w:rsidRPr="00B92499" w:rsidRDefault="002B18F9" w:rsidP="002B18F9">
            <w:pPr>
              <w:jc w:val="center"/>
              <w:rPr>
                <w:rFonts w:ascii="Arial" w:hAnsi="Arial" w:cs="Arial"/>
                <w:b/>
                <w:bCs/>
                <w:color w:val="000000"/>
                <w:sz w:val="16"/>
                <w:szCs w:val="16"/>
              </w:rPr>
            </w:pPr>
            <w:r w:rsidRPr="00B92499">
              <w:rPr>
                <w:rFonts w:ascii="Arial" w:hAnsi="Arial" w:cs="Arial"/>
                <w:b/>
                <w:bCs/>
                <w:color w:val="000000"/>
                <w:sz w:val="16"/>
                <w:szCs w:val="16"/>
              </w:rPr>
              <w:t>%Inf PT</w:t>
            </w:r>
          </w:p>
        </w:tc>
        <w:tc>
          <w:tcPr>
            <w:tcW w:w="850" w:type="dxa"/>
            <w:tcBorders>
              <w:top w:val="single" w:sz="4" w:space="0" w:color="auto"/>
              <w:left w:val="nil"/>
              <w:bottom w:val="single" w:sz="4" w:space="0" w:color="auto"/>
              <w:right w:val="single" w:sz="4" w:space="0" w:color="auto"/>
            </w:tcBorders>
            <w:shd w:val="clear" w:color="auto" w:fill="00B0F0"/>
            <w:vAlign w:val="center"/>
            <w:hideMark/>
          </w:tcPr>
          <w:p w14:paraId="4A65E8F5" w14:textId="77777777" w:rsidR="002B18F9" w:rsidRPr="00B92499" w:rsidRDefault="002B18F9" w:rsidP="002B18F9">
            <w:pPr>
              <w:jc w:val="center"/>
              <w:rPr>
                <w:rFonts w:ascii="Arial" w:hAnsi="Arial" w:cs="Arial"/>
                <w:b/>
                <w:bCs/>
                <w:color w:val="000000"/>
                <w:sz w:val="16"/>
                <w:szCs w:val="16"/>
              </w:rPr>
            </w:pPr>
            <w:r w:rsidRPr="00B92499">
              <w:rPr>
                <w:rFonts w:ascii="Arial" w:hAnsi="Arial" w:cs="Arial"/>
                <w:b/>
                <w:bCs/>
                <w:color w:val="000000"/>
                <w:sz w:val="16"/>
                <w:szCs w:val="16"/>
              </w:rPr>
              <w:t>% Nota PT</w:t>
            </w:r>
          </w:p>
        </w:tc>
        <w:tc>
          <w:tcPr>
            <w:tcW w:w="850" w:type="dxa"/>
            <w:tcBorders>
              <w:top w:val="single" w:sz="4" w:space="0" w:color="auto"/>
              <w:left w:val="nil"/>
              <w:bottom w:val="single" w:sz="4" w:space="0" w:color="auto"/>
              <w:right w:val="single" w:sz="4" w:space="0" w:color="auto"/>
            </w:tcBorders>
            <w:shd w:val="clear" w:color="auto" w:fill="00B0F0"/>
            <w:vAlign w:val="center"/>
            <w:hideMark/>
          </w:tcPr>
          <w:p w14:paraId="42A6EDF9" w14:textId="77777777" w:rsidR="002B18F9" w:rsidRPr="00B92499" w:rsidRDefault="002B18F9" w:rsidP="002B18F9">
            <w:pPr>
              <w:jc w:val="center"/>
              <w:rPr>
                <w:rFonts w:ascii="Arial" w:hAnsi="Arial" w:cs="Arial"/>
                <w:b/>
                <w:bCs/>
                <w:color w:val="000000"/>
                <w:sz w:val="16"/>
                <w:szCs w:val="16"/>
              </w:rPr>
            </w:pPr>
            <w:r w:rsidRPr="00B92499">
              <w:rPr>
                <w:rFonts w:ascii="Arial" w:hAnsi="Arial" w:cs="Arial"/>
                <w:b/>
                <w:bCs/>
                <w:color w:val="000000"/>
                <w:sz w:val="16"/>
                <w:szCs w:val="16"/>
              </w:rPr>
              <w:t>ICOT-PT</w:t>
            </w:r>
          </w:p>
        </w:tc>
        <w:tc>
          <w:tcPr>
            <w:tcW w:w="850" w:type="dxa"/>
            <w:tcBorders>
              <w:top w:val="single" w:sz="4" w:space="0" w:color="auto"/>
              <w:left w:val="nil"/>
              <w:bottom w:val="single" w:sz="4" w:space="0" w:color="auto"/>
              <w:right w:val="single" w:sz="4" w:space="0" w:color="auto"/>
            </w:tcBorders>
            <w:shd w:val="clear" w:color="auto" w:fill="00B0F0"/>
            <w:vAlign w:val="center"/>
            <w:hideMark/>
          </w:tcPr>
          <w:p w14:paraId="190443AC" w14:textId="77777777" w:rsidR="002B18F9" w:rsidRPr="00B92499" w:rsidRDefault="002B18F9" w:rsidP="002B18F9">
            <w:pPr>
              <w:jc w:val="center"/>
              <w:rPr>
                <w:rFonts w:ascii="Arial" w:hAnsi="Arial" w:cs="Arial"/>
                <w:b/>
                <w:bCs/>
                <w:color w:val="000000"/>
                <w:sz w:val="16"/>
                <w:szCs w:val="16"/>
              </w:rPr>
            </w:pPr>
            <w:r w:rsidRPr="00B92499">
              <w:rPr>
                <w:rFonts w:ascii="Arial" w:hAnsi="Arial" w:cs="Arial"/>
                <w:b/>
                <w:bCs/>
                <w:color w:val="000000"/>
                <w:sz w:val="16"/>
                <w:szCs w:val="16"/>
              </w:rPr>
              <w:t>%Inf PNT</w:t>
            </w:r>
          </w:p>
        </w:tc>
        <w:tc>
          <w:tcPr>
            <w:tcW w:w="850" w:type="dxa"/>
            <w:tcBorders>
              <w:top w:val="single" w:sz="4" w:space="0" w:color="auto"/>
              <w:left w:val="nil"/>
              <w:bottom w:val="single" w:sz="4" w:space="0" w:color="auto"/>
              <w:right w:val="single" w:sz="4" w:space="0" w:color="auto"/>
            </w:tcBorders>
            <w:shd w:val="clear" w:color="auto" w:fill="00B0F0"/>
            <w:vAlign w:val="center"/>
            <w:hideMark/>
          </w:tcPr>
          <w:p w14:paraId="53A4EBA2" w14:textId="77777777" w:rsidR="002B18F9" w:rsidRPr="00B92499" w:rsidRDefault="002B18F9" w:rsidP="002B18F9">
            <w:pPr>
              <w:jc w:val="center"/>
              <w:rPr>
                <w:rFonts w:ascii="Arial" w:hAnsi="Arial" w:cs="Arial"/>
                <w:b/>
                <w:bCs/>
                <w:color w:val="000000"/>
                <w:sz w:val="16"/>
                <w:szCs w:val="16"/>
              </w:rPr>
            </w:pPr>
            <w:r w:rsidRPr="00B92499">
              <w:rPr>
                <w:rFonts w:ascii="Arial" w:hAnsi="Arial" w:cs="Arial"/>
                <w:b/>
                <w:bCs/>
                <w:color w:val="000000"/>
                <w:sz w:val="16"/>
                <w:szCs w:val="16"/>
              </w:rPr>
              <w:t>% Notas PNT</w:t>
            </w:r>
          </w:p>
        </w:tc>
        <w:tc>
          <w:tcPr>
            <w:tcW w:w="850" w:type="dxa"/>
            <w:tcBorders>
              <w:top w:val="single" w:sz="4" w:space="0" w:color="auto"/>
              <w:left w:val="nil"/>
              <w:bottom w:val="single" w:sz="4" w:space="0" w:color="auto"/>
              <w:right w:val="single" w:sz="4" w:space="0" w:color="auto"/>
            </w:tcBorders>
            <w:shd w:val="clear" w:color="auto" w:fill="00B0F0"/>
            <w:vAlign w:val="center"/>
            <w:hideMark/>
          </w:tcPr>
          <w:p w14:paraId="78F090FF" w14:textId="77777777" w:rsidR="002B18F9" w:rsidRPr="00B92499" w:rsidRDefault="002B18F9" w:rsidP="002B18F9">
            <w:pPr>
              <w:jc w:val="center"/>
              <w:rPr>
                <w:rFonts w:ascii="Arial" w:hAnsi="Arial" w:cs="Arial"/>
                <w:b/>
                <w:bCs/>
                <w:color w:val="000000"/>
                <w:sz w:val="16"/>
                <w:szCs w:val="16"/>
              </w:rPr>
            </w:pPr>
            <w:r w:rsidRPr="00B92499">
              <w:rPr>
                <w:rFonts w:ascii="Arial" w:hAnsi="Arial" w:cs="Arial"/>
                <w:b/>
                <w:bCs/>
                <w:color w:val="000000"/>
                <w:sz w:val="16"/>
                <w:szCs w:val="16"/>
              </w:rPr>
              <w:t>ICOT-PNT</w:t>
            </w:r>
          </w:p>
        </w:tc>
        <w:tc>
          <w:tcPr>
            <w:tcW w:w="850" w:type="dxa"/>
            <w:tcBorders>
              <w:top w:val="single" w:sz="4" w:space="0" w:color="auto"/>
              <w:left w:val="nil"/>
              <w:bottom w:val="single" w:sz="4" w:space="0" w:color="auto"/>
              <w:right w:val="single" w:sz="4" w:space="0" w:color="auto"/>
            </w:tcBorders>
            <w:shd w:val="clear" w:color="auto" w:fill="00B0F0"/>
            <w:vAlign w:val="center"/>
            <w:hideMark/>
          </w:tcPr>
          <w:p w14:paraId="3FF77D19" w14:textId="77777777" w:rsidR="002B18F9" w:rsidRPr="00B92499" w:rsidRDefault="002B18F9" w:rsidP="002B18F9">
            <w:pPr>
              <w:jc w:val="center"/>
              <w:rPr>
                <w:rFonts w:ascii="Arial" w:hAnsi="Arial" w:cs="Arial"/>
                <w:b/>
                <w:bCs/>
                <w:color w:val="000000"/>
                <w:sz w:val="16"/>
                <w:szCs w:val="16"/>
              </w:rPr>
            </w:pPr>
            <w:r w:rsidRPr="00B92499">
              <w:rPr>
                <w:rFonts w:ascii="Arial" w:hAnsi="Arial" w:cs="Arial"/>
                <w:b/>
                <w:bCs/>
                <w:color w:val="000000"/>
                <w:sz w:val="16"/>
                <w:szCs w:val="16"/>
              </w:rPr>
              <w:t>%Inf IGOT</w:t>
            </w:r>
          </w:p>
        </w:tc>
        <w:tc>
          <w:tcPr>
            <w:tcW w:w="850" w:type="dxa"/>
            <w:tcBorders>
              <w:top w:val="single" w:sz="4" w:space="0" w:color="auto"/>
              <w:left w:val="nil"/>
              <w:bottom w:val="single" w:sz="4" w:space="0" w:color="auto"/>
              <w:right w:val="single" w:sz="4" w:space="0" w:color="auto"/>
            </w:tcBorders>
            <w:shd w:val="clear" w:color="auto" w:fill="00B0F0"/>
            <w:vAlign w:val="center"/>
            <w:hideMark/>
          </w:tcPr>
          <w:p w14:paraId="148708AB" w14:textId="77777777" w:rsidR="002B18F9" w:rsidRPr="00B92499" w:rsidRDefault="002B18F9" w:rsidP="002B18F9">
            <w:pPr>
              <w:jc w:val="center"/>
              <w:rPr>
                <w:rFonts w:ascii="Arial" w:hAnsi="Arial" w:cs="Arial"/>
                <w:b/>
                <w:bCs/>
                <w:color w:val="000000"/>
                <w:sz w:val="16"/>
                <w:szCs w:val="16"/>
              </w:rPr>
            </w:pPr>
            <w:r w:rsidRPr="00B92499">
              <w:rPr>
                <w:rFonts w:ascii="Arial" w:hAnsi="Arial" w:cs="Arial"/>
                <w:b/>
                <w:bCs/>
                <w:color w:val="000000"/>
                <w:sz w:val="16"/>
                <w:szCs w:val="16"/>
              </w:rPr>
              <w:t>% Notas IGOT</w:t>
            </w:r>
          </w:p>
        </w:tc>
        <w:tc>
          <w:tcPr>
            <w:tcW w:w="850" w:type="dxa"/>
            <w:tcBorders>
              <w:top w:val="single" w:sz="4" w:space="0" w:color="auto"/>
              <w:left w:val="nil"/>
              <w:bottom w:val="single" w:sz="4" w:space="0" w:color="auto"/>
              <w:right w:val="single" w:sz="4" w:space="0" w:color="auto"/>
            </w:tcBorders>
            <w:shd w:val="clear" w:color="auto" w:fill="00B0F0"/>
            <w:vAlign w:val="center"/>
            <w:hideMark/>
          </w:tcPr>
          <w:p w14:paraId="1B6440C5" w14:textId="77777777" w:rsidR="002B18F9" w:rsidRPr="00B92499" w:rsidRDefault="002B18F9" w:rsidP="002B18F9">
            <w:pPr>
              <w:jc w:val="center"/>
              <w:rPr>
                <w:rFonts w:ascii="Arial" w:hAnsi="Arial" w:cs="Arial"/>
                <w:b/>
                <w:bCs/>
                <w:color w:val="000000"/>
                <w:sz w:val="16"/>
                <w:szCs w:val="16"/>
              </w:rPr>
            </w:pPr>
            <w:r w:rsidRPr="00B92499">
              <w:rPr>
                <w:rFonts w:ascii="Arial" w:hAnsi="Arial" w:cs="Arial"/>
                <w:b/>
                <w:bCs/>
                <w:color w:val="000000"/>
                <w:sz w:val="16"/>
                <w:szCs w:val="16"/>
              </w:rPr>
              <w:t>IGOT</w:t>
            </w:r>
          </w:p>
        </w:tc>
      </w:tr>
      <w:tr w:rsidR="002B18F9" w:rsidRPr="00B92499" w14:paraId="2B21FD1C" w14:textId="77777777" w:rsidTr="002B18F9">
        <w:trPr>
          <w:trHeight w:val="680"/>
        </w:trPr>
        <w:tc>
          <w:tcPr>
            <w:tcW w:w="421" w:type="dxa"/>
            <w:tcBorders>
              <w:top w:val="nil"/>
              <w:left w:val="single" w:sz="4" w:space="0" w:color="auto"/>
              <w:bottom w:val="single" w:sz="4" w:space="0" w:color="auto"/>
              <w:right w:val="single" w:sz="4" w:space="0" w:color="auto"/>
            </w:tcBorders>
            <w:shd w:val="clear" w:color="000000" w:fill="FFFFFF"/>
            <w:vAlign w:val="center"/>
            <w:hideMark/>
          </w:tcPr>
          <w:p w14:paraId="04A8D776" w14:textId="77777777" w:rsidR="002B18F9" w:rsidRPr="00B92499" w:rsidRDefault="002B18F9" w:rsidP="002B18F9">
            <w:pPr>
              <w:jc w:val="center"/>
              <w:rPr>
                <w:rFonts w:ascii="Arial" w:hAnsi="Arial" w:cs="Arial"/>
                <w:color w:val="000000"/>
                <w:sz w:val="16"/>
                <w:szCs w:val="16"/>
              </w:rPr>
            </w:pPr>
            <w:r w:rsidRPr="00B92499">
              <w:rPr>
                <w:rFonts w:ascii="Arial" w:hAnsi="Arial" w:cs="Arial"/>
                <w:color w:val="000000"/>
                <w:sz w:val="16"/>
                <w:szCs w:val="16"/>
              </w:rPr>
              <w:t>1</w:t>
            </w:r>
          </w:p>
        </w:tc>
        <w:tc>
          <w:tcPr>
            <w:tcW w:w="1304" w:type="dxa"/>
            <w:tcBorders>
              <w:top w:val="nil"/>
              <w:left w:val="nil"/>
              <w:bottom w:val="single" w:sz="4" w:space="0" w:color="auto"/>
              <w:right w:val="single" w:sz="4" w:space="0" w:color="auto"/>
            </w:tcBorders>
            <w:shd w:val="clear" w:color="000000" w:fill="FFFFFF"/>
            <w:vAlign w:val="center"/>
            <w:hideMark/>
          </w:tcPr>
          <w:p w14:paraId="5C5E8BBA" w14:textId="77777777" w:rsidR="002B18F9" w:rsidRPr="00B92499" w:rsidRDefault="002B18F9" w:rsidP="002B18F9">
            <w:pPr>
              <w:rPr>
                <w:rFonts w:ascii="Arial" w:hAnsi="Arial" w:cs="Arial"/>
                <w:color w:val="000000"/>
                <w:sz w:val="16"/>
                <w:szCs w:val="16"/>
              </w:rPr>
            </w:pPr>
            <w:r w:rsidRPr="00B92499">
              <w:rPr>
                <w:rFonts w:ascii="Arial" w:hAnsi="Arial" w:cs="Arial"/>
                <w:color w:val="000000"/>
                <w:sz w:val="16"/>
                <w:szCs w:val="16"/>
              </w:rPr>
              <w:t>Agencia Digital de Innovación Pública de la Ciudad de México</w:t>
            </w:r>
          </w:p>
        </w:tc>
        <w:tc>
          <w:tcPr>
            <w:tcW w:w="850" w:type="dxa"/>
            <w:tcBorders>
              <w:top w:val="nil"/>
              <w:left w:val="nil"/>
              <w:bottom w:val="single" w:sz="4" w:space="0" w:color="auto"/>
              <w:right w:val="single" w:sz="4" w:space="0" w:color="auto"/>
            </w:tcBorders>
            <w:shd w:val="clear" w:color="000000" w:fill="BDD7EE"/>
            <w:noWrap/>
            <w:vAlign w:val="center"/>
            <w:hideMark/>
          </w:tcPr>
          <w:p w14:paraId="322351D0" w14:textId="77777777" w:rsidR="002B18F9" w:rsidRPr="00B92499" w:rsidRDefault="002B18F9" w:rsidP="002B18F9">
            <w:pPr>
              <w:jc w:val="center"/>
              <w:rPr>
                <w:rFonts w:ascii="Arial" w:hAnsi="Arial" w:cs="Arial"/>
                <w:color w:val="000000"/>
                <w:sz w:val="16"/>
                <w:szCs w:val="16"/>
              </w:rPr>
            </w:pPr>
            <w:r w:rsidRPr="00B92499">
              <w:rPr>
                <w:rFonts w:ascii="Arial" w:hAnsi="Arial" w:cs="Arial"/>
                <w:color w:val="000000"/>
                <w:sz w:val="16"/>
                <w:szCs w:val="16"/>
              </w:rPr>
              <w:t>99.85</w:t>
            </w:r>
          </w:p>
        </w:tc>
        <w:tc>
          <w:tcPr>
            <w:tcW w:w="850" w:type="dxa"/>
            <w:tcBorders>
              <w:top w:val="nil"/>
              <w:left w:val="nil"/>
              <w:bottom w:val="single" w:sz="4" w:space="0" w:color="auto"/>
              <w:right w:val="single" w:sz="4" w:space="0" w:color="auto"/>
            </w:tcBorders>
            <w:shd w:val="clear" w:color="000000" w:fill="D9D9D9"/>
            <w:noWrap/>
            <w:vAlign w:val="center"/>
            <w:hideMark/>
          </w:tcPr>
          <w:p w14:paraId="100659FA" w14:textId="77777777" w:rsidR="002B18F9" w:rsidRPr="00B92499" w:rsidRDefault="002B18F9" w:rsidP="002B18F9">
            <w:pPr>
              <w:jc w:val="center"/>
              <w:rPr>
                <w:rFonts w:ascii="Arial" w:hAnsi="Arial" w:cs="Arial"/>
                <w:color w:val="000000"/>
                <w:sz w:val="16"/>
                <w:szCs w:val="16"/>
              </w:rPr>
            </w:pPr>
            <w:r w:rsidRPr="00B92499">
              <w:rPr>
                <w:rFonts w:ascii="Arial" w:hAnsi="Arial" w:cs="Arial"/>
                <w:color w:val="000000"/>
                <w:sz w:val="16"/>
                <w:szCs w:val="16"/>
              </w:rPr>
              <w:t>0.15</w:t>
            </w:r>
          </w:p>
        </w:tc>
        <w:tc>
          <w:tcPr>
            <w:tcW w:w="850" w:type="dxa"/>
            <w:tcBorders>
              <w:top w:val="nil"/>
              <w:left w:val="nil"/>
              <w:bottom w:val="single" w:sz="4" w:space="0" w:color="auto"/>
              <w:right w:val="single" w:sz="4" w:space="0" w:color="auto"/>
            </w:tcBorders>
            <w:shd w:val="clear" w:color="auto" w:fill="auto"/>
            <w:noWrap/>
            <w:vAlign w:val="center"/>
            <w:hideMark/>
          </w:tcPr>
          <w:p w14:paraId="5EB69540" w14:textId="3D70A306" w:rsidR="002B18F9" w:rsidRPr="00B92499" w:rsidRDefault="002B18F9" w:rsidP="00516AA8">
            <w:pPr>
              <w:jc w:val="center"/>
              <w:rPr>
                <w:rFonts w:ascii="Arial" w:hAnsi="Arial" w:cs="Arial"/>
                <w:color w:val="000000"/>
                <w:sz w:val="16"/>
                <w:szCs w:val="16"/>
              </w:rPr>
            </w:pPr>
            <w:r w:rsidRPr="00B92499">
              <w:rPr>
                <w:rFonts w:ascii="Arial" w:hAnsi="Arial" w:cs="Arial"/>
                <w:color w:val="000000"/>
                <w:sz w:val="16"/>
                <w:szCs w:val="16"/>
              </w:rPr>
              <w:t>100</w:t>
            </w:r>
          </w:p>
        </w:tc>
        <w:tc>
          <w:tcPr>
            <w:tcW w:w="850" w:type="dxa"/>
            <w:tcBorders>
              <w:top w:val="nil"/>
              <w:left w:val="nil"/>
              <w:bottom w:val="single" w:sz="4" w:space="0" w:color="auto"/>
              <w:right w:val="single" w:sz="4" w:space="0" w:color="auto"/>
            </w:tcBorders>
            <w:shd w:val="clear" w:color="000000" w:fill="BDD7EE"/>
            <w:noWrap/>
            <w:vAlign w:val="center"/>
            <w:hideMark/>
          </w:tcPr>
          <w:p w14:paraId="1D889264" w14:textId="77777777" w:rsidR="002B18F9" w:rsidRPr="00B92499" w:rsidRDefault="002B18F9" w:rsidP="002B18F9">
            <w:pPr>
              <w:jc w:val="center"/>
              <w:rPr>
                <w:rFonts w:ascii="Arial" w:hAnsi="Arial" w:cs="Arial"/>
                <w:color w:val="000000"/>
                <w:sz w:val="16"/>
                <w:szCs w:val="16"/>
              </w:rPr>
            </w:pPr>
            <w:r w:rsidRPr="00B92499">
              <w:rPr>
                <w:rFonts w:ascii="Arial" w:hAnsi="Arial" w:cs="Arial"/>
                <w:color w:val="000000"/>
                <w:sz w:val="16"/>
                <w:szCs w:val="16"/>
              </w:rPr>
              <w:t>99.85</w:t>
            </w:r>
          </w:p>
        </w:tc>
        <w:tc>
          <w:tcPr>
            <w:tcW w:w="850" w:type="dxa"/>
            <w:tcBorders>
              <w:top w:val="nil"/>
              <w:left w:val="nil"/>
              <w:bottom w:val="single" w:sz="4" w:space="0" w:color="auto"/>
              <w:right w:val="single" w:sz="4" w:space="0" w:color="auto"/>
            </w:tcBorders>
            <w:shd w:val="clear" w:color="000000" w:fill="D9D9D9"/>
            <w:noWrap/>
            <w:vAlign w:val="center"/>
            <w:hideMark/>
          </w:tcPr>
          <w:p w14:paraId="1B64CD83" w14:textId="77777777" w:rsidR="002B18F9" w:rsidRPr="00B92499" w:rsidRDefault="002B18F9" w:rsidP="002B18F9">
            <w:pPr>
              <w:jc w:val="center"/>
              <w:rPr>
                <w:rFonts w:ascii="Arial" w:hAnsi="Arial" w:cs="Arial"/>
                <w:color w:val="000000"/>
                <w:sz w:val="16"/>
                <w:szCs w:val="16"/>
              </w:rPr>
            </w:pPr>
            <w:r w:rsidRPr="00B92499">
              <w:rPr>
                <w:rFonts w:ascii="Arial" w:hAnsi="Arial" w:cs="Arial"/>
                <w:color w:val="000000"/>
                <w:sz w:val="16"/>
                <w:szCs w:val="16"/>
              </w:rPr>
              <w:t>0.15</w:t>
            </w:r>
          </w:p>
        </w:tc>
        <w:tc>
          <w:tcPr>
            <w:tcW w:w="850" w:type="dxa"/>
            <w:tcBorders>
              <w:top w:val="nil"/>
              <w:left w:val="nil"/>
              <w:bottom w:val="single" w:sz="4" w:space="0" w:color="auto"/>
              <w:right w:val="single" w:sz="4" w:space="0" w:color="auto"/>
            </w:tcBorders>
            <w:shd w:val="clear" w:color="auto" w:fill="auto"/>
            <w:noWrap/>
            <w:vAlign w:val="center"/>
            <w:hideMark/>
          </w:tcPr>
          <w:p w14:paraId="052CE380" w14:textId="0C94A452" w:rsidR="002B18F9" w:rsidRPr="00B92499" w:rsidRDefault="002B18F9" w:rsidP="00516AA8">
            <w:pPr>
              <w:jc w:val="center"/>
              <w:rPr>
                <w:rFonts w:ascii="Arial" w:hAnsi="Arial" w:cs="Arial"/>
                <w:color w:val="000000"/>
                <w:sz w:val="16"/>
                <w:szCs w:val="16"/>
              </w:rPr>
            </w:pPr>
            <w:r w:rsidRPr="00B92499">
              <w:rPr>
                <w:rFonts w:ascii="Arial" w:hAnsi="Arial" w:cs="Arial"/>
                <w:color w:val="000000"/>
                <w:sz w:val="16"/>
                <w:szCs w:val="16"/>
              </w:rPr>
              <w:t>100</w:t>
            </w:r>
          </w:p>
        </w:tc>
        <w:tc>
          <w:tcPr>
            <w:tcW w:w="850" w:type="dxa"/>
            <w:tcBorders>
              <w:top w:val="nil"/>
              <w:left w:val="nil"/>
              <w:bottom w:val="single" w:sz="4" w:space="0" w:color="auto"/>
              <w:right w:val="single" w:sz="4" w:space="0" w:color="auto"/>
            </w:tcBorders>
            <w:shd w:val="clear" w:color="000000" w:fill="BDD7EE"/>
            <w:noWrap/>
            <w:vAlign w:val="center"/>
            <w:hideMark/>
          </w:tcPr>
          <w:p w14:paraId="26204EDD" w14:textId="77777777" w:rsidR="002B18F9" w:rsidRPr="00B92499" w:rsidRDefault="002B18F9" w:rsidP="002B18F9">
            <w:pPr>
              <w:jc w:val="center"/>
              <w:rPr>
                <w:rFonts w:ascii="Arial" w:hAnsi="Arial" w:cs="Arial"/>
                <w:color w:val="000000"/>
                <w:sz w:val="16"/>
                <w:szCs w:val="16"/>
              </w:rPr>
            </w:pPr>
            <w:r w:rsidRPr="00B92499">
              <w:rPr>
                <w:rFonts w:ascii="Arial" w:hAnsi="Arial" w:cs="Arial"/>
                <w:color w:val="000000"/>
                <w:sz w:val="16"/>
                <w:szCs w:val="16"/>
              </w:rPr>
              <w:t>99.85</w:t>
            </w:r>
          </w:p>
        </w:tc>
        <w:tc>
          <w:tcPr>
            <w:tcW w:w="850" w:type="dxa"/>
            <w:tcBorders>
              <w:top w:val="nil"/>
              <w:left w:val="nil"/>
              <w:bottom w:val="single" w:sz="4" w:space="0" w:color="auto"/>
              <w:right w:val="single" w:sz="4" w:space="0" w:color="auto"/>
            </w:tcBorders>
            <w:shd w:val="clear" w:color="000000" w:fill="D9D9D9"/>
            <w:noWrap/>
            <w:vAlign w:val="center"/>
            <w:hideMark/>
          </w:tcPr>
          <w:p w14:paraId="407E31F4" w14:textId="77777777" w:rsidR="002B18F9" w:rsidRPr="00B92499" w:rsidRDefault="002B18F9" w:rsidP="002B18F9">
            <w:pPr>
              <w:jc w:val="center"/>
              <w:rPr>
                <w:rFonts w:ascii="Arial" w:hAnsi="Arial" w:cs="Arial"/>
                <w:color w:val="000000"/>
                <w:sz w:val="16"/>
                <w:szCs w:val="16"/>
              </w:rPr>
            </w:pPr>
            <w:r w:rsidRPr="00B92499">
              <w:rPr>
                <w:rFonts w:ascii="Arial" w:hAnsi="Arial" w:cs="Arial"/>
                <w:color w:val="000000"/>
                <w:sz w:val="16"/>
                <w:szCs w:val="16"/>
              </w:rPr>
              <w:t>0.15</w:t>
            </w:r>
          </w:p>
        </w:tc>
        <w:tc>
          <w:tcPr>
            <w:tcW w:w="850" w:type="dxa"/>
            <w:tcBorders>
              <w:top w:val="nil"/>
              <w:left w:val="nil"/>
              <w:bottom w:val="single" w:sz="4" w:space="0" w:color="auto"/>
              <w:right w:val="single" w:sz="4" w:space="0" w:color="auto"/>
            </w:tcBorders>
            <w:shd w:val="clear" w:color="auto" w:fill="auto"/>
            <w:noWrap/>
            <w:vAlign w:val="center"/>
            <w:hideMark/>
          </w:tcPr>
          <w:p w14:paraId="444F23EC" w14:textId="252AF0BA" w:rsidR="002B18F9" w:rsidRPr="00B92499" w:rsidRDefault="002B18F9" w:rsidP="00516AA8">
            <w:pPr>
              <w:jc w:val="center"/>
              <w:rPr>
                <w:rFonts w:ascii="Arial" w:hAnsi="Arial" w:cs="Arial"/>
                <w:color w:val="000000"/>
                <w:sz w:val="16"/>
                <w:szCs w:val="16"/>
              </w:rPr>
            </w:pPr>
            <w:r w:rsidRPr="00B92499">
              <w:rPr>
                <w:rFonts w:ascii="Arial" w:hAnsi="Arial" w:cs="Arial"/>
                <w:color w:val="000000"/>
                <w:sz w:val="16"/>
                <w:szCs w:val="16"/>
              </w:rPr>
              <w:t>100</w:t>
            </w:r>
          </w:p>
        </w:tc>
      </w:tr>
      <w:tr w:rsidR="002B18F9" w:rsidRPr="00B92499" w14:paraId="058986C9" w14:textId="77777777" w:rsidTr="002B18F9">
        <w:trPr>
          <w:trHeight w:val="680"/>
        </w:trPr>
        <w:tc>
          <w:tcPr>
            <w:tcW w:w="421" w:type="dxa"/>
            <w:tcBorders>
              <w:top w:val="nil"/>
              <w:left w:val="single" w:sz="4" w:space="0" w:color="auto"/>
              <w:bottom w:val="single" w:sz="4" w:space="0" w:color="auto"/>
              <w:right w:val="single" w:sz="4" w:space="0" w:color="auto"/>
            </w:tcBorders>
            <w:shd w:val="clear" w:color="000000" w:fill="FFFFFF"/>
            <w:vAlign w:val="center"/>
            <w:hideMark/>
          </w:tcPr>
          <w:p w14:paraId="51F7F5FC" w14:textId="77777777" w:rsidR="002B18F9" w:rsidRPr="00B92499" w:rsidRDefault="002B18F9" w:rsidP="002B18F9">
            <w:pPr>
              <w:jc w:val="center"/>
              <w:rPr>
                <w:rFonts w:ascii="Arial" w:hAnsi="Arial" w:cs="Arial"/>
                <w:color w:val="000000"/>
                <w:sz w:val="16"/>
                <w:szCs w:val="16"/>
              </w:rPr>
            </w:pPr>
            <w:r w:rsidRPr="00B92499">
              <w:rPr>
                <w:rFonts w:ascii="Arial" w:hAnsi="Arial" w:cs="Arial"/>
                <w:color w:val="000000"/>
                <w:sz w:val="16"/>
                <w:szCs w:val="16"/>
              </w:rPr>
              <w:t>2</w:t>
            </w:r>
          </w:p>
        </w:tc>
        <w:tc>
          <w:tcPr>
            <w:tcW w:w="1304" w:type="dxa"/>
            <w:tcBorders>
              <w:top w:val="nil"/>
              <w:left w:val="nil"/>
              <w:bottom w:val="single" w:sz="4" w:space="0" w:color="auto"/>
              <w:right w:val="single" w:sz="4" w:space="0" w:color="auto"/>
            </w:tcBorders>
            <w:shd w:val="clear" w:color="000000" w:fill="FFFFFF"/>
            <w:vAlign w:val="center"/>
            <w:hideMark/>
          </w:tcPr>
          <w:p w14:paraId="30A4A415" w14:textId="77777777" w:rsidR="002B18F9" w:rsidRPr="00B92499" w:rsidRDefault="002B18F9" w:rsidP="002B18F9">
            <w:pPr>
              <w:rPr>
                <w:rFonts w:ascii="Arial" w:hAnsi="Arial" w:cs="Arial"/>
                <w:color w:val="000000"/>
                <w:sz w:val="16"/>
                <w:szCs w:val="16"/>
              </w:rPr>
            </w:pPr>
            <w:r w:rsidRPr="00B92499">
              <w:rPr>
                <w:rFonts w:ascii="Arial" w:hAnsi="Arial" w:cs="Arial"/>
                <w:color w:val="000000"/>
                <w:sz w:val="16"/>
                <w:szCs w:val="16"/>
              </w:rPr>
              <w:t>Agencia de Atención Animal</w:t>
            </w:r>
          </w:p>
        </w:tc>
        <w:tc>
          <w:tcPr>
            <w:tcW w:w="850" w:type="dxa"/>
            <w:tcBorders>
              <w:top w:val="nil"/>
              <w:left w:val="nil"/>
              <w:bottom w:val="single" w:sz="4" w:space="0" w:color="auto"/>
              <w:right w:val="single" w:sz="4" w:space="0" w:color="auto"/>
            </w:tcBorders>
            <w:shd w:val="clear" w:color="000000" w:fill="BDD7EE"/>
            <w:noWrap/>
            <w:vAlign w:val="center"/>
            <w:hideMark/>
          </w:tcPr>
          <w:p w14:paraId="373783CF" w14:textId="77777777" w:rsidR="002B18F9" w:rsidRPr="00B92499" w:rsidRDefault="002B18F9" w:rsidP="002B18F9">
            <w:pPr>
              <w:jc w:val="center"/>
              <w:rPr>
                <w:rFonts w:ascii="Arial" w:hAnsi="Arial" w:cs="Arial"/>
                <w:color w:val="000000"/>
                <w:sz w:val="16"/>
                <w:szCs w:val="16"/>
              </w:rPr>
            </w:pPr>
            <w:r w:rsidRPr="00B92499">
              <w:rPr>
                <w:rFonts w:ascii="Arial" w:hAnsi="Arial" w:cs="Arial"/>
                <w:color w:val="000000"/>
                <w:sz w:val="16"/>
                <w:szCs w:val="16"/>
              </w:rPr>
              <w:t>84.01</w:t>
            </w:r>
          </w:p>
        </w:tc>
        <w:tc>
          <w:tcPr>
            <w:tcW w:w="850" w:type="dxa"/>
            <w:tcBorders>
              <w:top w:val="nil"/>
              <w:left w:val="nil"/>
              <w:bottom w:val="single" w:sz="4" w:space="0" w:color="auto"/>
              <w:right w:val="single" w:sz="4" w:space="0" w:color="auto"/>
            </w:tcBorders>
            <w:shd w:val="clear" w:color="000000" w:fill="D9D9D9"/>
            <w:noWrap/>
            <w:vAlign w:val="center"/>
            <w:hideMark/>
          </w:tcPr>
          <w:p w14:paraId="67C86F4B" w14:textId="77777777" w:rsidR="002B18F9" w:rsidRPr="00B92499" w:rsidRDefault="002B18F9" w:rsidP="002B18F9">
            <w:pPr>
              <w:jc w:val="center"/>
              <w:rPr>
                <w:rFonts w:ascii="Arial" w:hAnsi="Arial" w:cs="Arial"/>
                <w:color w:val="000000"/>
                <w:sz w:val="16"/>
                <w:szCs w:val="16"/>
              </w:rPr>
            </w:pPr>
            <w:r w:rsidRPr="00B92499">
              <w:rPr>
                <w:rFonts w:ascii="Arial" w:hAnsi="Arial" w:cs="Arial"/>
                <w:color w:val="000000"/>
                <w:sz w:val="16"/>
                <w:szCs w:val="16"/>
              </w:rPr>
              <w:t>1.04</w:t>
            </w:r>
          </w:p>
        </w:tc>
        <w:tc>
          <w:tcPr>
            <w:tcW w:w="850" w:type="dxa"/>
            <w:tcBorders>
              <w:top w:val="nil"/>
              <w:left w:val="nil"/>
              <w:bottom w:val="single" w:sz="4" w:space="0" w:color="auto"/>
              <w:right w:val="single" w:sz="4" w:space="0" w:color="auto"/>
            </w:tcBorders>
            <w:shd w:val="clear" w:color="auto" w:fill="auto"/>
            <w:noWrap/>
            <w:vAlign w:val="center"/>
            <w:hideMark/>
          </w:tcPr>
          <w:p w14:paraId="0F627AF3" w14:textId="77777777" w:rsidR="002B18F9" w:rsidRPr="00B92499" w:rsidRDefault="002B18F9" w:rsidP="002B18F9">
            <w:pPr>
              <w:jc w:val="center"/>
              <w:rPr>
                <w:rFonts w:ascii="Arial" w:hAnsi="Arial" w:cs="Arial"/>
                <w:color w:val="000000"/>
                <w:sz w:val="16"/>
                <w:szCs w:val="16"/>
              </w:rPr>
            </w:pPr>
            <w:r w:rsidRPr="00B92499">
              <w:rPr>
                <w:rFonts w:ascii="Arial" w:hAnsi="Arial" w:cs="Arial"/>
                <w:color w:val="000000"/>
                <w:sz w:val="16"/>
                <w:szCs w:val="16"/>
              </w:rPr>
              <w:t>85.06</w:t>
            </w:r>
          </w:p>
        </w:tc>
        <w:tc>
          <w:tcPr>
            <w:tcW w:w="850" w:type="dxa"/>
            <w:tcBorders>
              <w:top w:val="nil"/>
              <w:left w:val="nil"/>
              <w:bottom w:val="single" w:sz="4" w:space="0" w:color="auto"/>
              <w:right w:val="single" w:sz="4" w:space="0" w:color="auto"/>
            </w:tcBorders>
            <w:shd w:val="clear" w:color="000000" w:fill="BDD7EE"/>
            <w:noWrap/>
            <w:vAlign w:val="center"/>
            <w:hideMark/>
          </w:tcPr>
          <w:p w14:paraId="50136291" w14:textId="77777777" w:rsidR="002B18F9" w:rsidRPr="00B92499" w:rsidRDefault="002B18F9" w:rsidP="002B18F9">
            <w:pPr>
              <w:jc w:val="center"/>
              <w:rPr>
                <w:rFonts w:ascii="Arial" w:hAnsi="Arial" w:cs="Arial"/>
                <w:color w:val="000000"/>
                <w:sz w:val="16"/>
                <w:szCs w:val="16"/>
              </w:rPr>
            </w:pPr>
            <w:r w:rsidRPr="00B92499">
              <w:rPr>
                <w:rFonts w:ascii="Arial" w:hAnsi="Arial" w:cs="Arial"/>
                <w:color w:val="000000"/>
                <w:sz w:val="16"/>
                <w:szCs w:val="16"/>
              </w:rPr>
              <w:t>93.03</w:t>
            </w:r>
          </w:p>
        </w:tc>
        <w:tc>
          <w:tcPr>
            <w:tcW w:w="850" w:type="dxa"/>
            <w:tcBorders>
              <w:top w:val="nil"/>
              <w:left w:val="nil"/>
              <w:bottom w:val="single" w:sz="4" w:space="0" w:color="auto"/>
              <w:right w:val="single" w:sz="4" w:space="0" w:color="auto"/>
            </w:tcBorders>
            <w:shd w:val="clear" w:color="000000" w:fill="D9D9D9"/>
            <w:noWrap/>
            <w:vAlign w:val="center"/>
            <w:hideMark/>
          </w:tcPr>
          <w:p w14:paraId="12B9278D" w14:textId="77777777" w:rsidR="002B18F9" w:rsidRPr="00B92499" w:rsidRDefault="002B18F9" w:rsidP="002B18F9">
            <w:pPr>
              <w:jc w:val="center"/>
              <w:rPr>
                <w:rFonts w:ascii="Arial" w:hAnsi="Arial" w:cs="Arial"/>
                <w:color w:val="000000"/>
                <w:sz w:val="16"/>
                <w:szCs w:val="16"/>
              </w:rPr>
            </w:pPr>
            <w:r w:rsidRPr="00B92499">
              <w:rPr>
                <w:rFonts w:ascii="Arial" w:hAnsi="Arial" w:cs="Arial"/>
                <w:color w:val="000000"/>
                <w:sz w:val="16"/>
                <w:szCs w:val="16"/>
              </w:rPr>
              <w:t>1.04</w:t>
            </w:r>
          </w:p>
        </w:tc>
        <w:tc>
          <w:tcPr>
            <w:tcW w:w="850" w:type="dxa"/>
            <w:tcBorders>
              <w:top w:val="nil"/>
              <w:left w:val="nil"/>
              <w:bottom w:val="single" w:sz="4" w:space="0" w:color="auto"/>
              <w:right w:val="single" w:sz="4" w:space="0" w:color="auto"/>
            </w:tcBorders>
            <w:shd w:val="clear" w:color="auto" w:fill="auto"/>
            <w:noWrap/>
            <w:vAlign w:val="center"/>
            <w:hideMark/>
          </w:tcPr>
          <w:p w14:paraId="642EFBA6" w14:textId="77777777" w:rsidR="002B18F9" w:rsidRPr="00B92499" w:rsidRDefault="002B18F9" w:rsidP="002B18F9">
            <w:pPr>
              <w:jc w:val="center"/>
              <w:rPr>
                <w:rFonts w:ascii="Arial" w:hAnsi="Arial" w:cs="Arial"/>
                <w:color w:val="000000"/>
                <w:sz w:val="16"/>
                <w:szCs w:val="16"/>
              </w:rPr>
            </w:pPr>
            <w:r w:rsidRPr="00B92499">
              <w:rPr>
                <w:rFonts w:ascii="Arial" w:hAnsi="Arial" w:cs="Arial"/>
                <w:color w:val="000000"/>
                <w:sz w:val="16"/>
                <w:szCs w:val="16"/>
              </w:rPr>
              <w:t>94.08</w:t>
            </w:r>
          </w:p>
        </w:tc>
        <w:tc>
          <w:tcPr>
            <w:tcW w:w="850" w:type="dxa"/>
            <w:tcBorders>
              <w:top w:val="nil"/>
              <w:left w:val="nil"/>
              <w:bottom w:val="single" w:sz="4" w:space="0" w:color="auto"/>
              <w:right w:val="single" w:sz="4" w:space="0" w:color="auto"/>
            </w:tcBorders>
            <w:shd w:val="clear" w:color="000000" w:fill="BDD7EE"/>
            <w:noWrap/>
            <w:vAlign w:val="center"/>
            <w:hideMark/>
          </w:tcPr>
          <w:p w14:paraId="79790EAE" w14:textId="77777777" w:rsidR="002B18F9" w:rsidRPr="00B92499" w:rsidRDefault="002B18F9" w:rsidP="002B18F9">
            <w:pPr>
              <w:jc w:val="center"/>
              <w:rPr>
                <w:rFonts w:ascii="Arial" w:hAnsi="Arial" w:cs="Arial"/>
                <w:color w:val="000000"/>
                <w:sz w:val="16"/>
                <w:szCs w:val="16"/>
              </w:rPr>
            </w:pPr>
            <w:r w:rsidRPr="00B92499">
              <w:rPr>
                <w:rFonts w:ascii="Arial" w:hAnsi="Arial" w:cs="Arial"/>
                <w:color w:val="000000"/>
                <w:sz w:val="16"/>
                <w:szCs w:val="16"/>
              </w:rPr>
              <w:t>88.52</w:t>
            </w:r>
          </w:p>
        </w:tc>
        <w:tc>
          <w:tcPr>
            <w:tcW w:w="850" w:type="dxa"/>
            <w:tcBorders>
              <w:top w:val="nil"/>
              <w:left w:val="nil"/>
              <w:bottom w:val="single" w:sz="4" w:space="0" w:color="auto"/>
              <w:right w:val="single" w:sz="4" w:space="0" w:color="auto"/>
            </w:tcBorders>
            <w:shd w:val="clear" w:color="000000" w:fill="D9D9D9"/>
            <w:noWrap/>
            <w:vAlign w:val="center"/>
            <w:hideMark/>
          </w:tcPr>
          <w:p w14:paraId="34352152" w14:textId="77777777" w:rsidR="002B18F9" w:rsidRPr="00B92499" w:rsidRDefault="002B18F9" w:rsidP="002B18F9">
            <w:pPr>
              <w:jc w:val="center"/>
              <w:rPr>
                <w:rFonts w:ascii="Arial" w:hAnsi="Arial" w:cs="Arial"/>
                <w:color w:val="000000"/>
                <w:sz w:val="16"/>
                <w:szCs w:val="16"/>
              </w:rPr>
            </w:pPr>
            <w:r w:rsidRPr="00B92499">
              <w:rPr>
                <w:rFonts w:ascii="Arial" w:hAnsi="Arial" w:cs="Arial"/>
                <w:color w:val="000000"/>
                <w:sz w:val="16"/>
                <w:szCs w:val="16"/>
              </w:rPr>
              <w:t>1.04</w:t>
            </w:r>
          </w:p>
        </w:tc>
        <w:tc>
          <w:tcPr>
            <w:tcW w:w="850" w:type="dxa"/>
            <w:tcBorders>
              <w:top w:val="nil"/>
              <w:left w:val="nil"/>
              <w:bottom w:val="single" w:sz="4" w:space="0" w:color="auto"/>
              <w:right w:val="single" w:sz="4" w:space="0" w:color="auto"/>
            </w:tcBorders>
            <w:shd w:val="clear" w:color="auto" w:fill="auto"/>
            <w:noWrap/>
            <w:vAlign w:val="center"/>
            <w:hideMark/>
          </w:tcPr>
          <w:p w14:paraId="754C2738" w14:textId="77777777" w:rsidR="002B18F9" w:rsidRPr="00B92499" w:rsidRDefault="002B18F9" w:rsidP="002B18F9">
            <w:pPr>
              <w:jc w:val="center"/>
              <w:rPr>
                <w:rFonts w:ascii="Arial" w:hAnsi="Arial" w:cs="Arial"/>
                <w:color w:val="000000"/>
                <w:sz w:val="16"/>
                <w:szCs w:val="16"/>
              </w:rPr>
            </w:pPr>
            <w:r w:rsidRPr="00B92499">
              <w:rPr>
                <w:rFonts w:ascii="Arial" w:hAnsi="Arial" w:cs="Arial"/>
                <w:color w:val="000000"/>
                <w:sz w:val="16"/>
                <w:szCs w:val="16"/>
              </w:rPr>
              <w:t>89.57</w:t>
            </w:r>
          </w:p>
        </w:tc>
      </w:tr>
      <w:tr w:rsidR="002B18F9" w:rsidRPr="00B92499" w14:paraId="124FC334" w14:textId="77777777" w:rsidTr="002B18F9">
        <w:trPr>
          <w:trHeight w:val="680"/>
        </w:trPr>
        <w:tc>
          <w:tcPr>
            <w:tcW w:w="421" w:type="dxa"/>
            <w:tcBorders>
              <w:top w:val="nil"/>
              <w:left w:val="single" w:sz="4" w:space="0" w:color="auto"/>
              <w:bottom w:val="single" w:sz="4" w:space="0" w:color="auto"/>
              <w:right w:val="single" w:sz="4" w:space="0" w:color="auto"/>
            </w:tcBorders>
            <w:shd w:val="clear" w:color="000000" w:fill="FFFFFF"/>
            <w:vAlign w:val="center"/>
            <w:hideMark/>
          </w:tcPr>
          <w:p w14:paraId="08046ED1" w14:textId="77777777" w:rsidR="002B18F9" w:rsidRPr="00B92499" w:rsidRDefault="002B18F9" w:rsidP="002B18F9">
            <w:pPr>
              <w:jc w:val="center"/>
              <w:rPr>
                <w:rFonts w:ascii="Arial" w:hAnsi="Arial" w:cs="Arial"/>
                <w:color w:val="000000"/>
                <w:sz w:val="16"/>
                <w:szCs w:val="16"/>
              </w:rPr>
            </w:pPr>
            <w:r w:rsidRPr="00B92499">
              <w:rPr>
                <w:rFonts w:ascii="Arial" w:hAnsi="Arial" w:cs="Arial"/>
                <w:color w:val="000000"/>
                <w:sz w:val="16"/>
                <w:szCs w:val="16"/>
              </w:rPr>
              <w:t>3</w:t>
            </w:r>
          </w:p>
        </w:tc>
        <w:tc>
          <w:tcPr>
            <w:tcW w:w="1304" w:type="dxa"/>
            <w:tcBorders>
              <w:top w:val="nil"/>
              <w:left w:val="nil"/>
              <w:bottom w:val="single" w:sz="4" w:space="0" w:color="auto"/>
              <w:right w:val="single" w:sz="4" w:space="0" w:color="auto"/>
            </w:tcBorders>
            <w:shd w:val="clear" w:color="000000" w:fill="FFFFFF"/>
            <w:vAlign w:val="center"/>
            <w:hideMark/>
          </w:tcPr>
          <w:p w14:paraId="2D1BF855" w14:textId="77777777" w:rsidR="002B18F9" w:rsidRPr="00B92499" w:rsidRDefault="002B18F9" w:rsidP="002B18F9">
            <w:pPr>
              <w:rPr>
                <w:rFonts w:ascii="Arial" w:hAnsi="Arial" w:cs="Arial"/>
                <w:color w:val="000000"/>
                <w:sz w:val="16"/>
                <w:szCs w:val="16"/>
              </w:rPr>
            </w:pPr>
            <w:r w:rsidRPr="00B92499">
              <w:rPr>
                <w:rFonts w:ascii="Arial" w:hAnsi="Arial" w:cs="Arial"/>
                <w:color w:val="000000"/>
                <w:sz w:val="16"/>
                <w:szCs w:val="16"/>
              </w:rPr>
              <w:t>Órgano Regulador de Transporte</w:t>
            </w:r>
          </w:p>
        </w:tc>
        <w:tc>
          <w:tcPr>
            <w:tcW w:w="850" w:type="dxa"/>
            <w:tcBorders>
              <w:top w:val="nil"/>
              <w:left w:val="nil"/>
              <w:bottom w:val="single" w:sz="4" w:space="0" w:color="auto"/>
              <w:right w:val="single" w:sz="4" w:space="0" w:color="auto"/>
            </w:tcBorders>
            <w:shd w:val="clear" w:color="000000" w:fill="BDD7EE"/>
            <w:noWrap/>
            <w:vAlign w:val="center"/>
            <w:hideMark/>
          </w:tcPr>
          <w:p w14:paraId="25129565" w14:textId="77777777" w:rsidR="002B18F9" w:rsidRPr="00B92499" w:rsidRDefault="002B18F9" w:rsidP="002B18F9">
            <w:pPr>
              <w:jc w:val="center"/>
              <w:rPr>
                <w:rFonts w:ascii="Arial" w:hAnsi="Arial" w:cs="Arial"/>
                <w:color w:val="000000"/>
                <w:sz w:val="16"/>
                <w:szCs w:val="16"/>
              </w:rPr>
            </w:pPr>
            <w:r w:rsidRPr="00B92499">
              <w:rPr>
                <w:rFonts w:ascii="Arial" w:hAnsi="Arial" w:cs="Arial"/>
                <w:color w:val="000000"/>
                <w:sz w:val="16"/>
                <w:szCs w:val="16"/>
              </w:rPr>
              <w:t>87.43</w:t>
            </w:r>
          </w:p>
        </w:tc>
        <w:tc>
          <w:tcPr>
            <w:tcW w:w="850" w:type="dxa"/>
            <w:tcBorders>
              <w:top w:val="nil"/>
              <w:left w:val="nil"/>
              <w:bottom w:val="single" w:sz="4" w:space="0" w:color="auto"/>
              <w:right w:val="single" w:sz="4" w:space="0" w:color="auto"/>
            </w:tcBorders>
            <w:shd w:val="clear" w:color="000000" w:fill="D9D9D9"/>
            <w:noWrap/>
            <w:vAlign w:val="center"/>
            <w:hideMark/>
          </w:tcPr>
          <w:p w14:paraId="54FA063A" w14:textId="77777777" w:rsidR="002B18F9" w:rsidRPr="00B92499" w:rsidRDefault="002B18F9" w:rsidP="002B18F9">
            <w:pPr>
              <w:jc w:val="center"/>
              <w:rPr>
                <w:rFonts w:ascii="Arial" w:hAnsi="Arial" w:cs="Arial"/>
                <w:color w:val="000000"/>
                <w:sz w:val="16"/>
                <w:szCs w:val="16"/>
              </w:rPr>
            </w:pPr>
            <w:r w:rsidRPr="00B92499">
              <w:rPr>
                <w:rFonts w:ascii="Arial" w:hAnsi="Arial" w:cs="Arial"/>
                <w:color w:val="000000"/>
                <w:sz w:val="16"/>
                <w:szCs w:val="16"/>
              </w:rPr>
              <w:t>1.40</w:t>
            </w:r>
          </w:p>
        </w:tc>
        <w:tc>
          <w:tcPr>
            <w:tcW w:w="850" w:type="dxa"/>
            <w:tcBorders>
              <w:top w:val="nil"/>
              <w:left w:val="nil"/>
              <w:bottom w:val="single" w:sz="4" w:space="0" w:color="auto"/>
              <w:right w:val="single" w:sz="4" w:space="0" w:color="auto"/>
            </w:tcBorders>
            <w:shd w:val="clear" w:color="auto" w:fill="auto"/>
            <w:noWrap/>
            <w:vAlign w:val="center"/>
            <w:hideMark/>
          </w:tcPr>
          <w:p w14:paraId="16CDC44D" w14:textId="77777777" w:rsidR="002B18F9" w:rsidRPr="00B92499" w:rsidRDefault="002B18F9" w:rsidP="002B18F9">
            <w:pPr>
              <w:jc w:val="center"/>
              <w:rPr>
                <w:rFonts w:ascii="Arial" w:hAnsi="Arial" w:cs="Arial"/>
                <w:color w:val="000000"/>
                <w:sz w:val="16"/>
                <w:szCs w:val="16"/>
              </w:rPr>
            </w:pPr>
            <w:r w:rsidRPr="00B92499">
              <w:rPr>
                <w:rFonts w:ascii="Arial" w:hAnsi="Arial" w:cs="Arial"/>
                <w:color w:val="000000"/>
                <w:sz w:val="16"/>
                <w:szCs w:val="16"/>
              </w:rPr>
              <w:t>88.83</w:t>
            </w:r>
          </w:p>
        </w:tc>
        <w:tc>
          <w:tcPr>
            <w:tcW w:w="850" w:type="dxa"/>
            <w:tcBorders>
              <w:top w:val="nil"/>
              <w:left w:val="nil"/>
              <w:bottom w:val="single" w:sz="4" w:space="0" w:color="auto"/>
              <w:right w:val="single" w:sz="4" w:space="0" w:color="auto"/>
            </w:tcBorders>
            <w:shd w:val="clear" w:color="000000" w:fill="BDD7EE"/>
            <w:noWrap/>
            <w:vAlign w:val="center"/>
            <w:hideMark/>
          </w:tcPr>
          <w:p w14:paraId="6EF080A8" w14:textId="77777777" w:rsidR="002B18F9" w:rsidRPr="00B92499" w:rsidRDefault="002B18F9" w:rsidP="002B18F9">
            <w:pPr>
              <w:jc w:val="center"/>
              <w:rPr>
                <w:rFonts w:ascii="Arial" w:hAnsi="Arial" w:cs="Arial"/>
                <w:color w:val="000000"/>
                <w:sz w:val="16"/>
                <w:szCs w:val="16"/>
              </w:rPr>
            </w:pPr>
            <w:r w:rsidRPr="00B92499">
              <w:rPr>
                <w:rFonts w:ascii="Arial" w:hAnsi="Arial" w:cs="Arial"/>
                <w:color w:val="000000"/>
                <w:sz w:val="16"/>
                <w:szCs w:val="16"/>
              </w:rPr>
              <w:t>85.35</w:t>
            </w:r>
          </w:p>
        </w:tc>
        <w:tc>
          <w:tcPr>
            <w:tcW w:w="850" w:type="dxa"/>
            <w:tcBorders>
              <w:top w:val="nil"/>
              <w:left w:val="nil"/>
              <w:bottom w:val="single" w:sz="4" w:space="0" w:color="auto"/>
              <w:right w:val="single" w:sz="4" w:space="0" w:color="auto"/>
            </w:tcBorders>
            <w:shd w:val="clear" w:color="000000" w:fill="D9D9D9"/>
            <w:noWrap/>
            <w:vAlign w:val="center"/>
            <w:hideMark/>
          </w:tcPr>
          <w:p w14:paraId="1B84A033" w14:textId="77777777" w:rsidR="002B18F9" w:rsidRPr="00B92499" w:rsidRDefault="002B18F9" w:rsidP="002B18F9">
            <w:pPr>
              <w:jc w:val="center"/>
              <w:rPr>
                <w:rFonts w:ascii="Arial" w:hAnsi="Arial" w:cs="Arial"/>
                <w:color w:val="000000"/>
                <w:sz w:val="16"/>
                <w:szCs w:val="16"/>
              </w:rPr>
            </w:pPr>
            <w:r w:rsidRPr="00B92499">
              <w:rPr>
                <w:rFonts w:ascii="Arial" w:hAnsi="Arial" w:cs="Arial"/>
                <w:color w:val="000000"/>
                <w:sz w:val="16"/>
                <w:szCs w:val="16"/>
              </w:rPr>
              <w:t>1.31</w:t>
            </w:r>
          </w:p>
        </w:tc>
        <w:tc>
          <w:tcPr>
            <w:tcW w:w="850" w:type="dxa"/>
            <w:tcBorders>
              <w:top w:val="nil"/>
              <w:left w:val="nil"/>
              <w:bottom w:val="single" w:sz="4" w:space="0" w:color="auto"/>
              <w:right w:val="single" w:sz="4" w:space="0" w:color="auto"/>
            </w:tcBorders>
            <w:shd w:val="clear" w:color="auto" w:fill="auto"/>
            <w:noWrap/>
            <w:vAlign w:val="center"/>
            <w:hideMark/>
          </w:tcPr>
          <w:p w14:paraId="4A027F0C" w14:textId="77777777" w:rsidR="002B18F9" w:rsidRPr="00B92499" w:rsidRDefault="002B18F9" w:rsidP="002B18F9">
            <w:pPr>
              <w:jc w:val="center"/>
              <w:rPr>
                <w:rFonts w:ascii="Arial" w:hAnsi="Arial" w:cs="Arial"/>
                <w:color w:val="000000"/>
                <w:sz w:val="16"/>
                <w:szCs w:val="16"/>
              </w:rPr>
            </w:pPr>
            <w:r w:rsidRPr="00B92499">
              <w:rPr>
                <w:rFonts w:ascii="Arial" w:hAnsi="Arial" w:cs="Arial"/>
                <w:color w:val="000000"/>
                <w:sz w:val="16"/>
                <w:szCs w:val="16"/>
              </w:rPr>
              <w:t>86.66</w:t>
            </w:r>
          </w:p>
        </w:tc>
        <w:tc>
          <w:tcPr>
            <w:tcW w:w="850" w:type="dxa"/>
            <w:tcBorders>
              <w:top w:val="nil"/>
              <w:left w:val="nil"/>
              <w:bottom w:val="single" w:sz="4" w:space="0" w:color="auto"/>
              <w:right w:val="single" w:sz="4" w:space="0" w:color="auto"/>
            </w:tcBorders>
            <w:shd w:val="clear" w:color="000000" w:fill="BDD7EE"/>
            <w:noWrap/>
            <w:vAlign w:val="center"/>
            <w:hideMark/>
          </w:tcPr>
          <w:p w14:paraId="5CD0C3E1" w14:textId="77777777" w:rsidR="002B18F9" w:rsidRPr="00B92499" w:rsidRDefault="002B18F9" w:rsidP="002B18F9">
            <w:pPr>
              <w:jc w:val="center"/>
              <w:rPr>
                <w:rFonts w:ascii="Arial" w:hAnsi="Arial" w:cs="Arial"/>
                <w:color w:val="000000"/>
                <w:sz w:val="16"/>
                <w:szCs w:val="16"/>
              </w:rPr>
            </w:pPr>
            <w:r w:rsidRPr="00B92499">
              <w:rPr>
                <w:rFonts w:ascii="Arial" w:hAnsi="Arial" w:cs="Arial"/>
                <w:color w:val="000000"/>
                <w:sz w:val="16"/>
                <w:szCs w:val="16"/>
              </w:rPr>
              <w:t>86.39</w:t>
            </w:r>
          </w:p>
        </w:tc>
        <w:tc>
          <w:tcPr>
            <w:tcW w:w="850" w:type="dxa"/>
            <w:tcBorders>
              <w:top w:val="nil"/>
              <w:left w:val="nil"/>
              <w:bottom w:val="single" w:sz="4" w:space="0" w:color="auto"/>
              <w:right w:val="single" w:sz="4" w:space="0" w:color="auto"/>
            </w:tcBorders>
            <w:shd w:val="clear" w:color="000000" w:fill="D9D9D9"/>
            <w:noWrap/>
            <w:vAlign w:val="center"/>
            <w:hideMark/>
          </w:tcPr>
          <w:p w14:paraId="4FF76461" w14:textId="77777777" w:rsidR="002B18F9" w:rsidRPr="00B92499" w:rsidRDefault="002B18F9" w:rsidP="002B18F9">
            <w:pPr>
              <w:jc w:val="center"/>
              <w:rPr>
                <w:rFonts w:ascii="Arial" w:hAnsi="Arial" w:cs="Arial"/>
                <w:color w:val="000000"/>
                <w:sz w:val="16"/>
                <w:szCs w:val="16"/>
              </w:rPr>
            </w:pPr>
            <w:r w:rsidRPr="00B92499">
              <w:rPr>
                <w:rFonts w:ascii="Arial" w:hAnsi="Arial" w:cs="Arial"/>
                <w:color w:val="000000"/>
                <w:sz w:val="16"/>
                <w:szCs w:val="16"/>
              </w:rPr>
              <w:t>1.36</w:t>
            </w:r>
          </w:p>
        </w:tc>
        <w:tc>
          <w:tcPr>
            <w:tcW w:w="850" w:type="dxa"/>
            <w:tcBorders>
              <w:top w:val="nil"/>
              <w:left w:val="nil"/>
              <w:bottom w:val="single" w:sz="4" w:space="0" w:color="auto"/>
              <w:right w:val="single" w:sz="4" w:space="0" w:color="auto"/>
            </w:tcBorders>
            <w:shd w:val="clear" w:color="auto" w:fill="auto"/>
            <w:noWrap/>
            <w:vAlign w:val="center"/>
            <w:hideMark/>
          </w:tcPr>
          <w:p w14:paraId="60D2CEAE" w14:textId="77777777" w:rsidR="002B18F9" w:rsidRPr="00B92499" w:rsidRDefault="002B18F9" w:rsidP="002B18F9">
            <w:pPr>
              <w:jc w:val="center"/>
              <w:rPr>
                <w:rFonts w:ascii="Arial" w:hAnsi="Arial" w:cs="Arial"/>
                <w:color w:val="000000"/>
                <w:sz w:val="16"/>
                <w:szCs w:val="16"/>
              </w:rPr>
            </w:pPr>
            <w:r w:rsidRPr="00B92499">
              <w:rPr>
                <w:rFonts w:ascii="Arial" w:hAnsi="Arial" w:cs="Arial"/>
                <w:color w:val="000000"/>
                <w:sz w:val="16"/>
                <w:szCs w:val="16"/>
              </w:rPr>
              <w:t>87.74</w:t>
            </w:r>
          </w:p>
        </w:tc>
      </w:tr>
      <w:tr w:rsidR="002B18F9" w:rsidRPr="00B92499" w14:paraId="68C9A81A" w14:textId="77777777" w:rsidTr="002B18F9">
        <w:trPr>
          <w:trHeight w:val="680"/>
        </w:trPr>
        <w:tc>
          <w:tcPr>
            <w:tcW w:w="421" w:type="dxa"/>
            <w:tcBorders>
              <w:top w:val="nil"/>
              <w:left w:val="single" w:sz="4" w:space="0" w:color="auto"/>
              <w:bottom w:val="single" w:sz="4" w:space="0" w:color="auto"/>
              <w:right w:val="single" w:sz="4" w:space="0" w:color="auto"/>
            </w:tcBorders>
            <w:shd w:val="clear" w:color="000000" w:fill="FFFFFF"/>
            <w:vAlign w:val="center"/>
            <w:hideMark/>
          </w:tcPr>
          <w:p w14:paraId="19005B23" w14:textId="77777777" w:rsidR="002B18F9" w:rsidRPr="00B92499" w:rsidRDefault="002B18F9" w:rsidP="002B18F9">
            <w:pPr>
              <w:jc w:val="center"/>
              <w:rPr>
                <w:rFonts w:ascii="Arial" w:hAnsi="Arial" w:cs="Arial"/>
                <w:color w:val="000000"/>
                <w:sz w:val="16"/>
                <w:szCs w:val="16"/>
              </w:rPr>
            </w:pPr>
            <w:r w:rsidRPr="00B92499">
              <w:rPr>
                <w:rFonts w:ascii="Arial" w:hAnsi="Arial" w:cs="Arial"/>
                <w:color w:val="000000"/>
                <w:sz w:val="16"/>
                <w:szCs w:val="16"/>
              </w:rPr>
              <w:t>4</w:t>
            </w:r>
          </w:p>
        </w:tc>
        <w:tc>
          <w:tcPr>
            <w:tcW w:w="1304" w:type="dxa"/>
            <w:tcBorders>
              <w:top w:val="nil"/>
              <w:left w:val="nil"/>
              <w:bottom w:val="single" w:sz="4" w:space="0" w:color="auto"/>
              <w:right w:val="single" w:sz="4" w:space="0" w:color="auto"/>
            </w:tcBorders>
            <w:shd w:val="clear" w:color="000000" w:fill="FFFFFF"/>
            <w:vAlign w:val="center"/>
            <w:hideMark/>
          </w:tcPr>
          <w:p w14:paraId="3DB51EDD" w14:textId="77777777" w:rsidR="002B18F9" w:rsidRPr="00B92499" w:rsidRDefault="002B18F9" w:rsidP="002B18F9">
            <w:pPr>
              <w:rPr>
                <w:rFonts w:ascii="Arial" w:hAnsi="Arial" w:cs="Arial"/>
                <w:color w:val="000000"/>
                <w:sz w:val="16"/>
                <w:szCs w:val="16"/>
              </w:rPr>
            </w:pPr>
            <w:r w:rsidRPr="00B92499">
              <w:rPr>
                <w:rFonts w:ascii="Arial" w:hAnsi="Arial" w:cs="Arial"/>
                <w:color w:val="000000"/>
                <w:sz w:val="16"/>
                <w:szCs w:val="16"/>
              </w:rPr>
              <w:t>Sistema Público de Radiodifusión de la Ciudad de México</w:t>
            </w:r>
          </w:p>
        </w:tc>
        <w:tc>
          <w:tcPr>
            <w:tcW w:w="850" w:type="dxa"/>
            <w:tcBorders>
              <w:top w:val="nil"/>
              <w:left w:val="nil"/>
              <w:bottom w:val="single" w:sz="4" w:space="0" w:color="auto"/>
              <w:right w:val="single" w:sz="4" w:space="0" w:color="auto"/>
            </w:tcBorders>
            <w:shd w:val="clear" w:color="000000" w:fill="BDD7EE"/>
            <w:noWrap/>
            <w:vAlign w:val="center"/>
            <w:hideMark/>
          </w:tcPr>
          <w:p w14:paraId="686DD342" w14:textId="77777777" w:rsidR="002B18F9" w:rsidRPr="00B92499" w:rsidRDefault="002B18F9" w:rsidP="002B18F9">
            <w:pPr>
              <w:jc w:val="center"/>
              <w:rPr>
                <w:rFonts w:ascii="Arial" w:hAnsi="Arial" w:cs="Arial"/>
                <w:color w:val="000000"/>
                <w:sz w:val="16"/>
                <w:szCs w:val="16"/>
              </w:rPr>
            </w:pPr>
            <w:r w:rsidRPr="00B92499">
              <w:rPr>
                <w:rFonts w:ascii="Arial" w:hAnsi="Arial" w:cs="Arial"/>
                <w:color w:val="000000"/>
                <w:sz w:val="16"/>
                <w:szCs w:val="16"/>
              </w:rPr>
              <w:t>85.69</w:t>
            </w:r>
          </w:p>
        </w:tc>
        <w:tc>
          <w:tcPr>
            <w:tcW w:w="850" w:type="dxa"/>
            <w:tcBorders>
              <w:top w:val="nil"/>
              <w:left w:val="nil"/>
              <w:bottom w:val="single" w:sz="4" w:space="0" w:color="auto"/>
              <w:right w:val="single" w:sz="4" w:space="0" w:color="auto"/>
            </w:tcBorders>
            <w:shd w:val="clear" w:color="000000" w:fill="D9D9D9"/>
            <w:noWrap/>
            <w:vAlign w:val="center"/>
            <w:hideMark/>
          </w:tcPr>
          <w:p w14:paraId="584E760C" w14:textId="77777777" w:rsidR="002B18F9" w:rsidRPr="00B92499" w:rsidRDefault="002B18F9" w:rsidP="002B18F9">
            <w:pPr>
              <w:jc w:val="center"/>
              <w:rPr>
                <w:rFonts w:ascii="Arial" w:hAnsi="Arial" w:cs="Arial"/>
                <w:color w:val="000000"/>
                <w:sz w:val="16"/>
                <w:szCs w:val="16"/>
              </w:rPr>
            </w:pPr>
            <w:r w:rsidRPr="00B92499">
              <w:rPr>
                <w:rFonts w:ascii="Arial" w:hAnsi="Arial" w:cs="Arial"/>
                <w:color w:val="000000"/>
                <w:sz w:val="16"/>
                <w:szCs w:val="16"/>
              </w:rPr>
              <w:t>4.66</w:t>
            </w:r>
          </w:p>
        </w:tc>
        <w:tc>
          <w:tcPr>
            <w:tcW w:w="850" w:type="dxa"/>
            <w:tcBorders>
              <w:top w:val="nil"/>
              <w:left w:val="nil"/>
              <w:bottom w:val="single" w:sz="4" w:space="0" w:color="auto"/>
              <w:right w:val="single" w:sz="4" w:space="0" w:color="auto"/>
            </w:tcBorders>
            <w:shd w:val="clear" w:color="auto" w:fill="auto"/>
            <w:noWrap/>
            <w:vAlign w:val="center"/>
            <w:hideMark/>
          </w:tcPr>
          <w:p w14:paraId="551399DA" w14:textId="77777777" w:rsidR="002B18F9" w:rsidRPr="00B92499" w:rsidRDefault="002B18F9" w:rsidP="002B18F9">
            <w:pPr>
              <w:jc w:val="center"/>
              <w:rPr>
                <w:rFonts w:ascii="Arial" w:hAnsi="Arial" w:cs="Arial"/>
                <w:color w:val="000000"/>
                <w:sz w:val="16"/>
                <w:szCs w:val="16"/>
              </w:rPr>
            </w:pPr>
            <w:r w:rsidRPr="00B92499">
              <w:rPr>
                <w:rFonts w:ascii="Arial" w:hAnsi="Arial" w:cs="Arial"/>
                <w:color w:val="000000"/>
                <w:sz w:val="16"/>
                <w:szCs w:val="16"/>
              </w:rPr>
              <w:t>90.34</w:t>
            </w:r>
          </w:p>
        </w:tc>
        <w:tc>
          <w:tcPr>
            <w:tcW w:w="850" w:type="dxa"/>
            <w:tcBorders>
              <w:top w:val="nil"/>
              <w:left w:val="nil"/>
              <w:bottom w:val="single" w:sz="4" w:space="0" w:color="auto"/>
              <w:right w:val="single" w:sz="4" w:space="0" w:color="auto"/>
            </w:tcBorders>
            <w:shd w:val="clear" w:color="000000" w:fill="BDD7EE"/>
            <w:noWrap/>
            <w:vAlign w:val="center"/>
            <w:hideMark/>
          </w:tcPr>
          <w:p w14:paraId="6C0224D2" w14:textId="77777777" w:rsidR="002B18F9" w:rsidRPr="00B92499" w:rsidRDefault="002B18F9" w:rsidP="002B18F9">
            <w:pPr>
              <w:jc w:val="center"/>
              <w:rPr>
                <w:rFonts w:ascii="Arial" w:hAnsi="Arial" w:cs="Arial"/>
                <w:color w:val="000000"/>
                <w:sz w:val="16"/>
                <w:szCs w:val="16"/>
              </w:rPr>
            </w:pPr>
            <w:r w:rsidRPr="00B92499">
              <w:rPr>
                <w:rFonts w:ascii="Arial" w:hAnsi="Arial" w:cs="Arial"/>
                <w:color w:val="000000"/>
                <w:sz w:val="16"/>
                <w:szCs w:val="16"/>
              </w:rPr>
              <w:t>81.52</w:t>
            </w:r>
          </w:p>
        </w:tc>
        <w:tc>
          <w:tcPr>
            <w:tcW w:w="850" w:type="dxa"/>
            <w:tcBorders>
              <w:top w:val="nil"/>
              <w:left w:val="nil"/>
              <w:bottom w:val="single" w:sz="4" w:space="0" w:color="auto"/>
              <w:right w:val="single" w:sz="4" w:space="0" w:color="auto"/>
            </w:tcBorders>
            <w:shd w:val="clear" w:color="000000" w:fill="D9D9D9"/>
            <w:noWrap/>
            <w:vAlign w:val="center"/>
            <w:hideMark/>
          </w:tcPr>
          <w:p w14:paraId="294B8A52" w14:textId="77777777" w:rsidR="002B18F9" w:rsidRPr="00B92499" w:rsidRDefault="002B18F9" w:rsidP="002B18F9">
            <w:pPr>
              <w:jc w:val="center"/>
              <w:rPr>
                <w:rFonts w:ascii="Arial" w:hAnsi="Arial" w:cs="Arial"/>
                <w:color w:val="000000"/>
                <w:sz w:val="16"/>
                <w:szCs w:val="16"/>
              </w:rPr>
            </w:pPr>
            <w:r w:rsidRPr="00B92499">
              <w:rPr>
                <w:rFonts w:ascii="Arial" w:hAnsi="Arial" w:cs="Arial"/>
                <w:color w:val="000000"/>
                <w:sz w:val="16"/>
                <w:szCs w:val="16"/>
              </w:rPr>
              <w:t>3.53</w:t>
            </w:r>
          </w:p>
        </w:tc>
        <w:tc>
          <w:tcPr>
            <w:tcW w:w="850" w:type="dxa"/>
            <w:tcBorders>
              <w:top w:val="nil"/>
              <w:left w:val="nil"/>
              <w:bottom w:val="single" w:sz="4" w:space="0" w:color="auto"/>
              <w:right w:val="single" w:sz="4" w:space="0" w:color="auto"/>
            </w:tcBorders>
            <w:shd w:val="clear" w:color="auto" w:fill="auto"/>
            <w:noWrap/>
            <w:vAlign w:val="center"/>
            <w:hideMark/>
          </w:tcPr>
          <w:p w14:paraId="52063358" w14:textId="77777777" w:rsidR="002B18F9" w:rsidRPr="00B92499" w:rsidRDefault="002B18F9" w:rsidP="002B18F9">
            <w:pPr>
              <w:jc w:val="center"/>
              <w:rPr>
                <w:rFonts w:ascii="Arial" w:hAnsi="Arial" w:cs="Arial"/>
                <w:color w:val="000000"/>
                <w:sz w:val="16"/>
                <w:szCs w:val="16"/>
              </w:rPr>
            </w:pPr>
            <w:r w:rsidRPr="00B92499">
              <w:rPr>
                <w:rFonts w:ascii="Arial" w:hAnsi="Arial" w:cs="Arial"/>
                <w:color w:val="000000"/>
                <w:sz w:val="16"/>
                <w:szCs w:val="16"/>
              </w:rPr>
              <w:t>85.05</w:t>
            </w:r>
          </w:p>
        </w:tc>
        <w:tc>
          <w:tcPr>
            <w:tcW w:w="850" w:type="dxa"/>
            <w:tcBorders>
              <w:top w:val="nil"/>
              <w:left w:val="nil"/>
              <w:bottom w:val="single" w:sz="4" w:space="0" w:color="auto"/>
              <w:right w:val="single" w:sz="4" w:space="0" w:color="auto"/>
            </w:tcBorders>
            <w:shd w:val="clear" w:color="000000" w:fill="BDD7EE"/>
            <w:noWrap/>
            <w:vAlign w:val="center"/>
            <w:hideMark/>
          </w:tcPr>
          <w:p w14:paraId="52ECA2B7" w14:textId="77777777" w:rsidR="002B18F9" w:rsidRPr="00B92499" w:rsidRDefault="002B18F9" w:rsidP="002B18F9">
            <w:pPr>
              <w:jc w:val="center"/>
              <w:rPr>
                <w:rFonts w:ascii="Arial" w:hAnsi="Arial" w:cs="Arial"/>
                <w:color w:val="000000"/>
                <w:sz w:val="16"/>
                <w:szCs w:val="16"/>
              </w:rPr>
            </w:pPr>
            <w:r w:rsidRPr="00B92499">
              <w:rPr>
                <w:rFonts w:ascii="Arial" w:hAnsi="Arial" w:cs="Arial"/>
                <w:color w:val="000000"/>
                <w:sz w:val="16"/>
                <w:szCs w:val="16"/>
              </w:rPr>
              <w:t>83.60</w:t>
            </w:r>
          </w:p>
        </w:tc>
        <w:tc>
          <w:tcPr>
            <w:tcW w:w="850" w:type="dxa"/>
            <w:tcBorders>
              <w:top w:val="nil"/>
              <w:left w:val="nil"/>
              <w:bottom w:val="single" w:sz="4" w:space="0" w:color="auto"/>
              <w:right w:val="single" w:sz="4" w:space="0" w:color="auto"/>
            </w:tcBorders>
            <w:shd w:val="clear" w:color="000000" w:fill="D9D9D9"/>
            <w:noWrap/>
            <w:vAlign w:val="center"/>
            <w:hideMark/>
          </w:tcPr>
          <w:p w14:paraId="5B2B27F6" w14:textId="77777777" w:rsidR="002B18F9" w:rsidRPr="00B92499" w:rsidRDefault="002B18F9" w:rsidP="002B18F9">
            <w:pPr>
              <w:jc w:val="center"/>
              <w:rPr>
                <w:rFonts w:ascii="Arial" w:hAnsi="Arial" w:cs="Arial"/>
                <w:color w:val="000000"/>
                <w:sz w:val="16"/>
                <w:szCs w:val="16"/>
              </w:rPr>
            </w:pPr>
            <w:r w:rsidRPr="00B92499">
              <w:rPr>
                <w:rFonts w:ascii="Arial" w:hAnsi="Arial" w:cs="Arial"/>
                <w:color w:val="000000"/>
                <w:sz w:val="16"/>
                <w:szCs w:val="16"/>
              </w:rPr>
              <w:t>4.09</w:t>
            </w:r>
          </w:p>
        </w:tc>
        <w:tc>
          <w:tcPr>
            <w:tcW w:w="850" w:type="dxa"/>
            <w:tcBorders>
              <w:top w:val="nil"/>
              <w:left w:val="nil"/>
              <w:bottom w:val="single" w:sz="4" w:space="0" w:color="auto"/>
              <w:right w:val="single" w:sz="4" w:space="0" w:color="auto"/>
            </w:tcBorders>
            <w:shd w:val="clear" w:color="auto" w:fill="auto"/>
            <w:noWrap/>
            <w:vAlign w:val="center"/>
            <w:hideMark/>
          </w:tcPr>
          <w:p w14:paraId="21A8EE46" w14:textId="77777777" w:rsidR="002B18F9" w:rsidRPr="00B92499" w:rsidRDefault="002B18F9" w:rsidP="002B18F9">
            <w:pPr>
              <w:jc w:val="center"/>
              <w:rPr>
                <w:rFonts w:ascii="Arial" w:hAnsi="Arial" w:cs="Arial"/>
                <w:color w:val="000000"/>
                <w:sz w:val="16"/>
                <w:szCs w:val="16"/>
              </w:rPr>
            </w:pPr>
            <w:r w:rsidRPr="00B92499">
              <w:rPr>
                <w:rFonts w:ascii="Arial" w:hAnsi="Arial" w:cs="Arial"/>
                <w:color w:val="000000"/>
                <w:sz w:val="16"/>
                <w:szCs w:val="16"/>
              </w:rPr>
              <w:t>87.70</w:t>
            </w:r>
          </w:p>
        </w:tc>
      </w:tr>
      <w:tr w:rsidR="002B18F9" w:rsidRPr="00B92499" w14:paraId="29C64FBC" w14:textId="77777777" w:rsidTr="002B18F9">
        <w:trPr>
          <w:trHeight w:val="680"/>
        </w:trPr>
        <w:tc>
          <w:tcPr>
            <w:tcW w:w="421" w:type="dxa"/>
            <w:tcBorders>
              <w:top w:val="nil"/>
              <w:left w:val="single" w:sz="4" w:space="0" w:color="auto"/>
              <w:bottom w:val="single" w:sz="4" w:space="0" w:color="auto"/>
              <w:right w:val="single" w:sz="4" w:space="0" w:color="auto"/>
            </w:tcBorders>
            <w:shd w:val="clear" w:color="000000" w:fill="FFFFFF"/>
            <w:vAlign w:val="center"/>
            <w:hideMark/>
          </w:tcPr>
          <w:p w14:paraId="1B42E1E3" w14:textId="77777777" w:rsidR="002B18F9" w:rsidRPr="00B92499" w:rsidRDefault="002B18F9" w:rsidP="002B18F9">
            <w:pPr>
              <w:jc w:val="center"/>
              <w:rPr>
                <w:rFonts w:ascii="Arial" w:hAnsi="Arial" w:cs="Arial"/>
                <w:color w:val="000000"/>
                <w:sz w:val="16"/>
                <w:szCs w:val="16"/>
              </w:rPr>
            </w:pPr>
            <w:r w:rsidRPr="00B92499">
              <w:rPr>
                <w:rFonts w:ascii="Arial" w:hAnsi="Arial" w:cs="Arial"/>
                <w:color w:val="000000"/>
                <w:sz w:val="16"/>
                <w:szCs w:val="16"/>
              </w:rPr>
              <w:t>5</w:t>
            </w:r>
          </w:p>
        </w:tc>
        <w:tc>
          <w:tcPr>
            <w:tcW w:w="1304" w:type="dxa"/>
            <w:tcBorders>
              <w:top w:val="nil"/>
              <w:left w:val="nil"/>
              <w:bottom w:val="single" w:sz="4" w:space="0" w:color="auto"/>
              <w:right w:val="single" w:sz="4" w:space="0" w:color="auto"/>
            </w:tcBorders>
            <w:shd w:val="clear" w:color="000000" w:fill="FFFFFF"/>
            <w:vAlign w:val="center"/>
            <w:hideMark/>
          </w:tcPr>
          <w:p w14:paraId="6FE07F47" w14:textId="77777777" w:rsidR="002B18F9" w:rsidRPr="00B92499" w:rsidRDefault="002B18F9" w:rsidP="002B18F9">
            <w:pPr>
              <w:rPr>
                <w:rFonts w:ascii="Arial" w:hAnsi="Arial" w:cs="Arial"/>
                <w:color w:val="000000"/>
                <w:sz w:val="16"/>
                <w:szCs w:val="16"/>
              </w:rPr>
            </w:pPr>
            <w:r w:rsidRPr="00B92499">
              <w:rPr>
                <w:rFonts w:ascii="Arial" w:hAnsi="Arial" w:cs="Arial"/>
                <w:color w:val="000000"/>
                <w:sz w:val="16"/>
                <w:szCs w:val="16"/>
              </w:rPr>
              <w:t>Red de Transporte Público de Pasajeros de la Ciudad de México</w:t>
            </w:r>
          </w:p>
        </w:tc>
        <w:tc>
          <w:tcPr>
            <w:tcW w:w="850" w:type="dxa"/>
            <w:tcBorders>
              <w:top w:val="nil"/>
              <w:left w:val="nil"/>
              <w:bottom w:val="single" w:sz="4" w:space="0" w:color="auto"/>
              <w:right w:val="single" w:sz="4" w:space="0" w:color="auto"/>
            </w:tcBorders>
            <w:shd w:val="clear" w:color="000000" w:fill="BDD7EE"/>
            <w:noWrap/>
            <w:vAlign w:val="center"/>
            <w:hideMark/>
          </w:tcPr>
          <w:p w14:paraId="127FC161" w14:textId="77777777" w:rsidR="002B18F9" w:rsidRPr="00B92499" w:rsidRDefault="002B18F9" w:rsidP="002B18F9">
            <w:pPr>
              <w:jc w:val="center"/>
              <w:rPr>
                <w:rFonts w:ascii="Arial" w:hAnsi="Arial" w:cs="Arial"/>
                <w:color w:val="000000"/>
                <w:sz w:val="16"/>
                <w:szCs w:val="16"/>
              </w:rPr>
            </w:pPr>
            <w:r w:rsidRPr="00B92499">
              <w:rPr>
                <w:rFonts w:ascii="Arial" w:hAnsi="Arial" w:cs="Arial"/>
                <w:color w:val="000000"/>
                <w:sz w:val="16"/>
                <w:szCs w:val="16"/>
              </w:rPr>
              <w:t>71.75</w:t>
            </w:r>
          </w:p>
        </w:tc>
        <w:tc>
          <w:tcPr>
            <w:tcW w:w="850" w:type="dxa"/>
            <w:tcBorders>
              <w:top w:val="nil"/>
              <w:left w:val="nil"/>
              <w:bottom w:val="single" w:sz="4" w:space="0" w:color="auto"/>
              <w:right w:val="single" w:sz="4" w:space="0" w:color="auto"/>
            </w:tcBorders>
            <w:shd w:val="clear" w:color="000000" w:fill="D9D9D9"/>
            <w:noWrap/>
            <w:vAlign w:val="center"/>
            <w:hideMark/>
          </w:tcPr>
          <w:p w14:paraId="4A2A6002" w14:textId="77777777" w:rsidR="002B18F9" w:rsidRPr="00B92499" w:rsidRDefault="002B18F9" w:rsidP="002B18F9">
            <w:pPr>
              <w:jc w:val="center"/>
              <w:rPr>
                <w:rFonts w:ascii="Arial" w:hAnsi="Arial" w:cs="Arial"/>
                <w:color w:val="000000"/>
                <w:sz w:val="16"/>
                <w:szCs w:val="16"/>
              </w:rPr>
            </w:pPr>
            <w:r w:rsidRPr="00B92499">
              <w:rPr>
                <w:rFonts w:ascii="Arial" w:hAnsi="Arial" w:cs="Arial"/>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center"/>
            <w:hideMark/>
          </w:tcPr>
          <w:p w14:paraId="56B2084A" w14:textId="77777777" w:rsidR="002B18F9" w:rsidRPr="00B92499" w:rsidRDefault="002B18F9" w:rsidP="002B18F9">
            <w:pPr>
              <w:jc w:val="center"/>
              <w:rPr>
                <w:rFonts w:ascii="Arial" w:hAnsi="Arial" w:cs="Arial"/>
                <w:color w:val="000000"/>
                <w:sz w:val="16"/>
                <w:szCs w:val="16"/>
              </w:rPr>
            </w:pPr>
            <w:r w:rsidRPr="00B92499">
              <w:rPr>
                <w:rFonts w:ascii="Arial" w:hAnsi="Arial" w:cs="Arial"/>
                <w:color w:val="000000"/>
                <w:sz w:val="16"/>
                <w:szCs w:val="16"/>
              </w:rPr>
              <w:t>71.75</w:t>
            </w:r>
          </w:p>
        </w:tc>
        <w:tc>
          <w:tcPr>
            <w:tcW w:w="850" w:type="dxa"/>
            <w:tcBorders>
              <w:top w:val="nil"/>
              <w:left w:val="nil"/>
              <w:bottom w:val="single" w:sz="4" w:space="0" w:color="auto"/>
              <w:right w:val="single" w:sz="4" w:space="0" w:color="auto"/>
            </w:tcBorders>
            <w:shd w:val="clear" w:color="000000" w:fill="BDD7EE"/>
            <w:noWrap/>
            <w:vAlign w:val="center"/>
            <w:hideMark/>
          </w:tcPr>
          <w:p w14:paraId="06F4D760" w14:textId="77777777" w:rsidR="002B18F9" w:rsidRPr="00B92499" w:rsidRDefault="002B18F9" w:rsidP="002B18F9">
            <w:pPr>
              <w:jc w:val="center"/>
              <w:rPr>
                <w:rFonts w:ascii="Arial" w:hAnsi="Arial" w:cs="Arial"/>
                <w:color w:val="000000"/>
                <w:sz w:val="16"/>
                <w:szCs w:val="16"/>
              </w:rPr>
            </w:pPr>
            <w:r w:rsidRPr="00B92499">
              <w:rPr>
                <w:rFonts w:ascii="Arial" w:hAnsi="Arial" w:cs="Arial"/>
                <w:color w:val="000000"/>
                <w:sz w:val="16"/>
                <w:szCs w:val="16"/>
              </w:rPr>
              <w:t>96.84</w:t>
            </w:r>
          </w:p>
        </w:tc>
        <w:tc>
          <w:tcPr>
            <w:tcW w:w="850" w:type="dxa"/>
            <w:tcBorders>
              <w:top w:val="nil"/>
              <w:left w:val="nil"/>
              <w:bottom w:val="single" w:sz="4" w:space="0" w:color="auto"/>
              <w:right w:val="single" w:sz="4" w:space="0" w:color="auto"/>
            </w:tcBorders>
            <w:shd w:val="clear" w:color="000000" w:fill="D9D9D9"/>
            <w:noWrap/>
            <w:vAlign w:val="center"/>
            <w:hideMark/>
          </w:tcPr>
          <w:p w14:paraId="79F74534" w14:textId="77777777" w:rsidR="002B18F9" w:rsidRPr="00B92499" w:rsidRDefault="002B18F9" w:rsidP="002B18F9">
            <w:pPr>
              <w:jc w:val="center"/>
              <w:rPr>
                <w:rFonts w:ascii="Arial" w:hAnsi="Arial" w:cs="Arial"/>
                <w:color w:val="000000"/>
                <w:sz w:val="16"/>
                <w:szCs w:val="16"/>
              </w:rPr>
            </w:pPr>
            <w:r w:rsidRPr="00B92499">
              <w:rPr>
                <w:rFonts w:ascii="Arial" w:hAnsi="Arial" w:cs="Arial"/>
                <w:color w:val="000000"/>
                <w:sz w:val="16"/>
                <w:szCs w:val="16"/>
              </w:rPr>
              <w:t>1.04</w:t>
            </w:r>
          </w:p>
        </w:tc>
        <w:tc>
          <w:tcPr>
            <w:tcW w:w="850" w:type="dxa"/>
            <w:tcBorders>
              <w:top w:val="nil"/>
              <w:left w:val="nil"/>
              <w:bottom w:val="single" w:sz="4" w:space="0" w:color="auto"/>
              <w:right w:val="single" w:sz="4" w:space="0" w:color="auto"/>
            </w:tcBorders>
            <w:shd w:val="clear" w:color="auto" w:fill="auto"/>
            <w:noWrap/>
            <w:vAlign w:val="center"/>
            <w:hideMark/>
          </w:tcPr>
          <w:p w14:paraId="1E26D919" w14:textId="77777777" w:rsidR="002B18F9" w:rsidRPr="00B92499" w:rsidRDefault="002B18F9" w:rsidP="002B18F9">
            <w:pPr>
              <w:jc w:val="center"/>
              <w:rPr>
                <w:rFonts w:ascii="Arial" w:hAnsi="Arial" w:cs="Arial"/>
                <w:color w:val="000000"/>
                <w:sz w:val="16"/>
                <w:szCs w:val="16"/>
              </w:rPr>
            </w:pPr>
            <w:r w:rsidRPr="00B92499">
              <w:rPr>
                <w:rFonts w:ascii="Arial" w:hAnsi="Arial" w:cs="Arial"/>
                <w:color w:val="000000"/>
                <w:sz w:val="16"/>
                <w:szCs w:val="16"/>
              </w:rPr>
              <w:t>97.88</w:t>
            </w:r>
          </w:p>
        </w:tc>
        <w:tc>
          <w:tcPr>
            <w:tcW w:w="850" w:type="dxa"/>
            <w:tcBorders>
              <w:top w:val="nil"/>
              <w:left w:val="nil"/>
              <w:bottom w:val="single" w:sz="4" w:space="0" w:color="auto"/>
              <w:right w:val="single" w:sz="4" w:space="0" w:color="auto"/>
            </w:tcBorders>
            <w:shd w:val="clear" w:color="000000" w:fill="BDD7EE"/>
            <w:noWrap/>
            <w:vAlign w:val="center"/>
            <w:hideMark/>
          </w:tcPr>
          <w:p w14:paraId="53635BA3" w14:textId="77777777" w:rsidR="002B18F9" w:rsidRPr="00B92499" w:rsidRDefault="002B18F9" w:rsidP="002B18F9">
            <w:pPr>
              <w:jc w:val="center"/>
              <w:rPr>
                <w:rFonts w:ascii="Arial" w:hAnsi="Arial" w:cs="Arial"/>
                <w:color w:val="000000"/>
                <w:sz w:val="16"/>
                <w:szCs w:val="16"/>
              </w:rPr>
            </w:pPr>
            <w:r w:rsidRPr="00B92499">
              <w:rPr>
                <w:rFonts w:ascii="Arial" w:hAnsi="Arial" w:cs="Arial"/>
                <w:color w:val="000000"/>
                <w:sz w:val="16"/>
                <w:szCs w:val="16"/>
              </w:rPr>
              <w:t>84.29</w:t>
            </w:r>
          </w:p>
        </w:tc>
        <w:tc>
          <w:tcPr>
            <w:tcW w:w="850" w:type="dxa"/>
            <w:tcBorders>
              <w:top w:val="nil"/>
              <w:left w:val="nil"/>
              <w:bottom w:val="single" w:sz="4" w:space="0" w:color="auto"/>
              <w:right w:val="single" w:sz="4" w:space="0" w:color="auto"/>
            </w:tcBorders>
            <w:shd w:val="clear" w:color="000000" w:fill="D9D9D9"/>
            <w:noWrap/>
            <w:vAlign w:val="center"/>
            <w:hideMark/>
          </w:tcPr>
          <w:p w14:paraId="25BF67F7" w14:textId="77777777" w:rsidR="002B18F9" w:rsidRPr="00B92499" w:rsidRDefault="002B18F9" w:rsidP="002B18F9">
            <w:pPr>
              <w:jc w:val="center"/>
              <w:rPr>
                <w:rFonts w:ascii="Arial" w:hAnsi="Arial" w:cs="Arial"/>
                <w:color w:val="000000"/>
                <w:sz w:val="16"/>
                <w:szCs w:val="16"/>
              </w:rPr>
            </w:pPr>
            <w:r w:rsidRPr="00B92499">
              <w:rPr>
                <w:rFonts w:ascii="Arial" w:hAnsi="Arial" w:cs="Arial"/>
                <w:color w:val="000000"/>
                <w:sz w:val="16"/>
                <w:szCs w:val="16"/>
              </w:rPr>
              <w:t>0.52</w:t>
            </w:r>
          </w:p>
        </w:tc>
        <w:tc>
          <w:tcPr>
            <w:tcW w:w="850" w:type="dxa"/>
            <w:tcBorders>
              <w:top w:val="nil"/>
              <w:left w:val="nil"/>
              <w:bottom w:val="single" w:sz="4" w:space="0" w:color="auto"/>
              <w:right w:val="single" w:sz="4" w:space="0" w:color="auto"/>
            </w:tcBorders>
            <w:shd w:val="clear" w:color="auto" w:fill="auto"/>
            <w:noWrap/>
            <w:vAlign w:val="center"/>
            <w:hideMark/>
          </w:tcPr>
          <w:p w14:paraId="3B0429D9" w14:textId="77777777" w:rsidR="002B18F9" w:rsidRPr="00B92499" w:rsidRDefault="002B18F9" w:rsidP="002B18F9">
            <w:pPr>
              <w:jc w:val="center"/>
              <w:rPr>
                <w:rFonts w:ascii="Arial" w:hAnsi="Arial" w:cs="Arial"/>
                <w:color w:val="000000"/>
                <w:sz w:val="16"/>
                <w:szCs w:val="16"/>
              </w:rPr>
            </w:pPr>
            <w:r w:rsidRPr="00B92499">
              <w:rPr>
                <w:rFonts w:ascii="Arial" w:hAnsi="Arial" w:cs="Arial"/>
                <w:color w:val="000000"/>
                <w:sz w:val="16"/>
                <w:szCs w:val="16"/>
              </w:rPr>
              <w:t>84.81</w:t>
            </w:r>
          </w:p>
        </w:tc>
      </w:tr>
      <w:tr w:rsidR="002B18F9" w:rsidRPr="00B92499" w14:paraId="5ED1EADA" w14:textId="77777777" w:rsidTr="002B18F9">
        <w:trPr>
          <w:trHeight w:val="680"/>
        </w:trPr>
        <w:tc>
          <w:tcPr>
            <w:tcW w:w="421" w:type="dxa"/>
            <w:tcBorders>
              <w:top w:val="nil"/>
              <w:left w:val="single" w:sz="4" w:space="0" w:color="auto"/>
              <w:bottom w:val="single" w:sz="4" w:space="0" w:color="auto"/>
              <w:right w:val="single" w:sz="4" w:space="0" w:color="auto"/>
            </w:tcBorders>
            <w:shd w:val="clear" w:color="000000" w:fill="FFFFFF"/>
            <w:vAlign w:val="center"/>
            <w:hideMark/>
          </w:tcPr>
          <w:p w14:paraId="37EDBA56" w14:textId="77777777" w:rsidR="002B18F9" w:rsidRPr="00B92499" w:rsidRDefault="002B18F9" w:rsidP="002B18F9">
            <w:pPr>
              <w:jc w:val="center"/>
              <w:rPr>
                <w:rFonts w:ascii="Arial" w:hAnsi="Arial" w:cs="Arial"/>
                <w:color w:val="000000"/>
                <w:sz w:val="16"/>
                <w:szCs w:val="16"/>
              </w:rPr>
            </w:pPr>
            <w:r w:rsidRPr="00B92499">
              <w:rPr>
                <w:rFonts w:ascii="Arial" w:hAnsi="Arial" w:cs="Arial"/>
                <w:color w:val="000000"/>
                <w:sz w:val="16"/>
                <w:szCs w:val="16"/>
              </w:rPr>
              <w:t>6</w:t>
            </w:r>
          </w:p>
        </w:tc>
        <w:tc>
          <w:tcPr>
            <w:tcW w:w="1304" w:type="dxa"/>
            <w:tcBorders>
              <w:top w:val="nil"/>
              <w:left w:val="nil"/>
              <w:bottom w:val="single" w:sz="4" w:space="0" w:color="auto"/>
              <w:right w:val="single" w:sz="4" w:space="0" w:color="auto"/>
            </w:tcBorders>
            <w:shd w:val="clear" w:color="000000" w:fill="FFFFFF"/>
            <w:vAlign w:val="center"/>
            <w:hideMark/>
          </w:tcPr>
          <w:p w14:paraId="36124352" w14:textId="77777777" w:rsidR="002B18F9" w:rsidRPr="00B92499" w:rsidRDefault="002B18F9" w:rsidP="002B18F9">
            <w:pPr>
              <w:rPr>
                <w:rFonts w:ascii="Arial" w:hAnsi="Arial" w:cs="Arial"/>
                <w:color w:val="000000"/>
                <w:sz w:val="16"/>
                <w:szCs w:val="16"/>
              </w:rPr>
            </w:pPr>
            <w:r w:rsidRPr="00B92499">
              <w:rPr>
                <w:rFonts w:ascii="Arial" w:hAnsi="Arial" w:cs="Arial"/>
                <w:color w:val="000000"/>
                <w:sz w:val="16"/>
                <w:szCs w:val="16"/>
              </w:rPr>
              <w:t xml:space="preserve">Régimen de Protección Social en Salud </w:t>
            </w:r>
            <w:r w:rsidRPr="00B92499">
              <w:rPr>
                <w:rFonts w:ascii="Arial" w:hAnsi="Arial" w:cs="Arial"/>
                <w:color w:val="000000"/>
                <w:sz w:val="16"/>
                <w:szCs w:val="16"/>
              </w:rPr>
              <w:lastRenderedPageBreak/>
              <w:t>de la Ciudad de México</w:t>
            </w:r>
          </w:p>
        </w:tc>
        <w:tc>
          <w:tcPr>
            <w:tcW w:w="850" w:type="dxa"/>
            <w:tcBorders>
              <w:top w:val="nil"/>
              <w:left w:val="nil"/>
              <w:bottom w:val="single" w:sz="4" w:space="0" w:color="auto"/>
              <w:right w:val="single" w:sz="4" w:space="0" w:color="auto"/>
            </w:tcBorders>
            <w:shd w:val="clear" w:color="000000" w:fill="BDD7EE"/>
            <w:noWrap/>
            <w:vAlign w:val="center"/>
            <w:hideMark/>
          </w:tcPr>
          <w:p w14:paraId="75AD5E9A" w14:textId="77777777" w:rsidR="002B18F9" w:rsidRPr="00B92499" w:rsidRDefault="002B18F9" w:rsidP="002B18F9">
            <w:pPr>
              <w:jc w:val="center"/>
              <w:rPr>
                <w:rFonts w:ascii="Arial" w:hAnsi="Arial" w:cs="Arial"/>
                <w:color w:val="000000"/>
                <w:sz w:val="16"/>
                <w:szCs w:val="16"/>
              </w:rPr>
            </w:pPr>
            <w:r w:rsidRPr="00B92499">
              <w:rPr>
                <w:rFonts w:ascii="Arial" w:hAnsi="Arial" w:cs="Arial"/>
                <w:color w:val="000000"/>
                <w:sz w:val="16"/>
                <w:szCs w:val="16"/>
              </w:rPr>
              <w:lastRenderedPageBreak/>
              <w:t>16.26</w:t>
            </w:r>
          </w:p>
        </w:tc>
        <w:tc>
          <w:tcPr>
            <w:tcW w:w="850" w:type="dxa"/>
            <w:tcBorders>
              <w:top w:val="nil"/>
              <w:left w:val="nil"/>
              <w:bottom w:val="single" w:sz="4" w:space="0" w:color="auto"/>
              <w:right w:val="single" w:sz="4" w:space="0" w:color="auto"/>
            </w:tcBorders>
            <w:shd w:val="clear" w:color="000000" w:fill="D9D9D9"/>
            <w:noWrap/>
            <w:vAlign w:val="center"/>
            <w:hideMark/>
          </w:tcPr>
          <w:p w14:paraId="17133488" w14:textId="77777777" w:rsidR="002B18F9" w:rsidRPr="00B92499" w:rsidRDefault="002B18F9" w:rsidP="002B18F9">
            <w:pPr>
              <w:jc w:val="center"/>
              <w:rPr>
                <w:rFonts w:ascii="Arial" w:hAnsi="Arial" w:cs="Arial"/>
                <w:color w:val="000000"/>
                <w:sz w:val="16"/>
                <w:szCs w:val="16"/>
              </w:rPr>
            </w:pPr>
            <w:r w:rsidRPr="00B92499">
              <w:rPr>
                <w:rFonts w:ascii="Arial" w:hAnsi="Arial" w:cs="Arial"/>
                <w:color w:val="000000"/>
                <w:sz w:val="16"/>
                <w:szCs w:val="16"/>
              </w:rPr>
              <w:t>2.00</w:t>
            </w:r>
          </w:p>
        </w:tc>
        <w:tc>
          <w:tcPr>
            <w:tcW w:w="850" w:type="dxa"/>
            <w:tcBorders>
              <w:top w:val="nil"/>
              <w:left w:val="nil"/>
              <w:bottom w:val="single" w:sz="4" w:space="0" w:color="auto"/>
              <w:right w:val="single" w:sz="4" w:space="0" w:color="auto"/>
            </w:tcBorders>
            <w:shd w:val="clear" w:color="auto" w:fill="auto"/>
            <w:noWrap/>
            <w:vAlign w:val="center"/>
            <w:hideMark/>
          </w:tcPr>
          <w:p w14:paraId="56D2FF2D" w14:textId="77777777" w:rsidR="002B18F9" w:rsidRPr="00B92499" w:rsidRDefault="002B18F9" w:rsidP="002B18F9">
            <w:pPr>
              <w:jc w:val="center"/>
              <w:rPr>
                <w:rFonts w:ascii="Arial" w:hAnsi="Arial" w:cs="Arial"/>
                <w:color w:val="000000"/>
                <w:sz w:val="16"/>
                <w:szCs w:val="16"/>
              </w:rPr>
            </w:pPr>
            <w:r w:rsidRPr="00B92499">
              <w:rPr>
                <w:rFonts w:ascii="Arial" w:hAnsi="Arial" w:cs="Arial"/>
                <w:color w:val="000000"/>
                <w:sz w:val="16"/>
                <w:szCs w:val="16"/>
              </w:rPr>
              <w:t>18.26</w:t>
            </w:r>
          </w:p>
        </w:tc>
        <w:tc>
          <w:tcPr>
            <w:tcW w:w="850" w:type="dxa"/>
            <w:tcBorders>
              <w:top w:val="nil"/>
              <w:left w:val="nil"/>
              <w:bottom w:val="single" w:sz="4" w:space="0" w:color="auto"/>
              <w:right w:val="single" w:sz="4" w:space="0" w:color="auto"/>
            </w:tcBorders>
            <w:shd w:val="clear" w:color="000000" w:fill="BDD7EE"/>
            <w:noWrap/>
            <w:vAlign w:val="center"/>
            <w:hideMark/>
          </w:tcPr>
          <w:p w14:paraId="77943CE8" w14:textId="77777777" w:rsidR="002B18F9" w:rsidRPr="00B92499" w:rsidRDefault="002B18F9" w:rsidP="002B18F9">
            <w:pPr>
              <w:jc w:val="center"/>
              <w:rPr>
                <w:rFonts w:ascii="Arial" w:hAnsi="Arial" w:cs="Arial"/>
                <w:color w:val="000000"/>
                <w:sz w:val="16"/>
                <w:szCs w:val="16"/>
              </w:rPr>
            </w:pPr>
            <w:r w:rsidRPr="00B92499">
              <w:rPr>
                <w:rFonts w:ascii="Arial" w:hAnsi="Arial" w:cs="Arial"/>
                <w:color w:val="000000"/>
                <w:sz w:val="16"/>
                <w:szCs w:val="16"/>
              </w:rPr>
              <w:t>65.00</w:t>
            </w:r>
          </w:p>
        </w:tc>
        <w:tc>
          <w:tcPr>
            <w:tcW w:w="850" w:type="dxa"/>
            <w:tcBorders>
              <w:top w:val="nil"/>
              <w:left w:val="nil"/>
              <w:bottom w:val="single" w:sz="4" w:space="0" w:color="auto"/>
              <w:right w:val="single" w:sz="4" w:space="0" w:color="auto"/>
            </w:tcBorders>
            <w:shd w:val="clear" w:color="000000" w:fill="D9D9D9"/>
            <w:noWrap/>
            <w:vAlign w:val="center"/>
            <w:hideMark/>
          </w:tcPr>
          <w:p w14:paraId="0CF18F23" w14:textId="77777777" w:rsidR="002B18F9" w:rsidRPr="00B92499" w:rsidRDefault="002B18F9" w:rsidP="002B18F9">
            <w:pPr>
              <w:jc w:val="center"/>
              <w:rPr>
                <w:rFonts w:ascii="Arial" w:hAnsi="Arial" w:cs="Arial"/>
                <w:color w:val="000000"/>
                <w:sz w:val="16"/>
                <w:szCs w:val="16"/>
              </w:rPr>
            </w:pPr>
            <w:r w:rsidRPr="00B92499">
              <w:rPr>
                <w:rFonts w:ascii="Arial" w:hAnsi="Arial" w:cs="Arial"/>
                <w:color w:val="000000"/>
                <w:sz w:val="16"/>
                <w:szCs w:val="16"/>
              </w:rPr>
              <w:t>1.28</w:t>
            </w:r>
          </w:p>
        </w:tc>
        <w:tc>
          <w:tcPr>
            <w:tcW w:w="850" w:type="dxa"/>
            <w:tcBorders>
              <w:top w:val="nil"/>
              <w:left w:val="nil"/>
              <w:bottom w:val="single" w:sz="4" w:space="0" w:color="auto"/>
              <w:right w:val="single" w:sz="4" w:space="0" w:color="auto"/>
            </w:tcBorders>
            <w:shd w:val="clear" w:color="auto" w:fill="auto"/>
            <w:noWrap/>
            <w:vAlign w:val="center"/>
            <w:hideMark/>
          </w:tcPr>
          <w:p w14:paraId="2A0CF920" w14:textId="77777777" w:rsidR="002B18F9" w:rsidRPr="00B92499" w:rsidRDefault="002B18F9" w:rsidP="002B18F9">
            <w:pPr>
              <w:jc w:val="center"/>
              <w:rPr>
                <w:rFonts w:ascii="Arial" w:hAnsi="Arial" w:cs="Arial"/>
                <w:color w:val="000000"/>
                <w:sz w:val="16"/>
                <w:szCs w:val="16"/>
              </w:rPr>
            </w:pPr>
            <w:r w:rsidRPr="00B92499">
              <w:rPr>
                <w:rFonts w:ascii="Arial" w:hAnsi="Arial" w:cs="Arial"/>
                <w:color w:val="000000"/>
                <w:sz w:val="16"/>
                <w:szCs w:val="16"/>
              </w:rPr>
              <w:t>66.28</w:t>
            </w:r>
          </w:p>
        </w:tc>
        <w:tc>
          <w:tcPr>
            <w:tcW w:w="850" w:type="dxa"/>
            <w:tcBorders>
              <w:top w:val="nil"/>
              <w:left w:val="nil"/>
              <w:bottom w:val="single" w:sz="4" w:space="0" w:color="auto"/>
              <w:right w:val="single" w:sz="4" w:space="0" w:color="auto"/>
            </w:tcBorders>
            <w:shd w:val="clear" w:color="000000" w:fill="BDD7EE"/>
            <w:noWrap/>
            <w:vAlign w:val="center"/>
            <w:hideMark/>
          </w:tcPr>
          <w:p w14:paraId="4EBDF812" w14:textId="77777777" w:rsidR="002B18F9" w:rsidRPr="00B92499" w:rsidRDefault="002B18F9" w:rsidP="002B18F9">
            <w:pPr>
              <w:jc w:val="center"/>
              <w:rPr>
                <w:rFonts w:ascii="Arial" w:hAnsi="Arial" w:cs="Arial"/>
                <w:color w:val="000000"/>
                <w:sz w:val="16"/>
                <w:szCs w:val="16"/>
              </w:rPr>
            </w:pPr>
            <w:r w:rsidRPr="00B92499">
              <w:rPr>
                <w:rFonts w:ascii="Arial" w:hAnsi="Arial" w:cs="Arial"/>
                <w:color w:val="000000"/>
                <w:sz w:val="16"/>
                <w:szCs w:val="16"/>
              </w:rPr>
              <w:t>40.63</w:t>
            </w:r>
          </w:p>
        </w:tc>
        <w:tc>
          <w:tcPr>
            <w:tcW w:w="850" w:type="dxa"/>
            <w:tcBorders>
              <w:top w:val="nil"/>
              <w:left w:val="nil"/>
              <w:bottom w:val="single" w:sz="4" w:space="0" w:color="auto"/>
              <w:right w:val="single" w:sz="4" w:space="0" w:color="auto"/>
            </w:tcBorders>
            <w:shd w:val="clear" w:color="000000" w:fill="D9D9D9"/>
            <w:noWrap/>
            <w:vAlign w:val="center"/>
            <w:hideMark/>
          </w:tcPr>
          <w:p w14:paraId="68E2B443" w14:textId="77777777" w:rsidR="002B18F9" w:rsidRPr="00B92499" w:rsidRDefault="002B18F9" w:rsidP="002B18F9">
            <w:pPr>
              <w:jc w:val="center"/>
              <w:rPr>
                <w:rFonts w:ascii="Arial" w:hAnsi="Arial" w:cs="Arial"/>
                <w:color w:val="000000"/>
                <w:sz w:val="16"/>
                <w:szCs w:val="16"/>
              </w:rPr>
            </w:pPr>
            <w:r w:rsidRPr="00B92499">
              <w:rPr>
                <w:rFonts w:ascii="Arial" w:hAnsi="Arial" w:cs="Arial"/>
                <w:color w:val="000000"/>
                <w:sz w:val="16"/>
                <w:szCs w:val="16"/>
              </w:rPr>
              <w:t>1.64</w:t>
            </w:r>
          </w:p>
        </w:tc>
        <w:tc>
          <w:tcPr>
            <w:tcW w:w="850" w:type="dxa"/>
            <w:tcBorders>
              <w:top w:val="nil"/>
              <w:left w:val="nil"/>
              <w:bottom w:val="single" w:sz="4" w:space="0" w:color="auto"/>
              <w:right w:val="single" w:sz="4" w:space="0" w:color="auto"/>
            </w:tcBorders>
            <w:shd w:val="clear" w:color="auto" w:fill="auto"/>
            <w:noWrap/>
            <w:vAlign w:val="center"/>
            <w:hideMark/>
          </w:tcPr>
          <w:p w14:paraId="5C2A537E" w14:textId="77777777" w:rsidR="002B18F9" w:rsidRPr="00B92499" w:rsidRDefault="002B18F9" w:rsidP="002B18F9">
            <w:pPr>
              <w:jc w:val="center"/>
              <w:rPr>
                <w:rFonts w:ascii="Arial" w:hAnsi="Arial" w:cs="Arial"/>
                <w:color w:val="000000"/>
                <w:sz w:val="16"/>
                <w:szCs w:val="16"/>
              </w:rPr>
            </w:pPr>
            <w:r w:rsidRPr="00B92499">
              <w:rPr>
                <w:rFonts w:ascii="Arial" w:hAnsi="Arial" w:cs="Arial"/>
                <w:color w:val="000000"/>
                <w:sz w:val="16"/>
                <w:szCs w:val="16"/>
              </w:rPr>
              <w:t>42.27</w:t>
            </w:r>
          </w:p>
        </w:tc>
      </w:tr>
      <w:tr w:rsidR="002B18F9" w:rsidRPr="00B92499" w14:paraId="60C08856" w14:textId="77777777" w:rsidTr="002B18F9">
        <w:trPr>
          <w:trHeight w:val="680"/>
        </w:trPr>
        <w:tc>
          <w:tcPr>
            <w:tcW w:w="421" w:type="dxa"/>
            <w:tcBorders>
              <w:top w:val="nil"/>
              <w:left w:val="single" w:sz="4" w:space="0" w:color="auto"/>
              <w:bottom w:val="single" w:sz="4" w:space="0" w:color="auto"/>
              <w:right w:val="single" w:sz="4" w:space="0" w:color="auto"/>
            </w:tcBorders>
            <w:shd w:val="clear" w:color="000000" w:fill="FFFFFF"/>
            <w:vAlign w:val="center"/>
            <w:hideMark/>
          </w:tcPr>
          <w:p w14:paraId="362BA47B" w14:textId="77777777" w:rsidR="002B18F9" w:rsidRPr="00B92499" w:rsidRDefault="002B18F9" w:rsidP="002B18F9">
            <w:pPr>
              <w:jc w:val="center"/>
              <w:rPr>
                <w:rFonts w:ascii="Arial" w:hAnsi="Arial" w:cs="Arial"/>
                <w:color w:val="000000"/>
                <w:sz w:val="16"/>
                <w:szCs w:val="16"/>
              </w:rPr>
            </w:pPr>
            <w:r w:rsidRPr="00B92499">
              <w:rPr>
                <w:rFonts w:ascii="Arial" w:hAnsi="Arial" w:cs="Arial"/>
                <w:color w:val="000000"/>
                <w:sz w:val="16"/>
                <w:szCs w:val="16"/>
              </w:rPr>
              <w:t>7</w:t>
            </w:r>
          </w:p>
        </w:tc>
        <w:tc>
          <w:tcPr>
            <w:tcW w:w="1304" w:type="dxa"/>
            <w:tcBorders>
              <w:top w:val="nil"/>
              <w:left w:val="nil"/>
              <w:bottom w:val="single" w:sz="4" w:space="0" w:color="auto"/>
              <w:right w:val="single" w:sz="4" w:space="0" w:color="auto"/>
            </w:tcBorders>
            <w:shd w:val="clear" w:color="000000" w:fill="FFFFFF"/>
            <w:vAlign w:val="center"/>
            <w:hideMark/>
          </w:tcPr>
          <w:p w14:paraId="4351E31E" w14:textId="77777777" w:rsidR="002B18F9" w:rsidRPr="00B92499" w:rsidRDefault="002B18F9" w:rsidP="002B18F9">
            <w:pPr>
              <w:rPr>
                <w:rFonts w:ascii="Arial" w:hAnsi="Arial" w:cs="Arial"/>
                <w:color w:val="000000"/>
                <w:sz w:val="16"/>
                <w:szCs w:val="16"/>
              </w:rPr>
            </w:pPr>
            <w:r w:rsidRPr="00B92499">
              <w:rPr>
                <w:rFonts w:ascii="Arial" w:hAnsi="Arial" w:cs="Arial"/>
                <w:color w:val="000000"/>
                <w:sz w:val="16"/>
                <w:szCs w:val="16"/>
              </w:rPr>
              <w:t>Planta Productora de Mezclas Asfálticas</w:t>
            </w:r>
          </w:p>
        </w:tc>
        <w:tc>
          <w:tcPr>
            <w:tcW w:w="850" w:type="dxa"/>
            <w:tcBorders>
              <w:top w:val="nil"/>
              <w:left w:val="nil"/>
              <w:bottom w:val="single" w:sz="4" w:space="0" w:color="auto"/>
              <w:right w:val="single" w:sz="4" w:space="0" w:color="auto"/>
            </w:tcBorders>
            <w:shd w:val="clear" w:color="000000" w:fill="BDD7EE"/>
            <w:noWrap/>
            <w:vAlign w:val="center"/>
            <w:hideMark/>
          </w:tcPr>
          <w:p w14:paraId="3782C6F9" w14:textId="77777777" w:rsidR="002B18F9" w:rsidRPr="00B92499" w:rsidRDefault="002B18F9" w:rsidP="002B18F9">
            <w:pPr>
              <w:jc w:val="center"/>
              <w:rPr>
                <w:rFonts w:ascii="Arial" w:hAnsi="Arial" w:cs="Arial"/>
                <w:color w:val="000000"/>
                <w:sz w:val="16"/>
                <w:szCs w:val="16"/>
              </w:rPr>
            </w:pPr>
            <w:r w:rsidRPr="00B92499">
              <w:rPr>
                <w:rFonts w:ascii="Arial" w:hAnsi="Arial" w:cs="Arial"/>
                <w:color w:val="000000"/>
                <w:sz w:val="16"/>
                <w:szCs w:val="16"/>
              </w:rPr>
              <w:t>38.71</w:t>
            </w:r>
          </w:p>
        </w:tc>
        <w:tc>
          <w:tcPr>
            <w:tcW w:w="850" w:type="dxa"/>
            <w:tcBorders>
              <w:top w:val="nil"/>
              <w:left w:val="nil"/>
              <w:bottom w:val="single" w:sz="4" w:space="0" w:color="auto"/>
              <w:right w:val="single" w:sz="4" w:space="0" w:color="auto"/>
            </w:tcBorders>
            <w:shd w:val="clear" w:color="000000" w:fill="D9D9D9"/>
            <w:noWrap/>
            <w:vAlign w:val="center"/>
            <w:hideMark/>
          </w:tcPr>
          <w:p w14:paraId="2F180677" w14:textId="77777777" w:rsidR="002B18F9" w:rsidRPr="00B92499" w:rsidRDefault="002B18F9" w:rsidP="002B18F9">
            <w:pPr>
              <w:jc w:val="center"/>
              <w:rPr>
                <w:rFonts w:ascii="Arial" w:hAnsi="Arial" w:cs="Arial"/>
                <w:color w:val="000000"/>
                <w:sz w:val="16"/>
                <w:szCs w:val="16"/>
              </w:rPr>
            </w:pPr>
            <w:r w:rsidRPr="00B92499">
              <w:rPr>
                <w:rFonts w:ascii="Arial" w:hAnsi="Arial" w:cs="Arial"/>
                <w:color w:val="000000"/>
                <w:sz w:val="16"/>
                <w:szCs w:val="16"/>
              </w:rPr>
              <w:t>1.06</w:t>
            </w:r>
          </w:p>
        </w:tc>
        <w:tc>
          <w:tcPr>
            <w:tcW w:w="850" w:type="dxa"/>
            <w:tcBorders>
              <w:top w:val="nil"/>
              <w:left w:val="nil"/>
              <w:bottom w:val="single" w:sz="4" w:space="0" w:color="auto"/>
              <w:right w:val="single" w:sz="4" w:space="0" w:color="auto"/>
            </w:tcBorders>
            <w:shd w:val="clear" w:color="auto" w:fill="auto"/>
            <w:noWrap/>
            <w:vAlign w:val="center"/>
            <w:hideMark/>
          </w:tcPr>
          <w:p w14:paraId="47BCCC10" w14:textId="77777777" w:rsidR="002B18F9" w:rsidRPr="00B92499" w:rsidRDefault="002B18F9" w:rsidP="002B18F9">
            <w:pPr>
              <w:jc w:val="center"/>
              <w:rPr>
                <w:rFonts w:ascii="Arial" w:hAnsi="Arial" w:cs="Arial"/>
                <w:color w:val="000000"/>
                <w:sz w:val="16"/>
                <w:szCs w:val="16"/>
              </w:rPr>
            </w:pPr>
            <w:r w:rsidRPr="00B92499">
              <w:rPr>
                <w:rFonts w:ascii="Arial" w:hAnsi="Arial" w:cs="Arial"/>
                <w:color w:val="000000"/>
                <w:sz w:val="16"/>
                <w:szCs w:val="16"/>
              </w:rPr>
              <w:t>39.77</w:t>
            </w:r>
          </w:p>
        </w:tc>
        <w:tc>
          <w:tcPr>
            <w:tcW w:w="850" w:type="dxa"/>
            <w:tcBorders>
              <w:top w:val="nil"/>
              <w:left w:val="nil"/>
              <w:bottom w:val="single" w:sz="4" w:space="0" w:color="auto"/>
              <w:right w:val="single" w:sz="4" w:space="0" w:color="auto"/>
            </w:tcBorders>
            <w:shd w:val="clear" w:color="000000" w:fill="BDD7EE"/>
            <w:noWrap/>
            <w:vAlign w:val="center"/>
            <w:hideMark/>
          </w:tcPr>
          <w:p w14:paraId="30ED4A92" w14:textId="77777777" w:rsidR="002B18F9" w:rsidRPr="00B92499" w:rsidRDefault="002B18F9" w:rsidP="002B18F9">
            <w:pPr>
              <w:jc w:val="center"/>
              <w:rPr>
                <w:rFonts w:ascii="Arial" w:hAnsi="Arial" w:cs="Arial"/>
                <w:color w:val="000000"/>
                <w:sz w:val="16"/>
                <w:szCs w:val="16"/>
              </w:rPr>
            </w:pPr>
            <w:r w:rsidRPr="00B92499">
              <w:rPr>
                <w:rFonts w:ascii="Arial" w:hAnsi="Arial" w:cs="Arial"/>
                <w:color w:val="000000"/>
                <w:sz w:val="16"/>
                <w:szCs w:val="16"/>
              </w:rPr>
              <w:t>28.08</w:t>
            </w:r>
          </w:p>
        </w:tc>
        <w:tc>
          <w:tcPr>
            <w:tcW w:w="850" w:type="dxa"/>
            <w:tcBorders>
              <w:top w:val="nil"/>
              <w:left w:val="nil"/>
              <w:bottom w:val="single" w:sz="4" w:space="0" w:color="auto"/>
              <w:right w:val="single" w:sz="4" w:space="0" w:color="auto"/>
            </w:tcBorders>
            <w:shd w:val="clear" w:color="000000" w:fill="D9D9D9"/>
            <w:noWrap/>
            <w:vAlign w:val="center"/>
            <w:hideMark/>
          </w:tcPr>
          <w:p w14:paraId="1A5284D4" w14:textId="77777777" w:rsidR="002B18F9" w:rsidRPr="00B92499" w:rsidRDefault="002B18F9" w:rsidP="002B18F9">
            <w:pPr>
              <w:jc w:val="center"/>
              <w:rPr>
                <w:rFonts w:ascii="Arial" w:hAnsi="Arial" w:cs="Arial"/>
                <w:color w:val="000000"/>
                <w:sz w:val="16"/>
                <w:szCs w:val="16"/>
              </w:rPr>
            </w:pPr>
            <w:r w:rsidRPr="00B92499">
              <w:rPr>
                <w:rFonts w:ascii="Arial" w:hAnsi="Arial" w:cs="Arial"/>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center"/>
            <w:hideMark/>
          </w:tcPr>
          <w:p w14:paraId="6ABE7EEC" w14:textId="77777777" w:rsidR="002B18F9" w:rsidRPr="00B92499" w:rsidRDefault="002B18F9" w:rsidP="002B18F9">
            <w:pPr>
              <w:jc w:val="center"/>
              <w:rPr>
                <w:rFonts w:ascii="Arial" w:hAnsi="Arial" w:cs="Arial"/>
                <w:color w:val="000000"/>
                <w:sz w:val="16"/>
                <w:szCs w:val="16"/>
              </w:rPr>
            </w:pPr>
            <w:r w:rsidRPr="00B92499">
              <w:rPr>
                <w:rFonts w:ascii="Arial" w:hAnsi="Arial" w:cs="Arial"/>
                <w:color w:val="000000"/>
                <w:sz w:val="16"/>
                <w:szCs w:val="16"/>
              </w:rPr>
              <w:t>28.08</w:t>
            </w:r>
          </w:p>
        </w:tc>
        <w:tc>
          <w:tcPr>
            <w:tcW w:w="850" w:type="dxa"/>
            <w:tcBorders>
              <w:top w:val="nil"/>
              <w:left w:val="nil"/>
              <w:bottom w:val="single" w:sz="4" w:space="0" w:color="auto"/>
              <w:right w:val="single" w:sz="4" w:space="0" w:color="auto"/>
            </w:tcBorders>
            <w:shd w:val="clear" w:color="000000" w:fill="BDD7EE"/>
            <w:noWrap/>
            <w:vAlign w:val="center"/>
            <w:hideMark/>
          </w:tcPr>
          <w:p w14:paraId="29180FA2" w14:textId="77777777" w:rsidR="002B18F9" w:rsidRPr="00B92499" w:rsidRDefault="002B18F9" w:rsidP="002B18F9">
            <w:pPr>
              <w:jc w:val="center"/>
              <w:rPr>
                <w:rFonts w:ascii="Arial" w:hAnsi="Arial" w:cs="Arial"/>
                <w:color w:val="000000"/>
                <w:sz w:val="16"/>
                <w:szCs w:val="16"/>
              </w:rPr>
            </w:pPr>
            <w:r w:rsidRPr="00B92499">
              <w:rPr>
                <w:rFonts w:ascii="Arial" w:hAnsi="Arial" w:cs="Arial"/>
                <w:color w:val="000000"/>
                <w:sz w:val="16"/>
                <w:szCs w:val="16"/>
              </w:rPr>
              <w:t>33.39</w:t>
            </w:r>
          </w:p>
        </w:tc>
        <w:tc>
          <w:tcPr>
            <w:tcW w:w="850" w:type="dxa"/>
            <w:tcBorders>
              <w:top w:val="nil"/>
              <w:left w:val="nil"/>
              <w:bottom w:val="single" w:sz="4" w:space="0" w:color="auto"/>
              <w:right w:val="single" w:sz="4" w:space="0" w:color="auto"/>
            </w:tcBorders>
            <w:shd w:val="clear" w:color="000000" w:fill="D9D9D9"/>
            <w:noWrap/>
            <w:vAlign w:val="center"/>
            <w:hideMark/>
          </w:tcPr>
          <w:p w14:paraId="1B1C82E9" w14:textId="77777777" w:rsidR="002B18F9" w:rsidRPr="00B92499" w:rsidRDefault="002B18F9" w:rsidP="002B18F9">
            <w:pPr>
              <w:jc w:val="center"/>
              <w:rPr>
                <w:rFonts w:ascii="Arial" w:hAnsi="Arial" w:cs="Arial"/>
                <w:color w:val="000000"/>
                <w:sz w:val="16"/>
                <w:szCs w:val="16"/>
              </w:rPr>
            </w:pPr>
            <w:r w:rsidRPr="00B92499">
              <w:rPr>
                <w:rFonts w:ascii="Arial" w:hAnsi="Arial" w:cs="Arial"/>
                <w:color w:val="000000"/>
                <w:sz w:val="16"/>
                <w:szCs w:val="16"/>
              </w:rPr>
              <w:t>0.53</w:t>
            </w:r>
          </w:p>
        </w:tc>
        <w:tc>
          <w:tcPr>
            <w:tcW w:w="850" w:type="dxa"/>
            <w:tcBorders>
              <w:top w:val="nil"/>
              <w:left w:val="nil"/>
              <w:bottom w:val="single" w:sz="4" w:space="0" w:color="auto"/>
              <w:right w:val="single" w:sz="4" w:space="0" w:color="auto"/>
            </w:tcBorders>
            <w:shd w:val="clear" w:color="auto" w:fill="auto"/>
            <w:noWrap/>
            <w:vAlign w:val="center"/>
            <w:hideMark/>
          </w:tcPr>
          <w:p w14:paraId="2FD6DBF1" w14:textId="77777777" w:rsidR="002B18F9" w:rsidRPr="00B92499" w:rsidRDefault="002B18F9" w:rsidP="002B18F9">
            <w:pPr>
              <w:jc w:val="center"/>
              <w:rPr>
                <w:rFonts w:ascii="Arial" w:hAnsi="Arial" w:cs="Arial"/>
                <w:color w:val="000000"/>
                <w:sz w:val="16"/>
                <w:szCs w:val="16"/>
              </w:rPr>
            </w:pPr>
            <w:r w:rsidRPr="00B92499">
              <w:rPr>
                <w:rFonts w:ascii="Arial" w:hAnsi="Arial" w:cs="Arial"/>
                <w:color w:val="000000"/>
                <w:sz w:val="16"/>
                <w:szCs w:val="16"/>
              </w:rPr>
              <w:t>33.93</w:t>
            </w:r>
          </w:p>
        </w:tc>
      </w:tr>
      <w:tr w:rsidR="002B18F9" w:rsidRPr="00B92499" w14:paraId="289DE386" w14:textId="77777777" w:rsidTr="002B18F9">
        <w:trPr>
          <w:trHeight w:val="680"/>
        </w:trPr>
        <w:tc>
          <w:tcPr>
            <w:tcW w:w="421" w:type="dxa"/>
            <w:tcBorders>
              <w:top w:val="nil"/>
              <w:left w:val="single" w:sz="4" w:space="0" w:color="auto"/>
              <w:bottom w:val="single" w:sz="4" w:space="0" w:color="auto"/>
              <w:right w:val="single" w:sz="4" w:space="0" w:color="auto"/>
            </w:tcBorders>
            <w:shd w:val="clear" w:color="000000" w:fill="FFFFFF"/>
            <w:vAlign w:val="center"/>
            <w:hideMark/>
          </w:tcPr>
          <w:p w14:paraId="553B38A3" w14:textId="77777777" w:rsidR="002B18F9" w:rsidRPr="00B92499" w:rsidRDefault="002B18F9" w:rsidP="002B18F9">
            <w:pPr>
              <w:jc w:val="center"/>
              <w:rPr>
                <w:rFonts w:ascii="Arial" w:hAnsi="Arial" w:cs="Arial"/>
                <w:color w:val="000000"/>
                <w:sz w:val="16"/>
                <w:szCs w:val="16"/>
              </w:rPr>
            </w:pPr>
            <w:r w:rsidRPr="00B92499">
              <w:rPr>
                <w:rFonts w:ascii="Arial" w:hAnsi="Arial" w:cs="Arial"/>
                <w:color w:val="000000"/>
                <w:sz w:val="16"/>
                <w:szCs w:val="16"/>
              </w:rPr>
              <w:t>8</w:t>
            </w:r>
          </w:p>
        </w:tc>
        <w:tc>
          <w:tcPr>
            <w:tcW w:w="1304" w:type="dxa"/>
            <w:tcBorders>
              <w:top w:val="nil"/>
              <w:left w:val="nil"/>
              <w:bottom w:val="single" w:sz="4" w:space="0" w:color="auto"/>
              <w:right w:val="single" w:sz="4" w:space="0" w:color="auto"/>
            </w:tcBorders>
            <w:shd w:val="clear" w:color="000000" w:fill="FFFFFF"/>
            <w:vAlign w:val="center"/>
            <w:hideMark/>
          </w:tcPr>
          <w:p w14:paraId="5BF8A68C" w14:textId="77777777" w:rsidR="002B18F9" w:rsidRPr="00B92499" w:rsidRDefault="002B18F9" w:rsidP="002B18F9">
            <w:pPr>
              <w:rPr>
                <w:rFonts w:ascii="Arial" w:hAnsi="Arial" w:cs="Arial"/>
                <w:color w:val="000000"/>
                <w:sz w:val="16"/>
                <w:szCs w:val="16"/>
              </w:rPr>
            </w:pPr>
            <w:r w:rsidRPr="00B92499">
              <w:rPr>
                <w:rFonts w:ascii="Arial" w:hAnsi="Arial" w:cs="Arial"/>
                <w:color w:val="000000"/>
                <w:sz w:val="16"/>
                <w:szCs w:val="16"/>
              </w:rPr>
              <w:t>Fondo Público de Atención al Ciclista y al Peatón</w:t>
            </w:r>
          </w:p>
        </w:tc>
        <w:tc>
          <w:tcPr>
            <w:tcW w:w="850" w:type="dxa"/>
            <w:tcBorders>
              <w:top w:val="nil"/>
              <w:left w:val="nil"/>
              <w:bottom w:val="single" w:sz="4" w:space="0" w:color="auto"/>
              <w:right w:val="single" w:sz="4" w:space="0" w:color="auto"/>
            </w:tcBorders>
            <w:shd w:val="clear" w:color="000000" w:fill="BDD7EE"/>
            <w:noWrap/>
            <w:vAlign w:val="center"/>
            <w:hideMark/>
          </w:tcPr>
          <w:p w14:paraId="6D1A20D3" w14:textId="77777777" w:rsidR="002B18F9" w:rsidRPr="00B92499" w:rsidRDefault="002B18F9" w:rsidP="002B18F9">
            <w:pPr>
              <w:jc w:val="center"/>
              <w:rPr>
                <w:rFonts w:ascii="Arial" w:hAnsi="Arial" w:cs="Arial"/>
                <w:color w:val="000000"/>
                <w:sz w:val="16"/>
                <w:szCs w:val="16"/>
              </w:rPr>
            </w:pPr>
            <w:r w:rsidRPr="00B92499">
              <w:rPr>
                <w:rFonts w:ascii="Arial" w:hAnsi="Arial" w:cs="Arial"/>
                <w:color w:val="000000"/>
                <w:sz w:val="16"/>
                <w:szCs w:val="16"/>
              </w:rPr>
              <w:t>7.08</w:t>
            </w:r>
          </w:p>
        </w:tc>
        <w:tc>
          <w:tcPr>
            <w:tcW w:w="850" w:type="dxa"/>
            <w:tcBorders>
              <w:top w:val="nil"/>
              <w:left w:val="nil"/>
              <w:bottom w:val="single" w:sz="4" w:space="0" w:color="auto"/>
              <w:right w:val="single" w:sz="4" w:space="0" w:color="auto"/>
            </w:tcBorders>
            <w:shd w:val="clear" w:color="000000" w:fill="D9D9D9"/>
            <w:noWrap/>
            <w:vAlign w:val="center"/>
            <w:hideMark/>
          </w:tcPr>
          <w:p w14:paraId="1E6A21EF" w14:textId="77777777" w:rsidR="002B18F9" w:rsidRPr="00B92499" w:rsidRDefault="002B18F9" w:rsidP="002B18F9">
            <w:pPr>
              <w:jc w:val="center"/>
              <w:rPr>
                <w:rFonts w:ascii="Arial" w:hAnsi="Arial" w:cs="Arial"/>
                <w:color w:val="000000"/>
                <w:sz w:val="16"/>
                <w:szCs w:val="16"/>
              </w:rPr>
            </w:pPr>
            <w:r w:rsidRPr="00B92499">
              <w:rPr>
                <w:rFonts w:ascii="Arial" w:hAnsi="Arial" w:cs="Arial"/>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center"/>
            <w:hideMark/>
          </w:tcPr>
          <w:p w14:paraId="68A49B39" w14:textId="77777777" w:rsidR="002B18F9" w:rsidRPr="00B92499" w:rsidRDefault="002B18F9" w:rsidP="002B18F9">
            <w:pPr>
              <w:jc w:val="center"/>
              <w:rPr>
                <w:rFonts w:ascii="Arial" w:hAnsi="Arial" w:cs="Arial"/>
                <w:color w:val="000000"/>
                <w:sz w:val="16"/>
                <w:szCs w:val="16"/>
              </w:rPr>
            </w:pPr>
            <w:r w:rsidRPr="00B92499">
              <w:rPr>
                <w:rFonts w:ascii="Arial" w:hAnsi="Arial" w:cs="Arial"/>
                <w:color w:val="000000"/>
                <w:sz w:val="16"/>
                <w:szCs w:val="16"/>
              </w:rPr>
              <w:t>7.08</w:t>
            </w:r>
          </w:p>
        </w:tc>
        <w:tc>
          <w:tcPr>
            <w:tcW w:w="850" w:type="dxa"/>
            <w:tcBorders>
              <w:top w:val="nil"/>
              <w:left w:val="nil"/>
              <w:bottom w:val="single" w:sz="4" w:space="0" w:color="auto"/>
              <w:right w:val="single" w:sz="4" w:space="0" w:color="auto"/>
            </w:tcBorders>
            <w:shd w:val="clear" w:color="000000" w:fill="BDD7EE"/>
            <w:noWrap/>
            <w:vAlign w:val="center"/>
            <w:hideMark/>
          </w:tcPr>
          <w:p w14:paraId="0DE3CBE7" w14:textId="77777777" w:rsidR="002B18F9" w:rsidRPr="00B92499" w:rsidRDefault="002B18F9" w:rsidP="002B18F9">
            <w:pPr>
              <w:jc w:val="center"/>
              <w:rPr>
                <w:rFonts w:ascii="Arial" w:hAnsi="Arial" w:cs="Arial"/>
                <w:color w:val="000000"/>
                <w:sz w:val="16"/>
                <w:szCs w:val="16"/>
              </w:rPr>
            </w:pPr>
            <w:r w:rsidRPr="00B92499">
              <w:rPr>
                <w:rFonts w:ascii="Arial" w:hAnsi="Arial" w:cs="Arial"/>
                <w:color w:val="000000"/>
                <w:sz w:val="16"/>
                <w:szCs w:val="16"/>
              </w:rPr>
              <w:t>8.33</w:t>
            </w:r>
          </w:p>
        </w:tc>
        <w:tc>
          <w:tcPr>
            <w:tcW w:w="850" w:type="dxa"/>
            <w:tcBorders>
              <w:top w:val="nil"/>
              <w:left w:val="nil"/>
              <w:bottom w:val="single" w:sz="4" w:space="0" w:color="auto"/>
              <w:right w:val="single" w:sz="4" w:space="0" w:color="auto"/>
            </w:tcBorders>
            <w:shd w:val="clear" w:color="000000" w:fill="D9D9D9"/>
            <w:noWrap/>
            <w:vAlign w:val="center"/>
            <w:hideMark/>
          </w:tcPr>
          <w:p w14:paraId="7712097F" w14:textId="77777777" w:rsidR="002B18F9" w:rsidRPr="00B92499" w:rsidRDefault="002B18F9" w:rsidP="002B18F9">
            <w:pPr>
              <w:jc w:val="center"/>
              <w:rPr>
                <w:rFonts w:ascii="Arial" w:hAnsi="Arial" w:cs="Arial"/>
                <w:color w:val="000000"/>
                <w:sz w:val="16"/>
                <w:szCs w:val="16"/>
              </w:rPr>
            </w:pPr>
            <w:r w:rsidRPr="00B92499">
              <w:rPr>
                <w:rFonts w:ascii="Arial" w:hAnsi="Arial" w:cs="Arial"/>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center"/>
            <w:hideMark/>
          </w:tcPr>
          <w:p w14:paraId="0A035044" w14:textId="77777777" w:rsidR="002B18F9" w:rsidRPr="00B92499" w:rsidRDefault="002B18F9" w:rsidP="002B18F9">
            <w:pPr>
              <w:jc w:val="center"/>
              <w:rPr>
                <w:rFonts w:ascii="Arial" w:hAnsi="Arial" w:cs="Arial"/>
                <w:color w:val="000000"/>
                <w:sz w:val="16"/>
                <w:szCs w:val="16"/>
              </w:rPr>
            </w:pPr>
            <w:r w:rsidRPr="00B92499">
              <w:rPr>
                <w:rFonts w:ascii="Arial" w:hAnsi="Arial" w:cs="Arial"/>
                <w:color w:val="000000"/>
                <w:sz w:val="16"/>
                <w:szCs w:val="16"/>
              </w:rPr>
              <w:t>8.33</w:t>
            </w:r>
          </w:p>
        </w:tc>
        <w:tc>
          <w:tcPr>
            <w:tcW w:w="850" w:type="dxa"/>
            <w:tcBorders>
              <w:top w:val="nil"/>
              <w:left w:val="nil"/>
              <w:bottom w:val="single" w:sz="4" w:space="0" w:color="auto"/>
              <w:right w:val="single" w:sz="4" w:space="0" w:color="auto"/>
            </w:tcBorders>
            <w:shd w:val="clear" w:color="000000" w:fill="BDD7EE"/>
            <w:noWrap/>
            <w:vAlign w:val="center"/>
            <w:hideMark/>
          </w:tcPr>
          <w:p w14:paraId="3C2AEF62" w14:textId="77777777" w:rsidR="002B18F9" w:rsidRPr="00B92499" w:rsidRDefault="002B18F9" w:rsidP="002B18F9">
            <w:pPr>
              <w:jc w:val="center"/>
              <w:rPr>
                <w:rFonts w:ascii="Arial" w:hAnsi="Arial" w:cs="Arial"/>
                <w:color w:val="000000"/>
                <w:sz w:val="16"/>
                <w:szCs w:val="16"/>
              </w:rPr>
            </w:pPr>
            <w:r w:rsidRPr="00B92499">
              <w:rPr>
                <w:rFonts w:ascii="Arial" w:hAnsi="Arial" w:cs="Arial"/>
                <w:color w:val="000000"/>
                <w:sz w:val="16"/>
                <w:szCs w:val="16"/>
              </w:rPr>
              <w:t>7.71</w:t>
            </w:r>
          </w:p>
        </w:tc>
        <w:tc>
          <w:tcPr>
            <w:tcW w:w="850" w:type="dxa"/>
            <w:tcBorders>
              <w:top w:val="nil"/>
              <w:left w:val="nil"/>
              <w:bottom w:val="single" w:sz="4" w:space="0" w:color="auto"/>
              <w:right w:val="single" w:sz="4" w:space="0" w:color="auto"/>
            </w:tcBorders>
            <w:shd w:val="clear" w:color="000000" w:fill="D9D9D9"/>
            <w:noWrap/>
            <w:vAlign w:val="center"/>
            <w:hideMark/>
          </w:tcPr>
          <w:p w14:paraId="562E62A9" w14:textId="77777777" w:rsidR="002B18F9" w:rsidRPr="00B92499" w:rsidRDefault="002B18F9" w:rsidP="002B18F9">
            <w:pPr>
              <w:jc w:val="center"/>
              <w:rPr>
                <w:rFonts w:ascii="Arial" w:hAnsi="Arial" w:cs="Arial"/>
                <w:color w:val="000000"/>
                <w:sz w:val="16"/>
                <w:szCs w:val="16"/>
              </w:rPr>
            </w:pPr>
            <w:r w:rsidRPr="00B92499">
              <w:rPr>
                <w:rFonts w:ascii="Arial" w:hAnsi="Arial" w:cs="Arial"/>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center"/>
            <w:hideMark/>
          </w:tcPr>
          <w:p w14:paraId="4C8BC1FD" w14:textId="77777777" w:rsidR="002B18F9" w:rsidRPr="00B92499" w:rsidRDefault="002B18F9" w:rsidP="002B18F9">
            <w:pPr>
              <w:jc w:val="center"/>
              <w:rPr>
                <w:rFonts w:ascii="Arial" w:hAnsi="Arial" w:cs="Arial"/>
                <w:color w:val="000000"/>
                <w:sz w:val="16"/>
                <w:szCs w:val="16"/>
              </w:rPr>
            </w:pPr>
            <w:r w:rsidRPr="00B92499">
              <w:rPr>
                <w:rFonts w:ascii="Arial" w:hAnsi="Arial" w:cs="Arial"/>
                <w:color w:val="000000"/>
                <w:sz w:val="16"/>
                <w:szCs w:val="16"/>
              </w:rPr>
              <w:t>7.71</w:t>
            </w:r>
          </w:p>
        </w:tc>
      </w:tr>
    </w:tbl>
    <w:p w14:paraId="4C2E52A3" w14:textId="77777777" w:rsidR="002B18F9" w:rsidRPr="00B92499" w:rsidRDefault="002B18F9" w:rsidP="002B18F9">
      <w:pPr>
        <w:spacing w:before="100" w:beforeAutospacing="1" w:after="100" w:afterAutospacing="1" w:line="360" w:lineRule="auto"/>
        <w:contextualSpacing/>
        <w:jc w:val="both"/>
        <w:rPr>
          <w:rFonts w:ascii="Arial" w:hAnsi="Arial" w:cs="Arial"/>
          <w:sz w:val="16"/>
          <w:szCs w:val="16"/>
        </w:rPr>
      </w:pPr>
      <w:r w:rsidRPr="00B92499">
        <w:rPr>
          <w:rFonts w:ascii="Arial" w:hAnsi="Arial" w:cs="Arial"/>
          <w:b/>
          <w:sz w:val="16"/>
          <w:szCs w:val="16"/>
        </w:rPr>
        <w:t>Nota metodológica</w:t>
      </w:r>
      <w:r w:rsidRPr="00B92499">
        <w:rPr>
          <w:rFonts w:ascii="Arial" w:hAnsi="Arial" w:cs="Arial"/>
          <w:sz w:val="16"/>
          <w:szCs w:val="16"/>
        </w:rPr>
        <w:t xml:space="preserve">: </w:t>
      </w:r>
    </w:p>
    <w:p w14:paraId="28251195" w14:textId="77777777" w:rsidR="002B18F9" w:rsidRPr="00B92499" w:rsidRDefault="002B18F9" w:rsidP="002B18F9">
      <w:pPr>
        <w:spacing w:before="100" w:beforeAutospacing="1" w:after="100" w:afterAutospacing="1" w:line="360" w:lineRule="auto"/>
        <w:contextualSpacing/>
        <w:jc w:val="both"/>
        <w:rPr>
          <w:rFonts w:ascii="Arial" w:hAnsi="Arial" w:cs="Arial"/>
          <w:sz w:val="16"/>
          <w:szCs w:val="16"/>
        </w:rPr>
      </w:pPr>
      <w:r w:rsidRPr="00B92499">
        <w:rPr>
          <w:rFonts w:ascii="Arial" w:hAnsi="Arial" w:cs="Arial"/>
          <w:sz w:val="16"/>
          <w:szCs w:val="16"/>
        </w:rPr>
        <w:t>El IGOT se compone del promedio de ICOT-PT e ICOT-PNT.</w:t>
      </w:r>
    </w:p>
    <w:p w14:paraId="312036DB" w14:textId="10D94109" w:rsidR="002B18F9" w:rsidRPr="00B92499" w:rsidRDefault="002B18F9" w:rsidP="002B18F9">
      <w:pPr>
        <w:spacing w:before="100" w:beforeAutospacing="1" w:after="100" w:afterAutospacing="1" w:line="360" w:lineRule="auto"/>
        <w:contextualSpacing/>
        <w:jc w:val="both"/>
        <w:rPr>
          <w:rFonts w:ascii="Arial" w:hAnsi="Arial" w:cs="Arial"/>
          <w:color w:val="000000"/>
          <w:sz w:val="16"/>
          <w:szCs w:val="16"/>
        </w:rPr>
      </w:pPr>
      <w:r w:rsidRPr="00B92499">
        <w:rPr>
          <w:rFonts w:ascii="Arial" w:hAnsi="Arial" w:cs="Arial"/>
          <w:b/>
          <w:bCs/>
          <w:color w:val="000000"/>
          <w:sz w:val="16"/>
          <w:szCs w:val="16"/>
        </w:rPr>
        <w:t>%Inf PT:</w:t>
      </w:r>
      <w:r w:rsidRPr="00B92499">
        <w:rPr>
          <w:rFonts w:ascii="Arial" w:hAnsi="Arial" w:cs="Arial"/>
          <w:color w:val="000000"/>
          <w:sz w:val="16"/>
          <w:szCs w:val="16"/>
        </w:rPr>
        <w:t xml:space="preserve"> corresponde al porcentaje del índice que hace referencia a la información que se encuentra publicada y actualizada en el Portal de Internet (PI) del </w:t>
      </w:r>
      <w:r w:rsidR="008710F6" w:rsidRPr="00B92499">
        <w:rPr>
          <w:rFonts w:ascii="Arial" w:hAnsi="Arial" w:cs="Arial"/>
          <w:color w:val="000000"/>
          <w:sz w:val="16"/>
          <w:szCs w:val="16"/>
        </w:rPr>
        <w:t>sujeto obligado</w:t>
      </w:r>
      <w:r w:rsidRPr="00B92499">
        <w:rPr>
          <w:rFonts w:ascii="Arial" w:hAnsi="Arial" w:cs="Arial"/>
          <w:color w:val="000000"/>
          <w:sz w:val="16"/>
          <w:szCs w:val="16"/>
        </w:rPr>
        <w:t xml:space="preserve">. </w:t>
      </w:r>
    </w:p>
    <w:p w14:paraId="3BE52C1A" w14:textId="27122E3A" w:rsidR="002B18F9" w:rsidRPr="00B92499" w:rsidRDefault="002B18F9" w:rsidP="002B18F9">
      <w:pPr>
        <w:spacing w:before="100" w:beforeAutospacing="1" w:after="100" w:afterAutospacing="1" w:line="360" w:lineRule="auto"/>
        <w:contextualSpacing/>
        <w:jc w:val="both"/>
        <w:rPr>
          <w:rFonts w:ascii="Arial" w:hAnsi="Arial" w:cs="Arial"/>
          <w:color w:val="000000"/>
          <w:sz w:val="16"/>
          <w:szCs w:val="16"/>
        </w:rPr>
      </w:pPr>
      <w:r w:rsidRPr="00B92499">
        <w:rPr>
          <w:rFonts w:ascii="Arial" w:hAnsi="Arial" w:cs="Arial"/>
          <w:b/>
          <w:bCs/>
          <w:color w:val="000000"/>
          <w:sz w:val="16"/>
          <w:szCs w:val="16"/>
        </w:rPr>
        <w:t>%Inf PNT:</w:t>
      </w:r>
      <w:r w:rsidRPr="00B92499">
        <w:rPr>
          <w:rFonts w:ascii="Arial" w:hAnsi="Arial" w:cs="Arial"/>
          <w:color w:val="000000"/>
          <w:sz w:val="16"/>
          <w:szCs w:val="16"/>
        </w:rPr>
        <w:t xml:space="preserve"> corresponde al porcentaje del índice que hace referencia a la información que se encuentra publicada y actualizada en la Plataforma Nacional de Transparencia (PNT) del </w:t>
      </w:r>
      <w:r w:rsidR="008710F6" w:rsidRPr="00B92499">
        <w:rPr>
          <w:rFonts w:ascii="Arial" w:hAnsi="Arial" w:cs="Arial"/>
          <w:color w:val="000000"/>
          <w:sz w:val="16"/>
          <w:szCs w:val="16"/>
        </w:rPr>
        <w:t>sujeto obligado</w:t>
      </w:r>
      <w:r w:rsidRPr="00B92499">
        <w:rPr>
          <w:rFonts w:ascii="Arial" w:hAnsi="Arial" w:cs="Arial"/>
          <w:color w:val="000000"/>
          <w:sz w:val="16"/>
          <w:szCs w:val="16"/>
        </w:rPr>
        <w:t>.</w:t>
      </w:r>
    </w:p>
    <w:p w14:paraId="61D9B24B" w14:textId="0F310287" w:rsidR="002B18F9" w:rsidRPr="00B92499" w:rsidRDefault="002B18F9" w:rsidP="002B18F9">
      <w:pPr>
        <w:spacing w:before="100" w:beforeAutospacing="1" w:after="100" w:afterAutospacing="1" w:line="360" w:lineRule="auto"/>
        <w:contextualSpacing/>
        <w:jc w:val="both"/>
        <w:rPr>
          <w:rFonts w:ascii="Arial" w:hAnsi="Arial" w:cs="Arial"/>
          <w:color w:val="000000"/>
          <w:sz w:val="16"/>
          <w:szCs w:val="16"/>
        </w:rPr>
      </w:pPr>
      <w:r w:rsidRPr="00B92499">
        <w:rPr>
          <w:rFonts w:ascii="Arial" w:hAnsi="Arial" w:cs="Arial"/>
          <w:b/>
          <w:bCs/>
          <w:color w:val="000000"/>
          <w:sz w:val="16"/>
          <w:szCs w:val="16"/>
        </w:rPr>
        <w:t xml:space="preserve">%Inf IGOT: </w:t>
      </w:r>
      <w:r w:rsidRPr="00B92499">
        <w:rPr>
          <w:rFonts w:ascii="Arial" w:hAnsi="Arial" w:cs="Arial"/>
          <w:color w:val="000000"/>
          <w:sz w:val="16"/>
          <w:szCs w:val="16"/>
        </w:rPr>
        <w:t xml:space="preserve">corresponde al porcentaje del índice que hace referencia a la información que se encuentra publicada y actualizada tanto en la PNT y el PI del </w:t>
      </w:r>
      <w:r w:rsidR="008710F6" w:rsidRPr="00B92499">
        <w:rPr>
          <w:rFonts w:ascii="Arial" w:hAnsi="Arial" w:cs="Arial"/>
          <w:color w:val="000000"/>
          <w:sz w:val="16"/>
          <w:szCs w:val="16"/>
        </w:rPr>
        <w:t>sujeto obligado</w:t>
      </w:r>
      <w:r w:rsidRPr="00B92499">
        <w:rPr>
          <w:rFonts w:ascii="Arial" w:hAnsi="Arial" w:cs="Arial"/>
          <w:color w:val="000000"/>
          <w:sz w:val="16"/>
          <w:szCs w:val="16"/>
        </w:rPr>
        <w:t>.</w:t>
      </w:r>
    </w:p>
    <w:p w14:paraId="7799C0B5" w14:textId="743A3E28" w:rsidR="002B18F9" w:rsidRPr="00B92499" w:rsidRDefault="002B18F9" w:rsidP="002B18F9">
      <w:pPr>
        <w:spacing w:before="100" w:beforeAutospacing="1" w:after="100" w:afterAutospacing="1" w:line="360" w:lineRule="auto"/>
        <w:contextualSpacing/>
        <w:jc w:val="both"/>
        <w:rPr>
          <w:rFonts w:ascii="Arial" w:hAnsi="Arial" w:cs="Arial"/>
          <w:color w:val="000000"/>
          <w:sz w:val="16"/>
          <w:szCs w:val="16"/>
        </w:rPr>
      </w:pPr>
      <w:r w:rsidRPr="00B92499">
        <w:rPr>
          <w:rFonts w:ascii="Arial" w:hAnsi="Arial" w:cs="Arial"/>
          <w:b/>
          <w:bCs/>
          <w:color w:val="000000"/>
          <w:sz w:val="16"/>
          <w:szCs w:val="16"/>
        </w:rPr>
        <w:t>%Nota PT:</w:t>
      </w:r>
      <w:r w:rsidRPr="00B92499">
        <w:rPr>
          <w:rFonts w:ascii="Arial" w:hAnsi="Arial" w:cs="Arial"/>
          <w:color w:val="000000"/>
          <w:sz w:val="16"/>
          <w:szCs w:val="16"/>
        </w:rPr>
        <w:t xml:space="preserve"> corresponde al porcentaje del índice que hace referencia a las notas aclaratorias por no generación, competencia, publicación o actualización de la información que se encuentra publicada y actualizada en el Portal de Internet (PI) del </w:t>
      </w:r>
      <w:r w:rsidR="008710F6" w:rsidRPr="00B92499">
        <w:rPr>
          <w:rFonts w:ascii="Arial" w:hAnsi="Arial" w:cs="Arial"/>
          <w:color w:val="000000"/>
          <w:sz w:val="16"/>
          <w:szCs w:val="16"/>
        </w:rPr>
        <w:t>sujeto obligado</w:t>
      </w:r>
      <w:r w:rsidRPr="00B92499">
        <w:rPr>
          <w:rFonts w:ascii="Arial" w:hAnsi="Arial" w:cs="Arial"/>
          <w:color w:val="000000"/>
          <w:sz w:val="16"/>
          <w:szCs w:val="16"/>
        </w:rPr>
        <w:t>.</w:t>
      </w:r>
    </w:p>
    <w:p w14:paraId="6082DB4F" w14:textId="45413DAF" w:rsidR="002B18F9" w:rsidRPr="00B92499" w:rsidRDefault="002B18F9" w:rsidP="002B18F9">
      <w:pPr>
        <w:spacing w:before="100" w:beforeAutospacing="1" w:after="100" w:afterAutospacing="1" w:line="360" w:lineRule="auto"/>
        <w:contextualSpacing/>
        <w:jc w:val="both"/>
        <w:rPr>
          <w:rFonts w:ascii="Arial" w:hAnsi="Arial" w:cs="Arial"/>
          <w:color w:val="000000"/>
          <w:sz w:val="16"/>
          <w:szCs w:val="16"/>
        </w:rPr>
      </w:pPr>
      <w:r w:rsidRPr="00B92499">
        <w:rPr>
          <w:rFonts w:ascii="Arial" w:hAnsi="Arial" w:cs="Arial"/>
          <w:b/>
          <w:bCs/>
          <w:color w:val="000000"/>
          <w:sz w:val="16"/>
          <w:szCs w:val="16"/>
        </w:rPr>
        <w:t>%Nota PNT:</w:t>
      </w:r>
      <w:r w:rsidRPr="00B92499">
        <w:rPr>
          <w:rFonts w:ascii="Arial" w:hAnsi="Arial" w:cs="Arial"/>
          <w:color w:val="000000"/>
          <w:sz w:val="16"/>
          <w:szCs w:val="16"/>
        </w:rPr>
        <w:t xml:space="preserve"> corresponde al porcentaje del índice que hace referencia a las notas aclaratorias por no generación, competencia, publicación o actualización de la información que se encuentra publicada y actualizada en la Plataforma Nacional de Transparencia (PNT) del </w:t>
      </w:r>
      <w:r w:rsidR="008710F6" w:rsidRPr="00B92499">
        <w:rPr>
          <w:rFonts w:ascii="Arial" w:hAnsi="Arial" w:cs="Arial"/>
          <w:color w:val="000000"/>
          <w:sz w:val="16"/>
          <w:szCs w:val="16"/>
        </w:rPr>
        <w:t>sujeto obligado</w:t>
      </w:r>
      <w:r w:rsidRPr="00B92499">
        <w:rPr>
          <w:rFonts w:ascii="Arial" w:hAnsi="Arial" w:cs="Arial"/>
          <w:color w:val="000000"/>
          <w:sz w:val="16"/>
          <w:szCs w:val="16"/>
        </w:rPr>
        <w:t>.</w:t>
      </w:r>
    </w:p>
    <w:p w14:paraId="172453C6" w14:textId="5176CAC9" w:rsidR="002B18F9" w:rsidRPr="00B92499" w:rsidRDefault="002B18F9" w:rsidP="002B18F9">
      <w:pPr>
        <w:spacing w:before="100" w:beforeAutospacing="1" w:after="100" w:afterAutospacing="1" w:line="360" w:lineRule="auto"/>
        <w:contextualSpacing/>
        <w:jc w:val="both"/>
        <w:rPr>
          <w:rFonts w:ascii="Arial" w:hAnsi="Arial" w:cs="Arial"/>
          <w:color w:val="000000"/>
          <w:sz w:val="16"/>
          <w:szCs w:val="16"/>
        </w:rPr>
      </w:pPr>
      <w:r w:rsidRPr="00B92499">
        <w:rPr>
          <w:rFonts w:ascii="Arial" w:hAnsi="Arial" w:cs="Arial"/>
          <w:b/>
          <w:bCs/>
          <w:color w:val="000000"/>
          <w:sz w:val="16"/>
          <w:szCs w:val="16"/>
        </w:rPr>
        <w:t>%Nota IGOT:</w:t>
      </w:r>
      <w:r w:rsidRPr="00B92499">
        <w:rPr>
          <w:rFonts w:ascii="Arial" w:hAnsi="Arial" w:cs="Arial"/>
          <w:color w:val="000000"/>
          <w:sz w:val="16"/>
          <w:szCs w:val="16"/>
        </w:rPr>
        <w:t xml:space="preserve"> corresponde al porcentaje del índice que hace referencia a las notas aclaratorias por no generación, competencia, publicación o actualización de la información que se encuentra publicada y actualizada en la PNT y el PI del </w:t>
      </w:r>
      <w:r w:rsidR="008710F6" w:rsidRPr="00B92499">
        <w:rPr>
          <w:rFonts w:ascii="Arial" w:hAnsi="Arial" w:cs="Arial"/>
          <w:color w:val="000000"/>
          <w:sz w:val="16"/>
          <w:szCs w:val="16"/>
        </w:rPr>
        <w:t>sujeto obligado</w:t>
      </w:r>
      <w:r w:rsidRPr="00B92499">
        <w:rPr>
          <w:rFonts w:ascii="Arial" w:hAnsi="Arial" w:cs="Arial"/>
          <w:color w:val="000000"/>
          <w:sz w:val="16"/>
          <w:szCs w:val="16"/>
        </w:rPr>
        <w:t>.</w:t>
      </w:r>
    </w:p>
    <w:p w14:paraId="67AE7FE2" w14:textId="77777777" w:rsidR="002B18F9" w:rsidRPr="00B92499" w:rsidRDefault="002B18F9" w:rsidP="002B18F9">
      <w:pPr>
        <w:spacing w:before="100" w:beforeAutospacing="1" w:after="100" w:afterAutospacing="1" w:line="360" w:lineRule="auto"/>
        <w:contextualSpacing/>
        <w:jc w:val="both"/>
        <w:rPr>
          <w:rFonts w:ascii="Arial" w:hAnsi="Arial" w:cs="Arial"/>
        </w:rPr>
      </w:pPr>
    </w:p>
    <w:p w14:paraId="2C6D00B5" w14:textId="37D059A3" w:rsidR="002B18F9" w:rsidRPr="00B92499" w:rsidRDefault="002B18F9" w:rsidP="002B18F9">
      <w:pPr>
        <w:spacing w:before="100" w:beforeAutospacing="1" w:after="100" w:afterAutospacing="1" w:line="360" w:lineRule="auto"/>
        <w:contextualSpacing/>
        <w:jc w:val="both"/>
        <w:rPr>
          <w:rFonts w:ascii="Arial" w:hAnsi="Arial" w:cs="Arial"/>
        </w:rPr>
      </w:pPr>
      <w:r w:rsidRPr="00B92499">
        <w:rPr>
          <w:rFonts w:ascii="Arial" w:hAnsi="Arial" w:cs="Arial"/>
        </w:rPr>
        <w:t xml:space="preserve">En atención a la Tabla de Aplicabilidad realizada por la DEAEE del Instituto, las obligaciones que los Órganos Desconcentrados deben actualizar y publicar en el SIPOT de la PNT, así como en sus respectivos portales de internet son las contempladas en los siguientes </w:t>
      </w:r>
      <w:r w:rsidR="008F67E4" w:rsidRPr="00B92499">
        <w:rPr>
          <w:rFonts w:ascii="Arial" w:hAnsi="Arial" w:cs="Arial"/>
        </w:rPr>
        <w:t>artículo</w:t>
      </w:r>
      <w:r w:rsidRPr="00B92499">
        <w:rPr>
          <w:rFonts w:ascii="Arial" w:hAnsi="Arial" w:cs="Arial"/>
        </w:rPr>
        <w:t xml:space="preserve">s: </w:t>
      </w:r>
    </w:p>
    <w:p w14:paraId="6CC0E00A" w14:textId="4936FA0B" w:rsidR="002B18F9" w:rsidRPr="00B92499" w:rsidRDefault="002B18F9" w:rsidP="009F64B5">
      <w:pPr>
        <w:pStyle w:val="Prrafodelista"/>
        <w:numPr>
          <w:ilvl w:val="0"/>
          <w:numId w:val="6"/>
        </w:numPr>
        <w:spacing w:before="100" w:beforeAutospacing="1" w:after="100" w:afterAutospacing="1" w:line="360" w:lineRule="auto"/>
        <w:jc w:val="both"/>
        <w:rPr>
          <w:rFonts w:ascii="Arial" w:hAnsi="Arial" w:cs="Arial"/>
          <w:sz w:val="24"/>
          <w:szCs w:val="24"/>
          <w:lang w:val="es-ES_tradnl"/>
        </w:rPr>
      </w:pPr>
      <w:r w:rsidRPr="00B92499">
        <w:rPr>
          <w:rFonts w:ascii="Arial" w:hAnsi="Arial" w:cs="Arial"/>
          <w:sz w:val="24"/>
          <w:szCs w:val="24"/>
          <w:lang w:val="es-ES_tradnl"/>
        </w:rPr>
        <w:t xml:space="preserve">Artículo 121. Obligaciones comunes, </w:t>
      </w:r>
    </w:p>
    <w:p w14:paraId="3E5FD9FE" w14:textId="5D23453F" w:rsidR="002B18F9" w:rsidRPr="00B92499" w:rsidRDefault="002B18F9" w:rsidP="009F64B5">
      <w:pPr>
        <w:pStyle w:val="Prrafodelista"/>
        <w:numPr>
          <w:ilvl w:val="0"/>
          <w:numId w:val="6"/>
        </w:numPr>
        <w:spacing w:before="100" w:beforeAutospacing="1" w:after="100" w:afterAutospacing="1" w:line="360" w:lineRule="auto"/>
        <w:jc w:val="both"/>
        <w:rPr>
          <w:rFonts w:ascii="Arial" w:hAnsi="Arial" w:cs="Arial"/>
          <w:sz w:val="24"/>
          <w:szCs w:val="24"/>
          <w:lang w:val="es-ES_tradnl"/>
        </w:rPr>
      </w:pPr>
      <w:r w:rsidRPr="00B92499">
        <w:rPr>
          <w:rFonts w:ascii="Arial" w:hAnsi="Arial" w:cs="Arial"/>
          <w:sz w:val="24"/>
          <w:szCs w:val="24"/>
          <w:lang w:val="es-ES_tradnl"/>
        </w:rPr>
        <w:t xml:space="preserve">Artículo 123. Obligaciones específicas del Poder Ejecutivo para los Órganos Desconcentrados en </w:t>
      </w:r>
      <w:r w:rsidRPr="00B92499">
        <w:rPr>
          <w:rFonts w:ascii="Arial" w:hAnsi="Arial" w:cs="Arial"/>
          <w:i/>
          <w:iCs/>
          <w:sz w:val="24"/>
          <w:szCs w:val="24"/>
          <w:lang w:val="es-ES_tradnl"/>
        </w:rPr>
        <w:t>stricto sensu,</w:t>
      </w:r>
    </w:p>
    <w:p w14:paraId="7E3AB093" w14:textId="2D246624" w:rsidR="002B18F9" w:rsidRPr="00B92499" w:rsidRDefault="002B18F9" w:rsidP="009F64B5">
      <w:pPr>
        <w:pStyle w:val="Prrafodelista"/>
        <w:numPr>
          <w:ilvl w:val="0"/>
          <w:numId w:val="6"/>
        </w:numPr>
        <w:spacing w:before="100" w:beforeAutospacing="1" w:after="100" w:afterAutospacing="1" w:line="360" w:lineRule="auto"/>
        <w:jc w:val="both"/>
        <w:rPr>
          <w:rFonts w:ascii="Arial" w:hAnsi="Arial" w:cs="Arial"/>
          <w:sz w:val="24"/>
          <w:szCs w:val="24"/>
          <w:lang w:val="es-ES_tradnl"/>
        </w:rPr>
      </w:pPr>
      <w:r w:rsidRPr="00B92499">
        <w:rPr>
          <w:rFonts w:ascii="Arial" w:hAnsi="Arial" w:cs="Arial"/>
          <w:sz w:val="24"/>
          <w:szCs w:val="24"/>
          <w:lang w:val="es-ES_tradnl"/>
        </w:rPr>
        <w:t>Artículo 135. Obligaciones específicas de los fideicomisos, fondos públicos y otros análogos,</w:t>
      </w:r>
    </w:p>
    <w:p w14:paraId="2C94E64C" w14:textId="686F4E44" w:rsidR="002B18F9" w:rsidRPr="00B92499" w:rsidRDefault="002B18F9" w:rsidP="009F64B5">
      <w:pPr>
        <w:pStyle w:val="Prrafodelista"/>
        <w:numPr>
          <w:ilvl w:val="0"/>
          <w:numId w:val="6"/>
        </w:numPr>
        <w:spacing w:before="100" w:beforeAutospacing="1" w:after="100" w:afterAutospacing="1" w:line="360" w:lineRule="auto"/>
        <w:jc w:val="both"/>
        <w:rPr>
          <w:rFonts w:ascii="Arial" w:hAnsi="Arial" w:cs="Arial"/>
          <w:sz w:val="24"/>
          <w:szCs w:val="24"/>
          <w:lang w:val="es-ES_tradnl"/>
        </w:rPr>
      </w:pPr>
      <w:r w:rsidRPr="00B92499">
        <w:rPr>
          <w:rFonts w:ascii="Arial" w:hAnsi="Arial" w:cs="Arial"/>
          <w:sz w:val="24"/>
          <w:szCs w:val="24"/>
          <w:lang w:val="es-ES_tradnl"/>
        </w:rPr>
        <w:t xml:space="preserve">Artículo 136. Obligaciones específicas de los fideicomisos, fondos públicos y otros análogos, </w:t>
      </w:r>
    </w:p>
    <w:p w14:paraId="6753C4DA" w14:textId="111A62B8" w:rsidR="002B18F9" w:rsidRPr="00B92499" w:rsidRDefault="002B18F9" w:rsidP="009F64B5">
      <w:pPr>
        <w:pStyle w:val="Prrafodelista"/>
        <w:numPr>
          <w:ilvl w:val="0"/>
          <w:numId w:val="6"/>
        </w:numPr>
        <w:spacing w:before="100" w:beforeAutospacing="1" w:after="100" w:afterAutospacing="1" w:line="360" w:lineRule="auto"/>
        <w:jc w:val="both"/>
        <w:rPr>
          <w:rFonts w:ascii="Arial" w:hAnsi="Arial" w:cs="Arial"/>
          <w:sz w:val="24"/>
          <w:szCs w:val="24"/>
          <w:lang w:val="es-ES_tradnl"/>
        </w:rPr>
      </w:pPr>
      <w:r w:rsidRPr="00B92499">
        <w:rPr>
          <w:rFonts w:ascii="Arial" w:hAnsi="Arial" w:cs="Arial"/>
          <w:sz w:val="24"/>
          <w:szCs w:val="24"/>
          <w:lang w:val="es-ES_tradnl"/>
        </w:rPr>
        <w:lastRenderedPageBreak/>
        <w:t>Artículo 143. Disposiciones Particulares,</w:t>
      </w:r>
    </w:p>
    <w:p w14:paraId="13B3D7D5" w14:textId="3C49E26B" w:rsidR="002B18F9" w:rsidRPr="00B92499" w:rsidRDefault="002B18F9" w:rsidP="009F64B5">
      <w:pPr>
        <w:pStyle w:val="Prrafodelista"/>
        <w:numPr>
          <w:ilvl w:val="0"/>
          <w:numId w:val="6"/>
        </w:numPr>
        <w:spacing w:before="100" w:beforeAutospacing="1" w:after="100" w:afterAutospacing="1" w:line="360" w:lineRule="auto"/>
        <w:jc w:val="both"/>
        <w:rPr>
          <w:rFonts w:ascii="Arial" w:hAnsi="Arial" w:cs="Arial"/>
          <w:sz w:val="24"/>
          <w:szCs w:val="24"/>
          <w:lang w:val="es-ES_tradnl"/>
        </w:rPr>
      </w:pPr>
      <w:r w:rsidRPr="00B92499">
        <w:rPr>
          <w:rFonts w:ascii="Arial" w:hAnsi="Arial" w:cs="Arial"/>
          <w:sz w:val="24"/>
          <w:szCs w:val="24"/>
          <w:lang w:val="es-ES_tradnl"/>
        </w:rPr>
        <w:t>Artículo 145. Disposiciones Particulares,</w:t>
      </w:r>
    </w:p>
    <w:p w14:paraId="756BCAC9" w14:textId="797FF7D6" w:rsidR="002B18F9" w:rsidRPr="00B92499" w:rsidRDefault="002B18F9" w:rsidP="009F64B5">
      <w:pPr>
        <w:pStyle w:val="Prrafodelista"/>
        <w:numPr>
          <w:ilvl w:val="0"/>
          <w:numId w:val="6"/>
        </w:numPr>
        <w:spacing w:before="100" w:beforeAutospacing="1" w:after="100" w:afterAutospacing="1" w:line="360" w:lineRule="auto"/>
        <w:jc w:val="both"/>
        <w:rPr>
          <w:rFonts w:ascii="Arial" w:hAnsi="Arial" w:cs="Arial"/>
          <w:sz w:val="24"/>
          <w:szCs w:val="24"/>
          <w:lang w:val="es-ES_tradnl"/>
        </w:rPr>
      </w:pPr>
      <w:r w:rsidRPr="00B92499">
        <w:rPr>
          <w:rFonts w:ascii="Arial" w:hAnsi="Arial" w:cs="Arial"/>
          <w:sz w:val="24"/>
          <w:szCs w:val="24"/>
          <w:lang w:val="es-ES_tradnl"/>
        </w:rPr>
        <w:t xml:space="preserve">Artículo 146. Disposiciones Particulares, y </w:t>
      </w:r>
    </w:p>
    <w:p w14:paraId="434F7B01" w14:textId="3D53CC32" w:rsidR="002B18F9" w:rsidRPr="00B92499" w:rsidRDefault="002B18F9" w:rsidP="009F64B5">
      <w:pPr>
        <w:pStyle w:val="Prrafodelista"/>
        <w:numPr>
          <w:ilvl w:val="0"/>
          <w:numId w:val="6"/>
        </w:numPr>
        <w:spacing w:before="100" w:beforeAutospacing="1" w:after="100" w:afterAutospacing="1" w:line="360" w:lineRule="auto"/>
        <w:jc w:val="both"/>
        <w:rPr>
          <w:rFonts w:ascii="Arial" w:hAnsi="Arial" w:cs="Arial"/>
          <w:sz w:val="24"/>
          <w:szCs w:val="24"/>
          <w:lang w:val="es-ES_tradnl"/>
        </w:rPr>
      </w:pPr>
      <w:r w:rsidRPr="00B92499">
        <w:rPr>
          <w:rFonts w:ascii="Arial" w:hAnsi="Arial" w:cs="Arial"/>
          <w:sz w:val="24"/>
          <w:szCs w:val="24"/>
          <w:lang w:val="es-ES_tradnl"/>
        </w:rPr>
        <w:t>Artículo 147. Disposiciones Particulares.</w:t>
      </w:r>
    </w:p>
    <w:p w14:paraId="5B2EA41D" w14:textId="77777777" w:rsidR="002B18F9" w:rsidRPr="00B92499" w:rsidRDefault="002B18F9" w:rsidP="009F64B5">
      <w:pPr>
        <w:pStyle w:val="Ttulo3"/>
        <w:numPr>
          <w:ilvl w:val="2"/>
          <w:numId w:val="8"/>
        </w:numPr>
        <w:contextualSpacing/>
        <w:rPr>
          <w:rFonts w:ascii="Arial" w:hAnsi="Arial" w:cs="Arial"/>
          <w:b/>
          <w:color w:val="auto"/>
        </w:rPr>
      </w:pPr>
      <w:bookmarkStart w:id="22" w:name="_Toc23252978"/>
      <w:r w:rsidRPr="00B92499">
        <w:rPr>
          <w:rFonts w:ascii="Arial" w:hAnsi="Arial" w:cs="Arial"/>
          <w:b/>
          <w:color w:val="auto"/>
        </w:rPr>
        <w:t>Análisis global de cumplimiento de los Órganos Desconcentrados</w:t>
      </w:r>
      <w:bookmarkEnd w:id="22"/>
    </w:p>
    <w:p w14:paraId="275AC2B4" w14:textId="77777777" w:rsidR="002B18F9" w:rsidRPr="00B92499" w:rsidRDefault="002B18F9" w:rsidP="002B18F9">
      <w:pPr>
        <w:spacing w:before="100" w:beforeAutospacing="1" w:after="100" w:afterAutospacing="1" w:line="360" w:lineRule="auto"/>
        <w:contextualSpacing/>
        <w:jc w:val="both"/>
        <w:rPr>
          <w:rFonts w:ascii="Arial" w:hAnsi="Arial" w:cs="Arial"/>
          <w:u w:val="single"/>
        </w:rPr>
      </w:pPr>
      <w:r w:rsidRPr="00B92499">
        <w:rPr>
          <w:rFonts w:ascii="Arial" w:hAnsi="Arial" w:cs="Arial"/>
          <w:u w:val="single"/>
        </w:rPr>
        <w:t xml:space="preserve">Índices Globales de Cumplimiento </w:t>
      </w:r>
    </w:p>
    <w:p w14:paraId="5FEC48E2" w14:textId="77777777" w:rsidR="002B18F9" w:rsidRPr="00B92499" w:rsidRDefault="002B18F9" w:rsidP="002B18F9">
      <w:pPr>
        <w:spacing w:before="100" w:beforeAutospacing="1" w:after="100" w:afterAutospacing="1" w:line="360" w:lineRule="auto"/>
        <w:contextualSpacing/>
        <w:jc w:val="both"/>
        <w:rPr>
          <w:rFonts w:ascii="Arial" w:hAnsi="Arial" w:cs="Arial"/>
        </w:rPr>
      </w:pPr>
    </w:p>
    <w:p w14:paraId="06B4E99C" w14:textId="68A2B2A5" w:rsidR="002B18F9" w:rsidRPr="00B92499" w:rsidRDefault="002B18F9" w:rsidP="002B18F9">
      <w:pPr>
        <w:spacing w:before="100" w:beforeAutospacing="1" w:after="100" w:afterAutospacing="1" w:line="360" w:lineRule="auto"/>
        <w:contextualSpacing/>
        <w:jc w:val="both"/>
        <w:rPr>
          <w:rFonts w:ascii="Arial" w:hAnsi="Arial" w:cs="Arial"/>
        </w:rPr>
      </w:pPr>
      <w:r w:rsidRPr="00B92499">
        <w:rPr>
          <w:rFonts w:ascii="Arial" w:hAnsi="Arial" w:cs="Arial"/>
        </w:rPr>
        <w:t xml:space="preserve">Con relación al IGOT, la calificación más alta fue de 100% y las más baja de 7.71%; obteniendo este orden de gobierno una calificación promedio de 66.72%. Un </w:t>
      </w:r>
      <w:r w:rsidR="008710F6" w:rsidRPr="00B92499">
        <w:rPr>
          <w:rFonts w:ascii="Arial" w:hAnsi="Arial" w:cs="Arial"/>
        </w:rPr>
        <w:t>sujeto obligado</w:t>
      </w:r>
      <w:r w:rsidRPr="00B92499">
        <w:rPr>
          <w:rFonts w:ascii="Arial" w:hAnsi="Arial" w:cs="Arial"/>
        </w:rPr>
        <w:t xml:space="preserve"> obtuvo un cumplimiento total,</w:t>
      </w:r>
      <w:r w:rsidR="000D67A7" w:rsidRPr="00B92499">
        <w:rPr>
          <w:rFonts w:ascii="Arial" w:hAnsi="Arial" w:cs="Arial"/>
        </w:rPr>
        <w:t xml:space="preserve"> 4 </w:t>
      </w:r>
      <w:r w:rsidR="008710F6" w:rsidRPr="00B92499">
        <w:rPr>
          <w:rFonts w:ascii="Arial" w:hAnsi="Arial" w:cs="Arial"/>
        </w:rPr>
        <w:t>sujeto</w:t>
      </w:r>
      <w:r w:rsidRPr="00B92499">
        <w:rPr>
          <w:rFonts w:ascii="Arial" w:hAnsi="Arial" w:cs="Arial"/>
        </w:rPr>
        <w:t>s obligado obtuvieron un cumplimento parcial entre 84.81% y 89.57% y</w:t>
      </w:r>
      <w:r w:rsidR="000D67A7" w:rsidRPr="00B92499">
        <w:rPr>
          <w:rFonts w:ascii="Arial" w:hAnsi="Arial" w:cs="Arial"/>
        </w:rPr>
        <w:t xml:space="preserve"> 3 </w:t>
      </w:r>
      <w:r w:rsidR="008710F6" w:rsidRPr="00B92499">
        <w:rPr>
          <w:rFonts w:ascii="Arial" w:hAnsi="Arial" w:cs="Arial"/>
        </w:rPr>
        <w:t>sujeto</w:t>
      </w:r>
      <w:r w:rsidRPr="00B92499">
        <w:rPr>
          <w:rFonts w:ascii="Arial" w:hAnsi="Arial" w:cs="Arial"/>
        </w:rPr>
        <w:t>s obligado obtuvieron un incumplimiento parcial entre 7.71% y 42.27%.</w:t>
      </w:r>
    </w:p>
    <w:p w14:paraId="6572C18A" w14:textId="77777777" w:rsidR="002B18F9" w:rsidRPr="00B92499" w:rsidRDefault="002B18F9" w:rsidP="002B18F9">
      <w:pPr>
        <w:spacing w:before="100" w:beforeAutospacing="1" w:after="100" w:afterAutospacing="1" w:line="360" w:lineRule="auto"/>
        <w:contextualSpacing/>
        <w:jc w:val="both"/>
        <w:rPr>
          <w:rFonts w:ascii="Arial" w:hAnsi="Arial" w:cs="Arial"/>
        </w:rPr>
      </w:pPr>
    </w:p>
    <w:p w14:paraId="7E77A9FD" w14:textId="50903122" w:rsidR="002B18F9" w:rsidRPr="00B92499" w:rsidRDefault="002B18F9" w:rsidP="002B18F9">
      <w:pPr>
        <w:spacing w:before="100" w:beforeAutospacing="1" w:after="100" w:afterAutospacing="1" w:line="360" w:lineRule="auto"/>
        <w:contextualSpacing/>
        <w:jc w:val="both"/>
        <w:rPr>
          <w:rFonts w:ascii="Arial" w:hAnsi="Arial" w:cs="Arial"/>
        </w:rPr>
      </w:pPr>
      <w:r w:rsidRPr="00B92499">
        <w:rPr>
          <w:rFonts w:ascii="Arial" w:hAnsi="Arial" w:cs="Arial"/>
        </w:rPr>
        <w:t xml:space="preserve">En este orden de gobierno existe un grado de cumplimiento de 66.72% en lo que respecta a la publicación general de la información, 70.79% sobre la publicación en la PNT y 62.64% en los portales institucionales de los </w:t>
      </w:r>
      <w:r w:rsidR="008710F6" w:rsidRPr="00B92499">
        <w:rPr>
          <w:rFonts w:ascii="Arial" w:hAnsi="Arial" w:cs="Arial"/>
        </w:rPr>
        <w:t>sujeto</w:t>
      </w:r>
      <w:r w:rsidRPr="00B92499">
        <w:rPr>
          <w:rFonts w:ascii="Arial" w:hAnsi="Arial" w:cs="Arial"/>
        </w:rPr>
        <w:t xml:space="preserve">s </w:t>
      </w:r>
      <w:r w:rsidR="008710F6" w:rsidRPr="00B92499">
        <w:rPr>
          <w:rFonts w:ascii="Arial" w:hAnsi="Arial" w:cs="Arial"/>
        </w:rPr>
        <w:t>obligado</w:t>
      </w:r>
      <w:r w:rsidRPr="00B92499">
        <w:rPr>
          <w:rFonts w:ascii="Arial" w:hAnsi="Arial" w:cs="Arial"/>
        </w:rPr>
        <w:t xml:space="preserve">s. </w:t>
      </w:r>
    </w:p>
    <w:p w14:paraId="4FC14D77" w14:textId="77777777" w:rsidR="002B18F9" w:rsidRPr="00B92499" w:rsidRDefault="002B18F9" w:rsidP="002B18F9">
      <w:pPr>
        <w:spacing w:before="100" w:beforeAutospacing="1" w:after="100" w:afterAutospacing="1" w:line="360" w:lineRule="auto"/>
        <w:contextualSpacing/>
        <w:jc w:val="both"/>
        <w:rPr>
          <w:rFonts w:ascii="Arial" w:hAnsi="Arial" w:cs="Arial"/>
        </w:rPr>
      </w:pPr>
    </w:p>
    <w:p w14:paraId="45C5A021" w14:textId="5CE67379" w:rsidR="002B18F9" w:rsidRPr="00B92499" w:rsidRDefault="002B18F9" w:rsidP="002B18F9">
      <w:pPr>
        <w:spacing w:before="100" w:beforeAutospacing="1" w:after="100" w:afterAutospacing="1" w:line="360" w:lineRule="auto"/>
        <w:contextualSpacing/>
        <w:jc w:val="both"/>
        <w:rPr>
          <w:rFonts w:ascii="Arial" w:hAnsi="Arial" w:cs="Arial"/>
        </w:rPr>
      </w:pPr>
      <w:r w:rsidRPr="00B92499">
        <w:rPr>
          <w:rFonts w:ascii="Arial" w:hAnsi="Arial" w:cs="Arial"/>
        </w:rPr>
        <w:t>No obstante, el grado de cumplimiento anteriormente señalado respecto del ámbito de l</w:t>
      </w:r>
      <w:r w:rsidR="009F734B" w:rsidRPr="00B92499">
        <w:rPr>
          <w:rFonts w:ascii="Arial" w:hAnsi="Arial" w:cs="Arial"/>
        </w:rPr>
        <w:t>os</w:t>
      </w:r>
      <w:r w:rsidRPr="00B92499">
        <w:rPr>
          <w:rFonts w:ascii="Arial" w:hAnsi="Arial" w:cs="Arial"/>
        </w:rPr>
        <w:t xml:space="preserve"> Órganos Desconcentrados está conformado por el índice de cumplimiento respecto de la información que se encuentra pública y actualizada tanto en los Portales de Internet Institucionales como en la Plataforma Nacional de Transparencia y el índice de cumplimiento respecto del cumplimiento de lo mandatado en las obligaciones de transparencia a través de la publicación de una nota fundada y motivada que aclara el por qué no se generó, publicó o actualizó la información. </w:t>
      </w:r>
    </w:p>
    <w:p w14:paraId="499CD9EB" w14:textId="77777777" w:rsidR="002B18F9" w:rsidRPr="00B92499" w:rsidRDefault="002B18F9" w:rsidP="002B18F9">
      <w:pPr>
        <w:spacing w:before="100" w:beforeAutospacing="1" w:after="100" w:afterAutospacing="1" w:line="360" w:lineRule="auto"/>
        <w:contextualSpacing/>
        <w:jc w:val="both"/>
        <w:rPr>
          <w:rFonts w:ascii="Arial" w:hAnsi="Arial" w:cs="Arial"/>
        </w:rPr>
      </w:pPr>
    </w:p>
    <w:p w14:paraId="2160F499" w14:textId="77777777" w:rsidR="002B18F9" w:rsidRPr="00B92499" w:rsidRDefault="002B18F9" w:rsidP="002B18F9">
      <w:pPr>
        <w:spacing w:before="100" w:beforeAutospacing="1" w:after="100" w:afterAutospacing="1" w:line="360" w:lineRule="auto"/>
        <w:contextualSpacing/>
        <w:jc w:val="both"/>
        <w:rPr>
          <w:rFonts w:ascii="Arial" w:hAnsi="Arial" w:cs="Arial"/>
        </w:rPr>
      </w:pPr>
      <w:r w:rsidRPr="00B92499">
        <w:rPr>
          <w:rFonts w:ascii="Arial" w:hAnsi="Arial" w:cs="Arial"/>
        </w:rPr>
        <w:t xml:space="preserve">El grado de cumplimiento de este ámbito, consistente en 66.72% está integrado por 65.55% de información publicada y actualizada en atención a los principios </w:t>
      </w:r>
      <w:r w:rsidRPr="00B92499">
        <w:rPr>
          <w:rFonts w:ascii="Arial" w:hAnsi="Arial" w:cs="Arial"/>
        </w:rPr>
        <w:lastRenderedPageBreak/>
        <w:t xml:space="preserve">mandatados en la Ley de Transparencia Local y un 1.17% que corresponde a notas aclaratorias. </w:t>
      </w:r>
    </w:p>
    <w:p w14:paraId="1F945E76" w14:textId="77777777" w:rsidR="002B18F9" w:rsidRPr="00B92499" w:rsidRDefault="002B18F9" w:rsidP="002B18F9">
      <w:pPr>
        <w:spacing w:before="100" w:beforeAutospacing="1" w:after="100" w:afterAutospacing="1" w:line="360" w:lineRule="auto"/>
        <w:contextualSpacing/>
        <w:jc w:val="both"/>
        <w:rPr>
          <w:rFonts w:ascii="Arial" w:hAnsi="Arial" w:cs="Arial"/>
        </w:rPr>
      </w:pPr>
    </w:p>
    <w:p w14:paraId="19F89648" w14:textId="4F0B983B" w:rsidR="002B18F9" w:rsidRPr="00B92499" w:rsidRDefault="002B18F9" w:rsidP="002B18F9">
      <w:pPr>
        <w:spacing w:before="100" w:beforeAutospacing="1" w:after="100" w:afterAutospacing="1" w:line="360" w:lineRule="auto"/>
        <w:contextualSpacing/>
        <w:jc w:val="both"/>
        <w:rPr>
          <w:rFonts w:ascii="Arial" w:hAnsi="Arial" w:cs="Arial"/>
          <w:u w:val="single"/>
        </w:rPr>
      </w:pPr>
      <w:r w:rsidRPr="00B92499">
        <w:rPr>
          <w:rFonts w:ascii="Arial" w:hAnsi="Arial" w:cs="Arial"/>
          <w:u w:val="single"/>
        </w:rPr>
        <w:t xml:space="preserve">Cumplimiento diferenciado por </w:t>
      </w:r>
      <w:r w:rsidR="008F67E4" w:rsidRPr="00B92499">
        <w:rPr>
          <w:rFonts w:ascii="Arial" w:hAnsi="Arial" w:cs="Arial"/>
          <w:u w:val="single"/>
        </w:rPr>
        <w:t>artículo</w:t>
      </w:r>
      <w:r w:rsidRPr="00B92499">
        <w:rPr>
          <w:rFonts w:ascii="Arial" w:hAnsi="Arial" w:cs="Arial"/>
          <w:u w:val="single"/>
        </w:rPr>
        <w:t xml:space="preserve">s </w:t>
      </w:r>
    </w:p>
    <w:p w14:paraId="70AA1195" w14:textId="77777777" w:rsidR="002B18F9" w:rsidRPr="00B92499" w:rsidRDefault="002B18F9" w:rsidP="002B18F9">
      <w:pPr>
        <w:spacing w:before="100" w:beforeAutospacing="1" w:after="100" w:afterAutospacing="1" w:line="360" w:lineRule="auto"/>
        <w:contextualSpacing/>
        <w:jc w:val="both"/>
        <w:rPr>
          <w:rFonts w:ascii="Arial" w:hAnsi="Arial" w:cs="Arial"/>
          <w:u w:val="single"/>
        </w:rPr>
      </w:pPr>
    </w:p>
    <w:p w14:paraId="477181A1" w14:textId="77777777" w:rsidR="002B18F9" w:rsidRPr="00B92499" w:rsidRDefault="002B18F9" w:rsidP="002B18F9">
      <w:pPr>
        <w:spacing w:before="100" w:beforeAutospacing="1" w:after="100" w:afterAutospacing="1" w:line="360" w:lineRule="auto"/>
        <w:contextualSpacing/>
        <w:jc w:val="both"/>
        <w:rPr>
          <w:rFonts w:ascii="Arial" w:hAnsi="Arial" w:cs="Arial"/>
        </w:rPr>
      </w:pPr>
      <w:r w:rsidRPr="00B92499">
        <w:rPr>
          <w:rFonts w:ascii="Arial" w:hAnsi="Arial" w:cs="Arial"/>
        </w:rPr>
        <w:t xml:space="preserve">Con relación al tipo de obligaciones de transparencia, este orden de gobierno del ámbito ejecutivo ha cumplido parcialmente en la publicación y actualización de sus obligaciones comunes, específicas y disposiciones particulares; obteniendo un promedio de cumplimiento de 65.52%, 22.77% y 81.96% respectivamente. De lo anterior, se puede constatar que este ámbito se encuentra en un incumplimiento parcial en lo que respecta a los artículos que hacen referencia a las obligaciones de transparencia específicas. </w:t>
      </w:r>
    </w:p>
    <w:p w14:paraId="6886EB1B" w14:textId="77777777" w:rsidR="002B18F9" w:rsidRPr="00B92499" w:rsidRDefault="002B18F9" w:rsidP="002B18F9">
      <w:pPr>
        <w:spacing w:before="100" w:beforeAutospacing="1" w:after="100" w:afterAutospacing="1" w:line="360" w:lineRule="auto"/>
        <w:contextualSpacing/>
        <w:jc w:val="both"/>
        <w:rPr>
          <w:rFonts w:ascii="Arial" w:hAnsi="Arial" w:cs="Arial"/>
        </w:rPr>
      </w:pPr>
    </w:p>
    <w:p w14:paraId="1AF6610C" w14:textId="22D9B575" w:rsidR="002B18F9" w:rsidRPr="00B92499" w:rsidRDefault="002B18F9" w:rsidP="002B18F9">
      <w:pPr>
        <w:spacing w:before="100" w:beforeAutospacing="1" w:after="100" w:afterAutospacing="1" w:line="360" w:lineRule="auto"/>
        <w:contextualSpacing/>
        <w:jc w:val="both"/>
        <w:rPr>
          <w:rFonts w:ascii="Arial" w:hAnsi="Arial" w:cs="Arial"/>
        </w:rPr>
      </w:pPr>
      <w:r w:rsidRPr="00B92499">
        <w:rPr>
          <w:rFonts w:ascii="Arial" w:hAnsi="Arial" w:cs="Arial"/>
        </w:rPr>
        <w:t>En esta misma línea, el artículo 145 tuvo un ICP de 98.44</w:t>
      </w:r>
      <w:r w:rsidR="00D4670A" w:rsidRPr="00B92499">
        <w:rPr>
          <w:rFonts w:ascii="Arial" w:hAnsi="Arial" w:cs="Arial"/>
        </w:rPr>
        <w:t>%</w:t>
      </w:r>
      <w:r w:rsidRPr="00B92499">
        <w:rPr>
          <w:rFonts w:ascii="Arial" w:hAnsi="Arial" w:cs="Arial"/>
        </w:rPr>
        <w:t xml:space="preserve">, el artículo 147 alcanzó un ICP de 82.50%, el artículo 143 obtuvo ICP de 78.44%, el artículo 146 logró un ICP de 68.48%, el artículo 123 tuvo un ICP de 68.31%, el artículo 121 logró un ICP de 65.52% y, por último, los artículos 135 y 136 obtuvieron un incumplimiento total. </w:t>
      </w:r>
    </w:p>
    <w:p w14:paraId="78F5D4F5" w14:textId="77777777" w:rsidR="002B18F9" w:rsidRPr="00B92499" w:rsidRDefault="002B18F9" w:rsidP="002B18F9">
      <w:pPr>
        <w:spacing w:before="100" w:beforeAutospacing="1" w:after="100" w:afterAutospacing="1" w:line="360" w:lineRule="auto"/>
        <w:contextualSpacing/>
        <w:jc w:val="both"/>
        <w:rPr>
          <w:rFonts w:ascii="Arial" w:hAnsi="Arial" w:cs="Arial"/>
        </w:rPr>
      </w:pPr>
    </w:p>
    <w:p w14:paraId="09F7C5C6" w14:textId="77777777" w:rsidR="002B18F9" w:rsidRPr="00B92499" w:rsidRDefault="002B18F9" w:rsidP="002B18F9">
      <w:pPr>
        <w:spacing w:before="100" w:beforeAutospacing="1" w:after="100" w:afterAutospacing="1" w:line="360" w:lineRule="auto"/>
        <w:contextualSpacing/>
        <w:jc w:val="both"/>
        <w:rPr>
          <w:rFonts w:ascii="Arial" w:hAnsi="Arial" w:cs="Arial"/>
        </w:rPr>
      </w:pPr>
      <w:r w:rsidRPr="00B92499">
        <w:rPr>
          <w:rFonts w:ascii="Arial" w:hAnsi="Arial" w:cs="Arial"/>
        </w:rPr>
        <w:t xml:space="preserve">De igual forma, respecto de cada uno de los artículos que conforman el índice global, el ICP del artículo 121 está compuesto por 1.93%% de notas aclaratorias, el ICP del artículo 123 por 0.05% de notas, el ICP del artículo 146 por 8.56% de notas, el ICP del artículo 147 por 10.31% de notas y los ICPs de los artículos 135, 136, 143 y 145 no tuvieron cambio alguno, debido a que no fueron utilizadas notas aclaratorias.  </w:t>
      </w:r>
    </w:p>
    <w:p w14:paraId="016AFFB2" w14:textId="77777777" w:rsidR="002B18F9" w:rsidRPr="00B92499" w:rsidRDefault="002B18F9" w:rsidP="002B18F9">
      <w:pPr>
        <w:spacing w:before="100" w:beforeAutospacing="1" w:after="100" w:afterAutospacing="1" w:line="360" w:lineRule="auto"/>
        <w:contextualSpacing/>
        <w:jc w:val="both"/>
        <w:rPr>
          <w:rFonts w:ascii="Arial" w:hAnsi="Arial" w:cs="Arial"/>
        </w:rPr>
      </w:pPr>
    </w:p>
    <w:p w14:paraId="00DFFD13" w14:textId="0ADBFD5B" w:rsidR="002B18F9" w:rsidRPr="00B92499" w:rsidRDefault="002B18F9" w:rsidP="009F64B5">
      <w:pPr>
        <w:pStyle w:val="Ttulo3"/>
        <w:numPr>
          <w:ilvl w:val="2"/>
          <w:numId w:val="8"/>
        </w:numPr>
        <w:contextualSpacing/>
        <w:rPr>
          <w:rFonts w:ascii="Arial" w:hAnsi="Arial" w:cs="Arial"/>
          <w:b/>
          <w:color w:val="auto"/>
        </w:rPr>
      </w:pPr>
      <w:bookmarkStart w:id="23" w:name="_Toc23252979"/>
      <w:r w:rsidRPr="00B92499">
        <w:rPr>
          <w:rFonts w:ascii="Arial" w:hAnsi="Arial" w:cs="Arial"/>
          <w:b/>
          <w:color w:val="auto"/>
        </w:rPr>
        <w:t xml:space="preserve">Análisis del </w:t>
      </w:r>
      <w:r w:rsidR="008F67E4" w:rsidRPr="00B92499">
        <w:rPr>
          <w:rFonts w:ascii="Arial" w:hAnsi="Arial" w:cs="Arial"/>
          <w:b/>
          <w:color w:val="auto"/>
        </w:rPr>
        <w:t>artículo</w:t>
      </w:r>
      <w:r w:rsidRPr="00B92499">
        <w:rPr>
          <w:rFonts w:ascii="Arial" w:hAnsi="Arial" w:cs="Arial"/>
          <w:b/>
          <w:color w:val="auto"/>
        </w:rPr>
        <w:t xml:space="preserve"> 121 y sus respectivas fracciones</w:t>
      </w:r>
      <w:bookmarkEnd w:id="23"/>
    </w:p>
    <w:p w14:paraId="2BFC783A" w14:textId="77777777" w:rsidR="002B18F9" w:rsidRPr="00B92499" w:rsidRDefault="002B18F9" w:rsidP="002B18F9">
      <w:pPr>
        <w:rPr>
          <w:rFonts w:ascii="Arial" w:hAnsi="Arial" w:cs="Arial"/>
        </w:rPr>
      </w:pPr>
    </w:p>
    <w:p w14:paraId="0F9D2280" w14:textId="1F800B2F" w:rsidR="002B18F9" w:rsidRPr="00B92499" w:rsidRDefault="002B18F9" w:rsidP="002B18F9">
      <w:pPr>
        <w:spacing w:before="100" w:beforeAutospacing="1" w:after="100" w:afterAutospacing="1" w:line="360" w:lineRule="auto"/>
        <w:contextualSpacing/>
        <w:jc w:val="both"/>
        <w:rPr>
          <w:rFonts w:ascii="Arial" w:hAnsi="Arial" w:cs="Arial"/>
        </w:rPr>
      </w:pPr>
      <w:r w:rsidRPr="00B92499">
        <w:rPr>
          <w:rFonts w:ascii="Arial" w:hAnsi="Arial" w:cs="Arial"/>
        </w:rPr>
        <w:t xml:space="preserve">Los </w:t>
      </w:r>
      <w:r w:rsidR="008710F6" w:rsidRPr="00B92499">
        <w:rPr>
          <w:rFonts w:ascii="Arial" w:hAnsi="Arial" w:cs="Arial"/>
        </w:rPr>
        <w:t>sujeto</w:t>
      </w:r>
      <w:r w:rsidRPr="00B92499">
        <w:rPr>
          <w:rFonts w:ascii="Arial" w:hAnsi="Arial" w:cs="Arial"/>
        </w:rPr>
        <w:t xml:space="preserve">s </w:t>
      </w:r>
      <w:r w:rsidR="008710F6" w:rsidRPr="00B92499">
        <w:rPr>
          <w:rFonts w:ascii="Arial" w:hAnsi="Arial" w:cs="Arial"/>
        </w:rPr>
        <w:t>obligado</w:t>
      </w:r>
      <w:r w:rsidRPr="00B92499">
        <w:rPr>
          <w:rFonts w:ascii="Arial" w:hAnsi="Arial" w:cs="Arial"/>
        </w:rPr>
        <w:t xml:space="preserve">s de los órganos desconcentrados obtuvieron un ICP de 65.52%, por lo que se encuentran dentro del área de cumplimiento parcial. En la misma línea, un </w:t>
      </w:r>
      <w:r w:rsidR="008710F6" w:rsidRPr="00B92499">
        <w:rPr>
          <w:rFonts w:ascii="Arial" w:hAnsi="Arial" w:cs="Arial"/>
        </w:rPr>
        <w:t>sujeto obligado</w:t>
      </w:r>
      <w:r w:rsidRPr="00B92499">
        <w:rPr>
          <w:rFonts w:ascii="Arial" w:hAnsi="Arial" w:cs="Arial"/>
        </w:rPr>
        <w:t xml:space="preserve"> obtuvo un cumplimiento total,</w:t>
      </w:r>
      <w:r w:rsidR="000D67A7" w:rsidRPr="00B92499">
        <w:rPr>
          <w:rFonts w:ascii="Arial" w:hAnsi="Arial" w:cs="Arial"/>
        </w:rPr>
        <w:t xml:space="preserve"> 4 </w:t>
      </w:r>
      <w:r w:rsidRPr="00B92499">
        <w:rPr>
          <w:rFonts w:ascii="Arial" w:hAnsi="Arial" w:cs="Arial"/>
        </w:rPr>
        <w:t xml:space="preserve">obtuvieron un </w:t>
      </w:r>
      <w:r w:rsidRPr="00B92499">
        <w:rPr>
          <w:rFonts w:ascii="Arial" w:hAnsi="Arial" w:cs="Arial"/>
        </w:rPr>
        <w:lastRenderedPageBreak/>
        <w:t>cumplimiento parcial entre 90.15% y 85.69% y</w:t>
      </w:r>
      <w:r w:rsidR="000D67A7" w:rsidRPr="00B92499">
        <w:rPr>
          <w:rFonts w:ascii="Arial" w:hAnsi="Arial" w:cs="Arial"/>
        </w:rPr>
        <w:t xml:space="preserve"> 3 </w:t>
      </w:r>
      <w:r w:rsidR="008710F6" w:rsidRPr="00B92499">
        <w:rPr>
          <w:rFonts w:ascii="Arial" w:hAnsi="Arial" w:cs="Arial"/>
        </w:rPr>
        <w:t>sujeto</w:t>
      </w:r>
      <w:r w:rsidRPr="00B92499">
        <w:rPr>
          <w:rFonts w:ascii="Arial" w:hAnsi="Arial" w:cs="Arial"/>
        </w:rPr>
        <w:t xml:space="preserve">s tuvieron un incumplimiento parcial entre 5.5% y 41.18%. </w:t>
      </w:r>
    </w:p>
    <w:p w14:paraId="1A413007" w14:textId="77777777" w:rsidR="002B18F9" w:rsidRPr="00B92499" w:rsidRDefault="002B18F9" w:rsidP="002B18F9">
      <w:pPr>
        <w:spacing w:before="100" w:beforeAutospacing="1" w:after="100" w:afterAutospacing="1" w:line="360" w:lineRule="auto"/>
        <w:contextualSpacing/>
        <w:jc w:val="both"/>
        <w:rPr>
          <w:rFonts w:ascii="Arial" w:hAnsi="Arial" w:cs="Arial"/>
        </w:rPr>
      </w:pPr>
    </w:p>
    <w:p w14:paraId="51DC3C1E" w14:textId="09F7C091" w:rsidR="002B18F9" w:rsidRPr="00B92499" w:rsidRDefault="002B18F9" w:rsidP="002B18F9">
      <w:pPr>
        <w:spacing w:before="100" w:beforeAutospacing="1" w:after="100" w:afterAutospacing="1" w:line="360" w:lineRule="auto"/>
        <w:contextualSpacing/>
        <w:jc w:val="both"/>
        <w:rPr>
          <w:rFonts w:ascii="Arial" w:hAnsi="Arial" w:cs="Arial"/>
        </w:rPr>
      </w:pPr>
      <w:r w:rsidRPr="00B92499">
        <w:rPr>
          <w:rFonts w:ascii="Arial" w:hAnsi="Arial" w:cs="Arial"/>
        </w:rPr>
        <w:t xml:space="preserve">De igual forma, respecto de las 54 fracciones que integran este artículo, 21 fracciones se encuentran situadas en un incumplimiento parcial entre 46.22% y 59.95%, 31 fracciones en un cumplimiento parcial entre 60.76% y 97.19% y </w:t>
      </w:r>
      <w:r w:rsidR="000D67A7" w:rsidRPr="00B92499">
        <w:rPr>
          <w:rFonts w:ascii="Arial" w:hAnsi="Arial" w:cs="Arial"/>
        </w:rPr>
        <w:t>2</w:t>
      </w:r>
      <w:r w:rsidRPr="00B92499">
        <w:rPr>
          <w:rFonts w:ascii="Arial" w:hAnsi="Arial" w:cs="Arial"/>
        </w:rPr>
        <w:t xml:space="preserve"> fracciones con un cumplimiento total.</w:t>
      </w:r>
    </w:p>
    <w:p w14:paraId="08FB3C9B" w14:textId="77777777" w:rsidR="002B18F9" w:rsidRPr="00B92499" w:rsidRDefault="002B18F9" w:rsidP="002B18F9">
      <w:pPr>
        <w:spacing w:before="100" w:beforeAutospacing="1" w:after="100" w:afterAutospacing="1" w:line="360" w:lineRule="auto"/>
        <w:contextualSpacing/>
        <w:jc w:val="both"/>
        <w:rPr>
          <w:rFonts w:ascii="Arial" w:hAnsi="Arial" w:cs="Arial"/>
        </w:rPr>
      </w:pPr>
    </w:p>
    <w:p w14:paraId="2950BF1B" w14:textId="269DD171" w:rsidR="002B18F9" w:rsidRPr="00B92499" w:rsidRDefault="002B18F9" w:rsidP="002B18F9">
      <w:pPr>
        <w:spacing w:before="100" w:beforeAutospacing="1" w:after="100" w:afterAutospacing="1" w:line="360" w:lineRule="auto"/>
        <w:contextualSpacing/>
        <w:jc w:val="both"/>
        <w:rPr>
          <w:rFonts w:ascii="Arial" w:hAnsi="Arial" w:cs="Arial"/>
        </w:rPr>
      </w:pPr>
      <w:r w:rsidRPr="00B92499">
        <w:rPr>
          <w:rFonts w:ascii="Arial" w:hAnsi="Arial" w:cs="Arial"/>
        </w:rPr>
        <w:t>La</w:t>
      </w:r>
      <w:r w:rsidR="009F734B" w:rsidRPr="00B92499">
        <w:rPr>
          <w:rFonts w:ascii="Arial" w:hAnsi="Arial" w:cs="Arial"/>
        </w:rPr>
        <w:t>s</w:t>
      </w:r>
      <w:r w:rsidR="000D67A7" w:rsidRPr="00B92499">
        <w:rPr>
          <w:rFonts w:ascii="Arial" w:hAnsi="Arial" w:cs="Arial"/>
        </w:rPr>
        <w:t xml:space="preserve"> 5</w:t>
      </w:r>
      <w:r w:rsidRPr="00B92499">
        <w:rPr>
          <w:rFonts w:ascii="Arial" w:hAnsi="Arial" w:cs="Arial"/>
        </w:rPr>
        <w:t xml:space="preserve"> fracciones que tienen mayor área de oportunidad, ya que se colocaron en un incumplimiento parcial entre 46.22% y 50.16% son las siguientes: </w:t>
      </w:r>
    </w:p>
    <w:p w14:paraId="19C03C83" w14:textId="77777777" w:rsidR="002B18F9" w:rsidRPr="00B92499" w:rsidRDefault="002B18F9" w:rsidP="002B18F9">
      <w:pPr>
        <w:pStyle w:val="Prrafodelista"/>
        <w:numPr>
          <w:ilvl w:val="0"/>
          <w:numId w:val="2"/>
        </w:numPr>
        <w:spacing w:line="360" w:lineRule="auto"/>
        <w:jc w:val="both"/>
        <w:rPr>
          <w:rFonts w:ascii="Arial" w:hAnsi="Arial" w:cs="Arial"/>
          <w:sz w:val="24"/>
          <w:szCs w:val="24"/>
          <w:lang w:val="es-ES_tradnl"/>
        </w:rPr>
      </w:pPr>
      <w:r w:rsidRPr="00B92499">
        <w:rPr>
          <w:rFonts w:ascii="Arial" w:hAnsi="Arial" w:cs="Arial"/>
          <w:sz w:val="24"/>
          <w:szCs w:val="24"/>
          <w:lang w:val="es-ES_tradnl"/>
        </w:rPr>
        <w:t>Fracción L, con un ICP de 46.22%, en la cual se mandata la publicación de la calendarización, minutas y actas de las reuniones públicas de los consejos, colegiados, gabinetes, sesiones plenarias, comités, comisiones, entre otros. El área de oportunidad de los Órganos Desconcentrados respecto de esta fracción es publicar y actualizar al segundo trimestre del año 2019 la información anteriormente señalada.</w:t>
      </w:r>
    </w:p>
    <w:p w14:paraId="7EDE2EEC" w14:textId="77777777" w:rsidR="002B18F9" w:rsidRPr="00B92499" w:rsidRDefault="002B18F9" w:rsidP="002B18F9">
      <w:pPr>
        <w:pStyle w:val="Prrafodelista"/>
        <w:numPr>
          <w:ilvl w:val="0"/>
          <w:numId w:val="2"/>
        </w:numPr>
        <w:spacing w:line="360" w:lineRule="auto"/>
        <w:jc w:val="both"/>
        <w:rPr>
          <w:rFonts w:ascii="Arial" w:hAnsi="Arial" w:cs="Arial"/>
          <w:sz w:val="24"/>
          <w:szCs w:val="24"/>
          <w:lang w:val="es-ES_tradnl"/>
        </w:rPr>
      </w:pPr>
      <w:r w:rsidRPr="00B92499">
        <w:rPr>
          <w:rFonts w:ascii="Arial" w:hAnsi="Arial" w:cs="Arial"/>
          <w:sz w:val="24"/>
          <w:szCs w:val="24"/>
          <w:lang w:val="es-ES_tradnl"/>
        </w:rPr>
        <w:t xml:space="preserve">Fracción XXXIX con un ICP de 46.69%, en la cual se estipula la publicación de las resoluciones y laudos que se emitan en procesos seguidos en forma de juicio. El área de oportunidad de los Órganos Desconcentrados respecto de esta fracción es publicar y actualizar al segundo trimestre del año 2019 la información anteriormente señalada; así como verificar el correcto funcionamiento de los hipervínculos. </w:t>
      </w:r>
    </w:p>
    <w:p w14:paraId="2CBB22ED" w14:textId="77777777" w:rsidR="002B18F9" w:rsidRPr="00B92499" w:rsidRDefault="002B18F9" w:rsidP="002B18F9">
      <w:pPr>
        <w:pStyle w:val="Prrafodelista"/>
        <w:numPr>
          <w:ilvl w:val="0"/>
          <w:numId w:val="2"/>
        </w:numPr>
        <w:spacing w:line="360" w:lineRule="auto"/>
        <w:jc w:val="both"/>
        <w:rPr>
          <w:rFonts w:ascii="Arial" w:hAnsi="Arial" w:cs="Arial"/>
          <w:sz w:val="24"/>
          <w:szCs w:val="24"/>
          <w:lang w:val="es-ES_tradnl"/>
        </w:rPr>
      </w:pPr>
      <w:r w:rsidRPr="00B92499">
        <w:rPr>
          <w:rFonts w:ascii="Arial" w:hAnsi="Arial" w:cs="Arial"/>
          <w:sz w:val="24"/>
          <w:szCs w:val="24"/>
          <w:lang w:val="es-ES_tradnl"/>
        </w:rPr>
        <w:t xml:space="preserve">Fracción XLVII con un ICP de 47.45%, en la cual se mandata la publicación de los ingresos recibidos por cualquier concepto. El área de oportunidad de los Órganos Desconcentrados respecto de esta fracción es publicar y actualizar al segundo trimestre del año 2019 la información anteriormente señalada. </w:t>
      </w:r>
    </w:p>
    <w:p w14:paraId="22379612" w14:textId="77777777" w:rsidR="002B18F9" w:rsidRPr="00B92499" w:rsidRDefault="002B18F9" w:rsidP="002B18F9">
      <w:pPr>
        <w:pStyle w:val="Prrafodelista"/>
        <w:numPr>
          <w:ilvl w:val="0"/>
          <w:numId w:val="2"/>
        </w:numPr>
        <w:spacing w:line="360" w:lineRule="auto"/>
        <w:jc w:val="both"/>
        <w:rPr>
          <w:rFonts w:ascii="Arial" w:hAnsi="Arial" w:cs="Arial"/>
          <w:sz w:val="24"/>
          <w:szCs w:val="24"/>
          <w:lang w:val="es-ES_tradnl"/>
        </w:rPr>
      </w:pPr>
      <w:r w:rsidRPr="00B92499">
        <w:rPr>
          <w:rFonts w:ascii="Arial" w:hAnsi="Arial" w:cs="Arial"/>
          <w:sz w:val="24"/>
          <w:szCs w:val="24"/>
          <w:lang w:val="es-ES_tradnl"/>
        </w:rPr>
        <w:t xml:space="preserve">Fracción XXXIII con un ICP de 49.79%, consistente en la publicación del informe de avances programáticos o presupuestales. El área de oportunidad de los Órganos Desconcentrados respecto de esta fracción es publicar y </w:t>
      </w:r>
      <w:r w:rsidRPr="00B92499">
        <w:rPr>
          <w:rFonts w:ascii="Arial" w:hAnsi="Arial" w:cs="Arial"/>
          <w:sz w:val="24"/>
          <w:szCs w:val="24"/>
          <w:lang w:val="es-ES_tradnl"/>
        </w:rPr>
        <w:lastRenderedPageBreak/>
        <w:t xml:space="preserve">actualizar al segundo trimestre del año 2019 la información anteriormente señalada. </w:t>
      </w:r>
    </w:p>
    <w:p w14:paraId="4984FE50" w14:textId="77777777" w:rsidR="002B18F9" w:rsidRPr="00B92499" w:rsidRDefault="002B18F9" w:rsidP="002B18F9">
      <w:pPr>
        <w:pStyle w:val="Prrafodelista"/>
        <w:numPr>
          <w:ilvl w:val="0"/>
          <w:numId w:val="2"/>
        </w:numPr>
        <w:spacing w:line="360" w:lineRule="auto"/>
        <w:jc w:val="both"/>
        <w:rPr>
          <w:rFonts w:ascii="Arial" w:hAnsi="Arial" w:cs="Arial"/>
          <w:sz w:val="24"/>
          <w:szCs w:val="24"/>
          <w:lang w:val="es-ES_tradnl"/>
        </w:rPr>
      </w:pPr>
      <w:r w:rsidRPr="00B92499">
        <w:rPr>
          <w:rFonts w:ascii="Arial" w:hAnsi="Arial" w:cs="Arial"/>
          <w:sz w:val="24"/>
          <w:szCs w:val="24"/>
          <w:lang w:val="es-ES_tradnl"/>
        </w:rPr>
        <w:t>Fracción LII con un ICP de 50.16%, la cual mandata la publicación de cualquier otra información que sea de utilidad o se considere relevante. El área de oportunidad de los Órganos Desconcentrados respecto de esta fracción es publicar y actualizar al segundo trimestre del año 2019 la información anteriormente señalada o en el caso de no generar la misma, fundar y motivar la no generación a través de una nota.</w:t>
      </w:r>
    </w:p>
    <w:p w14:paraId="0E1D31BC" w14:textId="0DF50DF1" w:rsidR="002B18F9" w:rsidRPr="00B92499" w:rsidRDefault="002B18F9" w:rsidP="002B18F9">
      <w:pPr>
        <w:spacing w:before="100" w:beforeAutospacing="1" w:after="100" w:afterAutospacing="1" w:line="360" w:lineRule="auto"/>
        <w:contextualSpacing/>
        <w:jc w:val="both"/>
        <w:rPr>
          <w:rFonts w:ascii="Arial" w:hAnsi="Arial" w:cs="Arial"/>
        </w:rPr>
      </w:pPr>
      <w:r w:rsidRPr="00B92499">
        <w:rPr>
          <w:rFonts w:ascii="Arial" w:hAnsi="Arial" w:cs="Arial"/>
        </w:rPr>
        <w:t xml:space="preserve">De igual forma, las </w:t>
      </w:r>
      <w:r w:rsidR="000D67A7" w:rsidRPr="00B92499">
        <w:rPr>
          <w:rFonts w:ascii="Arial" w:hAnsi="Arial" w:cs="Arial"/>
        </w:rPr>
        <w:t>2</w:t>
      </w:r>
      <w:r w:rsidRPr="00B92499">
        <w:rPr>
          <w:rFonts w:ascii="Arial" w:hAnsi="Arial" w:cs="Arial"/>
        </w:rPr>
        <w:t xml:space="preserve"> fracciones con un ICP de 100% son las que se detallan a continuación</w:t>
      </w:r>
    </w:p>
    <w:p w14:paraId="1109B7A4" w14:textId="77777777" w:rsidR="002B18F9" w:rsidRPr="00B92499" w:rsidRDefault="002B18F9" w:rsidP="002B18F9">
      <w:pPr>
        <w:pStyle w:val="Prrafodelista"/>
        <w:numPr>
          <w:ilvl w:val="0"/>
          <w:numId w:val="2"/>
        </w:numPr>
        <w:spacing w:before="100" w:beforeAutospacing="1" w:after="100" w:afterAutospacing="1" w:line="360" w:lineRule="auto"/>
        <w:jc w:val="both"/>
        <w:rPr>
          <w:rFonts w:ascii="Arial" w:hAnsi="Arial" w:cs="Arial"/>
          <w:sz w:val="24"/>
          <w:szCs w:val="24"/>
          <w:lang w:val="es-ES_tradnl"/>
        </w:rPr>
      </w:pPr>
      <w:r w:rsidRPr="00B92499">
        <w:rPr>
          <w:rFonts w:ascii="Arial" w:hAnsi="Arial" w:cs="Arial"/>
          <w:sz w:val="24"/>
          <w:szCs w:val="24"/>
          <w:lang w:val="es-ES_tradnl"/>
        </w:rPr>
        <w:t xml:space="preserve">Fracción XLVIII, consistente en la publicación de las donaciones en dinero o especie hechas por terceros. </w:t>
      </w:r>
    </w:p>
    <w:p w14:paraId="3CD6C6DA" w14:textId="77777777" w:rsidR="002B18F9" w:rsidRPr="00B92499" w:rsidRDefault="002B18F9" w:rsidP="002B18F9">
      <w:pPr>
        <w:pStyle w:val="Prrafodelista"/>
        <w:numPr>
          <w:ilvl w:val="0"/>
          <w:numId w:val="2"/>
        </w:numPr>
        <w:spacing w:before="100" w:beforeAutospacing="1" w:after="100" w:afterAutospacing="1" w:line="360" w:lineRule="auto"/>
        <w:jc w:val="both"/>
        <w:rPr>
          <w:rFonts w:ascii="Arial" w:hAnsi="Arial" w:cs="Arial"/>
          <w:sz w:val="24"/>
          <w:szCs w:val="24"/>
          <w:lang w:val="es-ES_tradnl"/>
        </w:rPr>
      </w:pPr>
      <w:r w:rsidRPr="00B92499">
        <w:rPr>
          <w:rFonts w:ascii="Arial" w:hAnsi="Arial" w:cs="Arial"/>
          <w:sz w:val="24"/>
          <w:szCs w:val="24"/>
          <w:lang w:val="es-ES_tradnl"/>
        </w:rPr>
        <w:t>Fracción LI, la cual mandata la publicación del listado de solicitudes a las empresas concesionarias de telecomunicaciones y proveedores de servicios de internet para la intervención de comunicación y la geolocalización.</w:t>
      </w:r>
    </w:p>
    <w:p w14:paraId="16975C7C" w14:textId="77777777" w:rsidR="002B18F9" w:rsidRPr="00B92499" w:rsidRDefault="002B18F9" w:rsidP="002B18F9">
      <w:pPr>
        <w:spacing w:before="100" w:beforeAutospacing="1" w:after="100" w:afterAutospacing="1" w:line="360" w:lineRule="auto"/>
        <w:jc w:val="both"/>
        <w:rPr>
          <w:rFonts w:ascii="Arial" w:hAnsi="Arial" w:cs="Arial"/>
        </w:rPr>
      </w:pPr>
      <w:r w:rsidRPr="00B92499">
        <w:rPr>
          <w:rFonts w:ascii="Arial" w:hAnsi="Arial" w:cs="Arial"/>
        </w:rPr>
        <w:t>Con el objetivo de mostrar con mayor detalle el ICP de cada fracción del artículo 121 es presentada la siguiente tabla ordenada de forma descendente.</w:t>
      </w:r>
    </w:p>
    <w:tbl>
      <w:tblPr>
        <w:tblW w:w="8927" w:type="dxa"/>
        <w:tblCellMar>
          <w:left w:w="70" w:type="dxa"/>
          <w:right w:w="70" w:type="dxa"/>
        </w:tblCellMar>
        <w:tblLook w:val="04A0" w:firstRow="1" w:lastRow="0" w:firstColumn="1" w:lastColumn="0" w:noHBand="0" w:noVBand="1"/>
      </w:tblPr>
      <w:tblGrid>
        <w:gridCol w:w="974"/>
        <w:gridCol w:w="7246"/>
        <w:gridCol w:w="707"/>
      </w:tblGrid>
      <w:tr w:rsidR="002B18F9" w:rsidRPr="00B92499" w14:paraId="3A9802DA" w14:textId="77777777" w:rsidTr="002B18F9">
        <w:trPr>
          <w:trHeight w:val="20"/>
          <w:tblHeader/>
        </w:trPr>
        <w:tc>
          <w:tcPr>
            <w:tcW w:w="8927" w:type="dxa"/>
            <w:gridSpan w:val="3"/>
            <w:tcBorders>
              <w:top w:val="single" w:sz="4" w:space="0" w:color="auto"/>
              <w:left w:val="single" w:sz="4" w:space="0" w:color="auto"/>
              <w:bottom w:val="single" w:sz="4" w:space="0" w:color="auto"/>
              <w:right w:val="single" w:sz="4" w:space="0" w:color="auto"/>
            </w:tcBorders>
            <w:shd w:val="clear" w:color="auto" w:fill="00B0F0"/>
            <w:noWrap/>
            <w:vAlign w:val="center"/>
            <w:hideMark/>
          </w:tcPr>
          <w:p w14:paraId="47C3B8DE" w14:textId="1F90A35A" w:rsidR="002B18F9" w:rsidRPr="00B92499" w:rsidRDefault="002B18F9" w:rsidP="002B18F9">
            <w:pPr>
              <w:jc w:val="center"/>
              <w:rPr>
                <w:rFonts w:ascii="Arial" w:hAnsi="Arial" w:cs="Arial"/>
                <w:b/>
                <w:bCs/>
                <w:color w:val="000000"/>
                <w:sz w:val="20"/>
                <w:szCs w:val="20"/>
              </w:rPr>
            </w:pPr>
            <w:r w:rsidRPr="00B92499">
              <w:rPr>
                <w:rFonts w:ascii="Arial" w:hAnsi="Arial" w:cs="Arial"/>
                <w:b/>
                <w:bCs/>
                <w:color w:val="000000"/>
                <w:sz w:val="20"/>
                <w:szCs w:val="20"/>
              </w:rPr>
              <w:t xml:space="preserve">Artículo 121 de las </w:t>
            </w:r>
            <w:r w:rsidR="008710F6" w:rsidRPr="00B92499">
              <w:rPr>
                <w:rFonts w:ascii="Arial" w:hAnsi="Arial" w:cs="Arial"/>
                <w:b/>
                <w:bCs/>
                <w:color w:val="000000"/>
                <w:sz w:val="20"/>
                <w:szCs w:val="20"/>
              </w:rPr>
              <w:t>obligaciones de transparencia</w:t>
            </w:r>
            <w:r w:rsidRPr="00B92499">
              <w:rPr>
                <w:rFonts w:ascii="Arial" w:hAnsi="Arial" w:cs="Arial"/>
                <w:b/>
                <w:bCs/>
                <w:color w:val="000000"/>
                <w:sz w:val="20"/>
                <w:szCs w:val="20"/>
              </w:rPr>
              <w:t xml:space="preserve"> comunes</w:t>
            </w:r>
          </w:p>
        </w:tc>
      </w:tr>
      <w:tr w:rsidR="002B18F9" w:rsidRPr="00B92499" w14:paraId="26616573" w14:textId="77777777" w:rsidTr="002B18F9">
        <w:trPr>
          <w:trHeight w:val="20"/>
          <w:tblHeader/>
        </w:trPr>
        <w:tc>
          <w:tcPr>
            <w:tcW w:w="0" w:type="auto"/>
            <w:tcBorders>
              <w:top w:val="nil"/>
              <w:left w:val="single" w:sz="4" w:space="0" w:color="auto"/>
              <w:bottom w:val="single" w:sz="4" w:space="0" w:color="auto"/>
              <w:right w:val="single" w:sz="4" w:space="0" w:color="auto"/>
            </w:tcBorders>
            <w:shd w:val="clear" w:color="auto" w:fill="00B0F0"/>
            <w:noWrap/>
            <w:vAlign w:val="center"/>
            <w:hideMark/>
          </w:tcPr>
          <w:p w14:paraId="74B235BE" w14:textId="77777777" w:rsidR="002B18F9" w:rsidRPr="00B92499" w:rsidRDefault="002B18F9" w:rsidP="002B18F9">
            <w:pPr>
              <w:jc w:val="center"/>
              <w:rPr>
                <w:rFonts w:ascii="Arial" w:hAnsi="Arial" w:cs="Arial"/>
                <w:b/>
                <w:bCs/>
                <w:color w:val="000000"/>
                <w:sz w:val="20"/>
                <w:szCs w:val="20"/>
              </w:rPr>
            </w:pPr>
            <w:r w:rsidRPr="00B92499">
              <w:rPr>
                <w:rFonts w:ascii="Arial" w:hAnsi="Arial" w:cs="Arial"/>
                <w:b/>
                <w:bCs/>
                <w:color w:val="000000"/>
                <w:sz w:val="20"/>
                <w:szCs w:val="20"/>
              </w:rPr>
              <w:t>Fracción</w:t>
            </w:r>
          </w:p>
        </w:tc>
        <w:tc>
          <w:tcPr>
            <w:tcW w:w="0" w:type="auto"/>
            <w:tcBorders>
              <w:top w:val="nil"/>
              <w:left w:val="nil"/>
              <w:bottom w:val="single" w:sz="4" w:space="0" w:color="auto"/>
              <w:right w:val="single" w:sz="4" w:space="0" w:color="auto"/>
            </w:tcBorders>
            <w:shd w:val="clear" w:color="auto" w:fill="00B0F0"/>
            <w:noWrap/>
            <w:vAlign w:val="center"/>
            <w:hideMark/>
          </w:tcPr>
          <w:p w14:paraId="73C49DFA" w14:textId="77777777" w:rsidR="002B18F9" w:rsidRPr="00B92499" w:rsidRDefault="002B18F9" w:rsidP="002B18F9">
            <w:pPr>
              <w:jc w:val="center"/>
              <w:rPr>
                <w:rFonts w:ascii="Arial" w:hAnsi="Arial" w:cs="Arial"/>
                <w:b/>
                <w:bCs/>
                <w:color w:val="000000"/>
                <w:sz w:val="20"/>
                <w:szCs w:val="20"/>
              </w:rPr>
            </w:pPr>
            <w:r w:rsidRPr="00B92499">
              <w:rPr>
                <w:rFonts w:ascii="Arial" w:hAnsi="Arial" w:cs="Arial"/>
                <w:b/>
                <w:bCs/>
                <w:color w:val="000000"/>
                <w:sz w:val="20"/>
                <w:szCs w:val="20"/>
              </w:rPr>
              <w:t>Resumen de la Fracción</w:t>
            </w:r>
          </w:p>
        </w:tc>
        <w:tc>
          <w:tcPr>
            <w:tcW w:w="770" w:type="dxa"/>
            <w:tcBorders>
              <w:top w:val="nil"/>
              <w:left w:val="nil"/>
              <w:bottom w:val="single" w:sz="4" w:space="0" w:color="auto"/>
              <w:right w:val="single" w:sz="4" w:space="0" w:color="auto"/>
            </w:tcBorders>
            <w:shd w:val="clear" w:color="auto" w:fill="00B0F0"/>
            <w:vAlign w:val="center"/>
            <w:hideMark/>
          </w:tcPr>
          <w:p w14:paraId="58ED65A6" w14:textId="77777777" w:rsidR="002B18F9" w:rsidRPr="00B92499" w:rsidRDefault="002B18F9" w:rsidP="002B18F9">
            <w:pPr>
              <w:jc w:val="center"/>
              <w:rPr>
                <w:rFonts w:ascii="Arial" w:hAnsi="Arial" w:cs="Arial"/>
                <w:b/>
                <w:bCs/>
                <w:color w:val="000000"/>
                <w:sz w:val="20"/>
                <w:szCs w:val="20"/>
              </w:rPr>
            </w:pPr>
            <w:r w:rsidRPr="00B92499">
              <w:rPr>
                <w:rFonts w:ascii="Arial" w:hAnsi="Arial" w:cs="Arial"/>
                <w:b/>
                <w:bCs/>
                <w:color w:val="000000"/>
                <w:sz w:val="20"/>
                <w:szCs w:val="20"/>
              </w:rPr>
              <w:t>ICP</w:t>
            </w:r>
          </w:p>
        </w:tc>
      </w:tr>
      <w:tr w:rsidR="002B18F9" w:rsidRPr="00B92499" w14:paraId="1F58C654" w14:textId="77777777" w:rsidTr="002B18F9">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17DC5F2" w14:textId="77777777" w:rsidR="002B18F9" w:rsidRPr="00B92499" w:rsidRDefault="002B18F9" w:rsidP="002B18F9">
            <w:pPr>
              <w:jc w:val="center"/>
              <w:rPr>
                <w:rFonts w:ascii="Arial" w:hAnsi="Arial" w:cs="Arial"/>
                <w:color w:val="000000"/>
                <w:sz w:val="20"/>
                <w:szCs w:val="20"/>
              </w:rPr>
            </w:pPr>
            <w:r w:rsidRPr="00B92499">
              <w:rPr>
                <w:rFonts w:ascii="Arial" w:hAnsi="Arial" w:cs="Arial"/>
                <w:color w:val="000000"/>
                <w:sz w:val="20"/>
                <w:szCs w:val="20"/>
              </w:rPr>
              <w:t>XLVIII</w:t>
            </w:r>
          </w:p>
        </w:tc>
        <w:tc>
          <w:tcPr>
            <w:tcW w:w="0" w:type="auto"/>
            <w:tcBorders>
              <w:top w:val="nil"/>
              <w:left w:val="nil"/>
              <w:bottom w:val="single" w:sz="4" w:space="0" w:color="auto"/>
              <w:right w:val="single" w:sz="4" w:space="0" w:color="auto"/>
            </w:tcBorders>
            <w:shd w:val="clear" w:color="auto" w:fill="auto"/>
            <w:vAlign w:val="center"/>
            <w:hideMark/>
          </w:tcPr>
          <w:p w14:paraId="511F8E3C" w14:textId="77777777" w:rsidR="002B18F9" w:rsidRPr="00B92499" w:rsidRDefault="002B18F9" w:rsidP="002B18F9">
            <w:pPr>
              <w:rPr>
                <w:rFonts w:ascii="Arial" w:hAnsi="Arial" w:cs="Arial"/>
                <w:color w:val="000000"/>
                <w:sz w:val="20"/>
                <w:szCs w:val="20"/>
              </w:rPr>
            </w:pPr>
            <w:r w:rsidRPr="00B92499">
              <w:rPr>
                <w:rFonts w:ascii="Arial" w:hAnsi="Arial" w:cs="Arial"/>
                <w:color w:val="000000"/>
                <w:sz w:val="20"/>
                <w:szCs w:val="20"/>
              </w:rPr>
              <w:t xml:space="preserve">Donaciones en dinero o especie hechas por terceros. </w:t>
            </w:r>
          </w:p>
        </w:tc>
        <w:tc>
          <w:tcPr>
            <w:tcW w:w="770" w:type="dxa"/>
            <w:tcBorders>
              <w:top w:val="nil"/>
              <w:left w:val="nil"/>
              <w:bottom w:val="single" w:sz="4" w:space="0" w:color="auto"/>
              <w:right w:val="single" w:sz="4" w:space="0" w:color="auto"/>
            </w:tcBorders>
            <w:shd w:val="clear" w:color="auto" w:fill="auto"/>
            <w:vAlign w:val="center"/>
            <w:hideMark/>
          </w:tcPr>
          <w:p w14:paraId="42A06BEA" w14:textId="2D3C1FAA" w:rsidR="002B18F9" w:rsidRPr="00B92499" w:rsidRDefault="002B18F9" w:rsidP="00FE4968">
            <w:pPr>
              <w:jc w:val="center"/>
              <w:rPr>
                <w:rFonts w:ascii="Arial" w:hAnsi="Arial" w:cs="Arial"/>
                <w:color w:val="000000"/>
                <w:sz w:val="20"/>
                <w:szCs w:val="20"/>
              </w:rPr>
            </w:pPr>
            <w:r w:rsidRPr="00B92499">
              <w:rPr>
                <w:rFonts w:ascii="Arial" w:hAnsi="Arial" w:cs="Arial"/>
                <w:color w:val="000000"/>
                <w:sz w:val="20"/>
                <w:szCs w:val="20"/>
              </w:rPr>
              <w:t xml:space="preserve">            100 </w:t>
            </w:r>
          </w:p>
        </w:tc>
      </w:tr>
      <w:tr w:rsidR="002B18F9" w:rsidRPr="00B92499" w14:paraId="391FDD84" w14:textId="77777777" w:rsidTr="002B18F9">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BBD4195" w14:textId="77777777" w:rsidR="002B18F9" w:rsidRPr="00B92499" w:rsidRDefault="002B18F9" w:rsidP="002B18F9">
            <w:pPr>
              <w:jc w:val="center"/>
              <w:rPr>
                <w:rFonts w:ascii="Arial" w:hAnsi="Arial" w:cs="Arial"/>
                <w:color w:val="000000"/>
                <w:sz w:val="20"/>
                <w:szCs w:val="20"/>
              </w:rPr>
            </w:pPr>
            <w:r w:rsidRPr="00B92499">
              <w:rPr>
                <w:rFonts w:ascii="Arial" w:hAnsi="Arial" w:cs="Arial"/>
                <w:color w:val="000000"/>
                <w:sz w:val="20"/>
                <w:szCs w:val="20"/>
              </w:rPr>
              <w:t>LI</w:t>
            </w:r>
          </w:p>
        </w:tc>
        <w:tc>
          <w:tcPr>
            <w:tcW w:w="0" w:type="auto"/>
            <w:tcBorders>
              <w:top w:val="nil"/>
              <w:left w:val="nil"/>
              <w:bottom w:val="single" w:sz="4" w:space="0" w:color="auto"/>
              <w:right w:val="single" w:sz="4" w:space="0" w:color="auto"/>
            </w:tcBorders>
            <w:shd w:val="clear" w:color="auto" w:fill="auto"/>
            <w:vAlign w:val="center"/>
            <w:hideMark/>
          </w:tcPr>
          <w:p w14:paraId="1689CC65" w14:textId="77777777" w:rsidR="002B18F9" w:rsidRPr="00B92499" w:rsidRDefault="002B18F9" w:rsidP="002B18F9">
            <w:pPr>
              <w:rPr>
                <w:rFonts w:ascii="Arial" w:hAnsi="Arial" w:cs="Arial"/>
                <w:color w:val="000000"/>
                <w:sz w:val="20"/>
                <w:szCs w:val="20"/>
              </w:rPr>
            </w:pPr>
            <w:r w:rsidRPr="00B92499">
              <w:rPr>
                <w:rFonts w:ascii="Arial" w:hAnsi="Arial" w:cs="Arial"/>
                <w:color w:val="000000"/>
                <w:sz w:val="20"/>
                <w:szCs w:val="20"/>
              </w:rPr>
              <w:t xml:space="preserve">Listado de solicitudes a las empresas concesionarias de telecomunicaciones y proveedores de servicios de internet para la intervención de comunicaciones y la geolocalización. </w:t>
            </w:r>
          </w:p>
        </w:tc>
        <w:tc>
          <w:tcPr>
            <w:tcW w:w="770" w:type="dxa"/>
            <w:tcBorders>
              <w:top w:val="nil"/>
              <w:left w:val="nil"/>
              <w:bottom w:val="single" w:sz="4" w:space="0" w:color="auto"/>
              <w:right w:val="single" w:sz="4" w:space="0" w:color="auto"/>
            </w:tcBorders>
            <w:shd w:val="clear" w:color="auto" w:fill="auto"/>
            <w:vAlign w:val="center"/>
            <w:hideMark/>
          </w:tcPr>
          <w:p w14:paraId="3F72FB4F" w14:textId="61DB1832" w:rsidR="002B18F9" w:rsidRPr="00B92499" w:rsidRDefault="002B18F9" w:rsidP="00FE4968">
            <w:pPr>
              <w:jc w:val="center"/>
              <w:rPr>
                <w:rFonts w:ascii="Arial" w:hAnsi="Arial" w:cs="Arial"/>
                <w:color w:val="000000"/>
                <w:sz w:val="20"/>
                <w:szCs w:val="20"/>
              </w:rPr>
            </w:pPr>
            <w:r w:rsidRPr="00B92499">
              <w:rPr>
                <w:rFonts w:ascii="Arial" w:hAnsi="Arial" w:cs="Arial"/>
                <w:color w:val="000000"/>
                <w:sz w:val="20"/>
                <w:szCs w:val="20"/>
              </w:rPr>
              <w:t xml:space="preserve">            100 </w:t>
            </w:r>
          </w:p>
        </w:tc>
      </w:tr>
      <w:tr w:rsidR="002B18F9" w:rsidRPr="00B92499" w14:paraId="09939D67" w14:textId="77777777" w:rsidTr="002B18F9">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681E64D" w14:textId="77777777" w:rsidR="002B18F9" w:rsidRPr="00B92499" w:rsidRDefault="002B18F9" w:rsidP="002B18F9">
            <w:pPr>
              <w:jc w:val="center"/>
              <w:rPr>
                <w:rFonts w:ascii="Arial" w:hAnsi="Arial" w:cs="Arial"/>
                <w:color w:val="000000"/>
                <w:sz w:val="20"/>
                <w:szCs w:val="20"/>
              </w:rPr>
            </w:pPr>
            <w:r w:rsidRPr="00B92499">
              <w:rPr>
                <w:rFonts w:ascii="Arial" w:hAnsi="Arial" w:cs="Arial"/>
                <w:color w:val="000000"/>
                <w:sz w:val="20"/>
                <w:szCs w:val="20"/>
              </w:rPr>
              <w:t>LIV</w:t>
            </w:r>
          </w:p>
        </w:tc>
        <w:tc>
          <w:tcPr>
            <w:tcW w:w="0" w:type="auto"/>
            <w:tcBorders>
              <w:top w:val="nil"/>
              <w:left w:val="nil"/>
              <w:bottom w:val="single" w:sz="4" w:space="0" w:color="auto"/>
              <w:right w:val="single" w:sz="4" w:space="0" w:color="auto"/>
            </w:tcBorders>
            <w:shd w:val="clear" w:color="auto" w:fill="auto"/>
            <w:vAlign w:val="center"/>
            <w:hideMark/>
          </w:tcPr>
          <w:p w14:paraId="106CC72E" w14:textId="77777777" w:rsidR="002B18F9" w:rsidRPr="00B92499" w:rsidRDefault="002B18F9" w:rsidP="002B18F9">
            <w:pPr>
              <w:rPr>
                <w:rFonts w:ascii="Arial" w:hAnsi="Arial" w:cs="Arial"/>
                <w:color w:val="000000"/>
                <w:sz w:val="20"/>
                <w:szCs w:val="20"/>
              </w:rPr>
            </w:pPr>
            <w:r w:rsidRPr="00B92499">
              <w:rPr>
                <w:rFonts w:ascii="Arial" w:hAnsi="Arial" w:cs="Arial"/>
                <w:color w:val="000000"/>
                <w:sz w:val="20"/>
                <w:szCs w:val="20"/>
              </w:rPr>
              <w:t xml:space="preserve">Personas beneficiadas, la temporalidad, los montos y todo aquello relacionado con el acto administrativo de los incentivos, condonaciones, reducciones fiscales, concesiones, permisos o licencias, entre otros actos. </w:t>
            </w:r>
          </w:p>
        </w:tc>
        <w:tc>
          <w:tcPr>
            <w:tcW w:w="770" w:type="dxa"/>
            <w:tcBorders>
              <w:top w:val="nil"/>
              <w:left w:val="nil"/>
              <w:bottom w:val="single" w:sz="4" w:space="0" w:color="auto"/>
              <w:right w:val="single" w:sz="4" w:space="0" w:color="auto"/>
            </w:tcBorders>
            <w:shd w:val="clear" w:color="auto" w:fill="auto"/>
            <w:vAlign w:val="center"/>
            <w:hideMark/>
          </w:tcPr>
          <w:p w14:paraId="3821F3D2" w14:textId="77777777" w:rsidR="002B18F9" w:rsidRPr="00B92499" w:rsidRDefault="002B18F9" w:rsidP="002B18F9">
            <w:pPr>
              <w:jc w:val="center"/>
              <w:rPr>
                <w:rFonts w:ascii="Arial" w:hAnsi="Arial" w:cs="Arial"/>
                <w:color w:val="000000"/>
                <w:sz w:val="20"/>
                <w:szCs w:val="20"/>
              </w:rPr>
            </w:pPr>
            <w:r w:rsidRPr="00B92499">
              <w:rPr>
                <w:rFonts w:ascii="Arial" w:hAnsi="Arial" w:cs="Arial"/>
                <w:color w:val="000000"/>
                <w:sz w:val="20"/>
                <w:szCs w:val="20"/>
              </w:rPr>
              <w:t xml:space="preserve">               97.19 </w:t>
            </w:r>
          </w:p>
        </w:tc>
      </w:tr>
      <w:tr w:rsidR="002B18F9" w:rsidRPr="00B92499" w14:paraId="1AE64D6A" w14:textId="77777777" w:rsidTr="002B18F9">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F0A3149" w14:textId="77777777" w:rsidR="002B18F9" w:rsidRPr="00B92499" w:rsidRDefault="002B18F9" w:rsidP="002B18F9">
            <w:pPr>
              <w:jc w:val="center"/>
              <w:rPr>
                <w:rFonts w:ascii="Arial" w:hAnsi="Arial" w:cs="Arial"/>
                <w:color w:val="000000"/>
                <w:sz w:val="20"/>
                <w:szCs w:val="20"/>
              </w:rPr>
            </w:pPr>
            <w:r w:rsidRPr="00B92499">
              <w:rPr>
                <w:rFonts w:ascii="Arial" w:hAnsi="Arial" w:cs="Arial"/>
                <w:color w:val="000000"/>
                <w:sz w:val="20"/>
                <w:szCs w:val="20"/>
              </w:rPr>
              <w:t>XLII</w:t>
            </w:r>
          </w:p>
        </w:tc>
        <w:tc>
          <w:tcPr>
            <w:tcW w:w="0" w:type="auto"/>
            <w:tcBorders>
              <w:top w:val="nil"/>
              <w:left w:val="nil"/>
              <w:bottom w:val="single" w:sz="4" w:space="0" w:color="auto"/>
              <w:right w:val="single" w:sz="4" w:space="0" w:color="auto"/>
            </w:tcBorders>
            <w:shd w:val="clear" w:color="auto" w:fill="auto"/>
            <w:vAlign w:val="center"/>
            <w:hideMark/>
          </w:tcPr>
          <w:p w14:paraId="4511B88D" w14:textId="77777777" w:rsidR="002B18F9" w:rsidRPr="00B92499" w:rsidRDefault="002B18F9" w:rsidP="002B18F9">
            <w:pPr>
              <w:rPr>
                <w:rFonts w:ascii="Arial" w:hAnsi="Arial" w:cs="Arial"/>
                <w:color w:val="000000"/>
                <w:sz w:val="20"/>
                <w:szCs w:val="20"/>
              </w:rPr>
            </w:pPr>
            <w:r w:rsidRPr="00B92499">
              <w:rPr>
                <w:rFonts w:ascii="Arial" w:hAnsi="Arial" w:cs="Arial"/>
                <w:color w:val="000000"/>
                <w:sz w:val="20"/>
                <w:szCs w:val="20"/>
              </w:rPr>
              <w:t xml:space="preserve">Información relacionada con los programas y centros destinados a la práctica de actividad física, ejercicio y deporte. </w:t>
            </w:r>
          </w:p>
        </w:tc>
        <w:tc>
          <w:tcPr>
            <w:tcW w:w="770" w:type="dxa"/>
            <w:tcBorders>
              <w:top w:val="nil"/>
              <w:left w:val="nil"/>
              <w:bottom w:val="single" w:sz="4" w:space="0" w:color="auto"/>
              <w:right w:val="single" w:sz="4" w:space="0" w:color="auto"/>
            </w:tcBorders>
            <w:shd w:val="clear" w:color="auto" w:fill="auto"/>
            <w:vAlign w:val="center"/>
            <w:hideMark/>
          </w:tcPr>
          <w:p w14:paraId="53E1DCF4" w14:textId="77777777" w:rsidR="002B18F9" w:rsidRPr="00B92499" w:rsidRDefault="002B18F9" w:rsidP="002B18F9">
            <w:pPr>
              <w:jc w:val="center"/>
              <w:rPr>
                <w:rFonts w:ascii="Arial" w:hAnsi="Arial" w:cs="Arial"/>
                <w:color w:val="000000"/>
                <w:sz w:val="20"/>
                <w:szCs w:val="20"/>
              </w:rPr>
            </w:pPr>
            <w:r w:rsidRPr="00B92499">
              <w:rPr>
                <w:rFonts w:ascii="Arial" w:hAnsi="Arial" w:cs="Arial"/>
                <w:color w:val="000000"/>
                <w:sz w:val="20"/>
                <w:szCs w:val="20"/>
              </w:rPr>
              <w:t xml:space="preserve">               87.50 </w:t>
            </w:r>
          </w:p>
        </w:tc>
      </w:tr>
      <w:tr w:rsidR="002B18F9" w:rsidRPr="00B92499" w14:paraId="36069A78" w14:textId="77777777" w:rsidTr="002B18F9">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034AE02" w14:textId="77777777" w:rsidR="002B18F9" w:rsidRPr="00B92499" w:rsidRDefault="002B18F9" w:rsidP="002B18F9">
            <w:pPr>
              <w:jc w:val="center"/>
              <w:rPr>
                <w:rFonts w:ascii="Arial" w:hAnsi="Arial" w:cs="Arial"/>
                <w:color w:val="000000"/>
                <w:sz w:val="20"/>
                <w:szCs w:val="20"/>
              </w:rPr>
            </w:pPr>
            <w:r w:rsidRPr="00B92499">
              <w:rPr>
                <w:rFonts w:ascii="Arial" w:hAnsi="Arial" w:cs="Arial"/>
                <w:color w:val="000000"/>
                <w:sz w:val="20"/>
                <w:szCs w:val="20"/>
              </w:rPr>
              <w:t>XXVIII</w:t>
            </w:r>
          </w:p>
        </w:tc>
        <w:tc>
          <w:tcPr>
            <w:tcW w:w="0" w:type="auto"/>
            <w:tcBorders>
              <w:top w:val="nil"/>
              <w:left w:val="nil"/>
              <w:bottom w:val="single" w:sz="4" w:space="0" w:color="auto"/>
              <w:right w:val="single" w:sz="4" w:space="0" w:color="auto"/>
            </w:tcBorders>
            <w:shd w:val="clear" w:color="auto" w:fill="auto"/>
            <w:vAlign w:val="center"/>
            <w:hideMark/>
          </w:tcPr>
          <w:p w14:paraId="500435AD" w14:textId="77777777" w:rsidR="002B18F9" w:rsidRPr="00B92499" w:rsidRDefault="002B18F9" w:rsidP="002B18F9">
            <w:pPr>
              <w:rPr>
                <w:rFonts w:ascii="Arial" w:hAnsi="Arial" w:cs="Arial"/>
                <w:color w:val="000000"/>
                <w:sz w:val="20"/>
                <w:szCs w:val="20"/>
              </w:rPr>
            </w:pPr>
            <w:r w:rsidRPr="00B92499">
              <w:rPr>
                <w:rFonts w:ascii="Arial" w:hAnsi="Arial" w:cs="Arial"/>
                <w:color w:val="000000"/>
                <w:sz w:val="20"/>
                <w:szCs w:val="20"/>
              </w:rPr>
              <w:t xml:space="preserve">Montos, criterios, convocatoria y convocatorias de personas físicas y morales que reciban recursos públicos o realicen actos de autoridad. </w:t>
            </w:r>
          </w:p>
        </w:tc>
        <w:tc>
          <w:tcPr>
            <w:tcW w:w="770" w:type="dxa"/>
            <w:tcBorders>
              <w:top w:val="nil"/>
              <w:left w:val="nil"/>
              <w:bottom w:val="single" w:sz="4" w:space="0" w:color="auto"/>
              <w:right w:val="single" w:sz="4" w:space="0" w:color="auto"/>
            </w:tcBorders>
            <w:shd w:val="clear" w:color="auto" w:fill="auto"/>
            <w:vAlign w:val="center"/>
            <w:hideMark/>
          </w:tcPr>
          <w:p w14:paraId="4C8C1B78" w14:textId="77777777" w:rsidR="002B18F9" w:rsidRPr="00B92499" w:rsidRDefault="002B18F9" w:rsidP="002B18F9">
            <w:pPr>
              <w:jc w:val="center"/>
              <w:rPr>
                <w:rFonts w:ascii="Arial" w:hAnsi="Arial" w:cs="Arial"/>
                <w:color w:val="000000"/>
                <w:sz w:val="20"/>
                <w:szCs w:val="20"/>
              </w:rPr>
            </w:pPr>
            <w:r w:rsidRPr="00B92499">
              <w:rPr>
                <w:rFonts w:ascii="Arial" w:hAnsi="Arial" w:cs="Arial"/>
                <w:color w:val="000000"/>
                <w:sz w:val="20"/>
                <w:szCs w:val="20"/>
              </w:rPr>
              <w:t xml:space="preserve">               81.25 </w:t>
            </w:r>
          </w:p>
        </w:tc>
      </w:tr>
      <w:tr w:rsidR="002B18F9" w:rsidRPr="00B92499" w14:paraId="23B9523F" w14:textId="77777777" w:rsidTr="002B18F9">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660B933" w14:textId="77777777" w:rsidR="002B18F9" w:rsidRPr="00B92499" w:rsidRDefault="002B18F9" w:rsidP="002B18F9">
            <w:pPr>
              <w:jc w:val="center"/>
              <w:rPr>
                <w:rFonts w:ascii="Arial" w:hAnsi="Arial" w:cs="Arial"/>
                <w:color w:val="000000"/>
                <w:sz w:val="20"/>
                <w:szCs w:val="20"/>
              </w:rPr>
            </w:pPr>
            <w:r w:rsidRPr="00B92499">
              <w:rPr>
                <w:rFonts w:ascii="Arial" w:hAnsi="Arial" w:cs="Arial"/>
                <w:color w:val="000000"/>
                <w:sz w:val="20"/>
                <w:szCs w:val="20"/>
              </w:rPr>
              <w:t>XL</w:t>
            </w:r>
          </w:p>
        </w:tc>
        <w:tc>
          <w:tcPr>
            <w:tcW w:w="0" w:type="auto"/>
            <w:tcBorders>
              <w:top w:val="nil"/>
              <w:left w:val="nil"/>
              <w:bottom w:val="single" w:sz="4" w:space="0" w:color="auto"/>
              <w:right w:val="single" w:sz="4" w:space="0" w:color="auto"/>
            </w:tcBorders>
            <w:shd w:val="clear" w:color="auto" w:fill="auto"/>
            <w:vAlign w:val="center"/>
            <w:hideMark/>
          </w:tcPr>
          <w:p w14:paraId="37AD9792" w14:textId="77777777" w:rsidR="002B18F9" w:rsidRPr="00B92499" w:rsidRDefault="002B18F9" w:rsidP="002B18F9">
            <w:pPr>
              <w:rPr>
                <w:rFonts w:ascii="Arial" w:hAnsi="Arial" w:cs="Arial"/>
                <w:color w:val="000000"/>
                <w:sz w:val="20"/>
                <w:szCs w:val="20"/>
              </w:rPr>
            </w:pPr>
            <w:r w:rsidRPr="00B92499">
              <w:rPr>
                <w:rFonts w:ascii="Arial" w:hAnsi="Arial" w:cs="Arial"/>
                <w:color w:val="000000"/>
                <w:sz w:val="20"/>
                <w:szCs w:val="20"/>
              </w:rPr>
              <w:t>Mecanismos de participación ciudadana.</w:t>
            </w:r>
          </w:p>
        </w:tc>
        <w:tc>
          <w:tcPr>
            <w:tcW w:w="770" w:type="dxa"/>
            <w:tcBorders>
              <w:top w:val="nil"/>
              <w:left w:val="nil"/>
              <w:bottom w:val="single" w:sz="4" w:space="0" w:color="auto"/>
              <w:right w:val="single" w:sz="4" w:space="0" w:color="auto"/>
            </w:tcBorders>
            <w:shd w:val="clear" w:color="auto" w:fill="auto"/>
            <w:vAlign w:val="center"/>
            <w:hideMark/>
          </w:tcPr>
          <w:p w14:paraId="199C7ECE" w14:textId="77777777" w:rsidR="002B18F9" w:rsidRPr="00B92499" w:rsidRDefault="002B18F9" w:rsidP="002B18F9">
            <w:pPr>
              <w:jc w:val="center"/>
              <w:rPr>
                <w:rFonts w:ascii="Arial" w:hAnsi="Arial" w:cs="Arial"/>
                <w:color w:val="000000"/>
                <w:sz w:val="20"/>
                <w:szCs w:val="20"/>
              </w:rPr>
            </w:pPr>
            <w:r w:rsidRPr="00B92499">
              <w:rPr>
                <w:rFonts w:ascii="Arial" w:hAnsi="Arial" w:cs="Arial"/>
                <w:color w:val="000000"/>
                <w:sz w:val="20"/>
                <w:szCs w:val="20"/>
              </w:rPr>
              <w:t xml:space="preserve">               78.15 </w:t>
            </w:r>
          </w:p>
        </w:tc>
      </w:tr>
      <w:tr w:rsidR="002B18F9" w:rsidRPr="00B92499" w14:paraId="7649731E" w14:textId="77777777" w:rsidTr="002B18F9">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794F136" w14:textId="77777777" w:rsidR="002B18F9" w:rsidRPr="00B92499" w:rsidRDefault="002B18F9" w:rsidP="002B18F9">
            <w:pPr>
              <w:jc w:val="center"/>
              <w:rPr>
                <w:rFonts w:ascii="Arial" w:hAnsi="Arial" w:cs="Arial"/>
                <w:color w:val="000000"/>
                <w:sz w:val="20"/>
                <w:szCs w:val="20"/>
              </w:rPr>
            </w:pPr>
            <w:r w:rsidRPr="00B92499">
              <w:rPr>
                <w:rFonts w:ascii="Arial" w:hAnsi="Arial" w:cs="Arial"/>
                <w:color w:val="000000"/>
                <w:sz w:val="20"/>
                <w:szCs w:val="20"/>
              </w:rPr>
              <w:t>XLIV</w:t>
            </w:r>
          </w:p>
        </w:tc>
        <w:tc>
          <w:tcPr>
            <w:tcW w:w="0" w:type="auto"/>
            <w:tcBorders>
              <w:top w:val="nil"/>
              <w:left w:val="nil"/>
              <w:bottom w:val="single" w:sz="4" w:space="0" w:color="auto"/>
              <w:right w:val="single" w:sz="4" w:space="0" w:color="auto"/>
            </w:tcBorders>
            <w:shd w:val="clear" w:color="auto" w:fill="auto"/>
            <w:vAlign w:val="center"/>
            <w:hideMark/>
          </w:tcPr>
          <w:p w14:paraId="47F6728B" w14:textId="77777777" w:rsidR="002B18F9" w:rsidRPr="00B92499" w:rsidRDefault="002B18F9" w:rsidP="002B18F9">
            <w:pPr>
              <w:rPr>
                <w:rFonts w:ascii="Arial" w:hAnsi="Arial" w:cs="Arial"/>
                <w:color w:val="000000"/>
                <w:sz w:val="20"/>
                <w:szCs w:val="20"/>
              </w:rPr>
            </w:pPr>
            <w:r w:rsidRPr="00B92499">
              <w:rPr>
                <w:rFonts w:ascii="Arial" w:hAnsi="Arial" w:cs="Arial"/>
                <w:color w:val="000000"/>
                <w:sz w:val="20"/>
                <w:szCs w:val="20"/>
              </w:rPr>
              <w:t xml:space="preserve">Evaluaciones y encuestas a programas financiados con recursos públicos. </w:t>
            </w:r>
          </w:p>
        </w:tc>
        <w:tc>
          <w:tcPr>
            <w:tcW w:w="770" w:type="dxa"/>
            <w:tcBorders>
              <w:top w:val="nil"/>
              <w:left w:val="nil"/>
              <w:bottom w:val="single" w:sz="4" w:space="0" w:color="auto"/>
              <w:right w:val="single" w:sz="4" w:space="0" w:color="auto"/>
            </w:tcBorders>
            <w:shd w:val="clear" w:color="auto" w:fill="auto"/>
            <w:vAlign w:val="center"/>
            <w:hideMark/>
          </w:tcPr>
          <w:p w14:paraId="549514BD" w14:textId="77777777" w:rsidR="002B18F9" w:rsidRPr="00B92499" w:rsidRDefault="002B18F9" w:rsidP="002B18F9">
            <w:pPr>
              <w:jc w:val="center"/>
              <w:rPr>
                <w:rFonts w:ascii="Arial" w:hAnsi="Arial" w:cs="Arial"/>
                <w:color w:val="000000"/>
                <w:sz w:val="20"/>
                <w:szCs w:val="20"/>
              </w:rPr>
            </w:pPr>
            <w:r w:rsidRPr="00B92499">
              <w:rPr>
                <w:rFonts w:ascii="Arial" w:hAnsi="Arial" w:cs="Arial"/>
                <w:color w:val="000000"/>
                <w:sz w:val="20"/>
                <w:szCs w:val="20"/>
              </w:rPr>
              <w:t xml:space="preserve">               75.00 </w:t>
            </w:r>
          </w:p>
        </w:tc>
      </w:tr>
      <w:tr w:rsidR="002B18F9" w:rsidRPr="00B92499" w14:paraId="64D362F2" w14:textId="77777777" w:rsidTr="002B18F9">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AD24BA4" w14:textId="77777777" w:rsidR="002B18F9" w:rsidRPr="00B92499" w:rsidRDefault="002B18F9" w:rsidP="002B18F9">
            <w:pPr>
              <w:jc w:val="center"/>
              <w:rPr>
                <w:rFonts w:ascii="Arial" w:hAnsi="Arial" w:cs="Arial"/>
                <w:color w:val="000000"/>
                <w:sz w:val="20"/>
                <w:szCs w:val="20"/>
              </w:rPr>
            </w:pPr>
            <w:r w:rsidRPr="00B92499">
              <w:rPr>
                <w:rFonts w:ascii="Arial" w:hAnsi="Arial" w:cs="Arial"/>
                <w:color w:val="000000"/>
                <w:sz w:val="20"/>
                <w:szCs w:val="20"/>
              </w:rPr>
              <w:t>XLVI</w:t>
            </w:r>
          </w:p>
        </w:tc>
        <w:tc>
          <w:tcPr>
            <w:tcW w:w="0" w:type="auto"/>
            <w:tcBorders>
              <w:top w:val="nil"/>
              <w:left w:val="nil"/>
              <w:bottom w:val="single" w:sz="4" w:space="0" w:color="auto"/>
              <w:right w:val="single" w:sz="4" w:space="0" w:color="auto"/>
            </w:tcBorders>
            <w:shd w:val="clear" w:color="auto" w:fill="auto"/>
            <w:vAlign w:val="center"/>
            <w:hideMark/>
          </w:tcPr>
          <w:p w14:paraId="70ACDB9F" w14:textId="77777777" w:rsidR="002B18F9" w:rsidRPr="00B92499" w:rsidRDefault="002B18F9" w:rsidP="002B18F9">
            <w:pPr>
              <w:rPr>
                <w:rFonts w:ascii="Arial" w:hAnsi="Arial" w:cs="Arial"/>
                <w:color w:val="000000"/>
                <w:sz w:val="20"/>
                <w:szCs w:val="20"/>
              </w:rPr>
            </w:pPr>
            <w:r w:rsidRPr="00B92499">
              <w:rPr>
                <w:rFonts w:ascii="Arial" w:hAnsi="Arial" w:cs="Arial"/>
                <w:color w:val="000000"/>
                <w:sz w:val="20"/>
                <w:szCs w:val="20"/>
              </w:rPr>
              <w:t>Listado de jubilados y pensionados y monto que reciben.</w:t>
            </w:r>
          </w:p>
        </w:tc>
        <w:tc>
          <w:tcPr>
            <w:tcW w:w="770" w:type="dxa"/>
            <w:tcBorders>
              <w:top w:val="nil"/>
              <w:left w:val="nil"/>
              <w:bottom w:val="single" w:sz="4" w:space="0" w:color="auto"/>
              <w:right w:val="single" w:sz="4" w:space="0" w:color="auto"/>
            </w:tcBorders>
            <w:shd w:val="clear" w:color="auto" w:fill="auto"/>
            <w:vAlign w:val="center"/>
            <w:hideMark/>
          </w:tcPr>
          <w:p w14:paraId="32724525" w14:textId="77777777" w:rsidR="002B18F9" w:rsidRPr="00B92499" w:rsidRDefault="002B18F9" w:rsidP="002B18F9">
            <w:pPr>
              <w:jc w:val="center"/>
              <w:rPr>
                <w:rFonts w:ascii="Arial" w:hAnsi="Arial" w:cs="Arial"/>
                <w:color w:val="000000"/>
                <w:sz w:val="20"/>
                <w:szCs w:val="20"/>
              </w:rPr>
            </w:pPr>
            <w:r w:rsidRPr="00B92499">
              <w:rPr>
                <w:rFonts w:ascii="Arial" w:hAnsi="Arial" w:cs="Arial"/>
                <w:color w:val="000000"/>
                <w:sz w:val="20"/>
                <w:szCs w:val="20"/>
              </w:rPr>
              <w:t xml:space="preserve">               75.00 </w:t>
            </w:r>
          </w:p>
        </w:tc>
      </w:tr>
      <w:tr w:rsidR="002B18F9" w:rsidRPr="00B92499" w14:paraId="0475CA48" w14:textId="77777777" w:rsidTr="002B18F9">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C87DB32" w14:textId="77777777" w:rsidR="002B18F9" w:rsidRPr="00B92499" w:rsidRDefault="002B18F9" w:rsidP="002B18F9">
            <w:pPr>
              <w:jc w:val="center"/>
              <w:rPr>
                <w:rFonts w:ascii="Arial" w:hAnsi="Arial" w:cs="Arial"/>
                <w:color w:val="000000"/>
                <w:sz w:val="20"/>
                <w:szCs w:val="20"/>
              </w:rPr>
            </w:pPr>
            <w:r w:rsidRPr="00B92499">
              <w:rPr>
                <w:rFonts w:ascii="Arial" w:hAnsi="Arial" w:cs="Arial"/>
                <w:color w:val="000000"/>
                <w:sz w:val="20"/>
                <w:szCs w:val="20"/>
              </w:rPr>
              <w:lastRenderedPageBreak/>
              <w:t>LIII</w:t>
            </w:r>
          </w:p>
        </w:tc>
        <w:tc>
          <w:tcPr>
            <w:tcW w:w="0" w:type="auto"/>
            <w:tcBorders>
              <w:top w:val="nil"/>
              <w:left w:val="nil"/>
              <w:bottom w:val="single" w:sz="4" w:space="0" w:color="auto"/>
              <w:right w:val="single" w:sz="4" w:space="0" w:color="auto"/>
            </w:tcBorders>
            <w:shd w:val="clear" w:color="auto" w:fill="auto"/>
            <w:vAlign w:val="center"/>
            <w:hideMark/>
          </w:tcPr>
          <w:p w14:paraId="22F0DB9E" w14:textId="77777777" w:rsidR="002B18F9" w:rsidRPr="00B92499" w:rsidRDefault="002B18F9" w:rsidP="002B18F9">
            <w:pPr>
              <w:rPr>
                <w:rFonts w:ascii="Arial" w:hAnsi="Arial" w:cs="Arial"/>
                <w:color w:val="000000"/>
                <w:sz w:val="20"/>
                <w:szCs w:val="20"/>
              </w:rPr>
            </w:pPr>
            <w:r w:rsidRPr="00B92499">
              <w:rPr>
                <w:rFonts w:ascii="Arial" w:hAnsi="Arial" w:cs="Arial"/>
                <w:color w:val="000000"/>
                <w:sz w:val="20"/>
                <w:szCs w:val="20"/>
              </w:rPr>
              <w:t xml:space="preserve">La ubicación de todas las obras públicas. </w:t>
            </w:r>
          </w:p>
        </w:tc>
        <w:tc>
          <w:tcPr>
            <w:tcW w:w="770" w:type="dxa"/>
            <w:tcBorders>
              <w:top w:val="nil"/>
              <w:left w:val="nil"/>
              <w:bottom w:val="single" w:sz="4" w:space="0" w:color="auto"/>
              <w:right w:val="single" w:sz="4" w:space="0" w:color="auto"/>
            </w:tcBorders>
            <w:shd w:val="clear" w:color="auto" w:fill="auto"/>
            <w:vAlign w:val="center"/>
            <w:hideMark/>
          </w:tcPr>
          <w:p w14:paraId="0D25F6B2" w14:textId="77777777" w:rsidR="002B18F9" w:rsidRPr="00B92499" w:rsidRDefault="002B18F9" w:rsidP="002B18F9">
            <w:pPr>
              <w:jc w:val="center"/>
              <w:rPr>
                <w:rFonts w:ascii="Arial" w:hAnsi="Arial" w:cs="Arial"/>
                <w:color w:val="000000"/>
                <w:sz w:val="20"/>
                <w:szCs w:val="20"/>
              </w:rPr>
            </w:pPr>
            <w:r w:rsidRPr="00B92499">
              <w:rPr>
                <w:rFonts w:ascii="Arial" w:hAnsi="Arial" w:cs="Arial"/>
                <w:color w:val="000000"/>
                <w:sz w:val="20"/>
                <w:szCs w:val="20"/>
              </w:rPr>
              <w:t xml:space="preserve">               74.84 </w:t>
            </w:r>
          </w:p>
        </w:tc>
      </w:tr>
      <w:tr w:rsidR="002B18F9" w:rsidRPr="00B92499" w14:paraId="0C3D4FDF" w14:textId="77777777" w:rsidTr="002B18F9">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5DDE7CD" w14:textId="77777777" w:rsidR="002B18F9" w:rsidRPr="00B92499" w:rsidRDefault="002B18F9" w:rsidP="002B18F9">
            <w:pPr>
              <w:jc w:val="center"/>
              <w:rPr>
                <w:rFonts w:ascii="Arial" w:hAnsi="Arial" w:cs="Arial"/>
                <w:color w:val="000000"/>
                <w:sz w:val="20"/>
                <w:szCs w:val="20"/>
              </w:rPr>
            </w:pPr>
            <w:r w:rsidRPr="00B92499">
              <w:rPr>
                <w:rFonts w:ascii="Arial" w:hAnsi="Arial" w:cs="Arial"/>
                <w:color w:val="000000"/>
                <w:sz w:val="20"/>
                <w:szCs w:val="20"/>
              </w:rPr>
              <w:t>XLV</w:t>
            </w:r>
          </w:p>
        </w:tc>
        <w:tc>
          <w:tcPr>
            <w:tcW w:w="0" w:type="auto"/>
            <w:tcBorders>
              <w:top w:val="nil"/>
              <w:left w:val="nil"/>
              <w:bottom w:val="single" w:sz="4" w:space="0" w:color="auto"/>
              <w:right w:val="single" w:sz="4" w:space="0" w:color="auto"/>
            </w:tcBorders>
            <w:shd w:val="clear" w:color="auto" w:fill="auto"/>
            <w:vAlign w:val="center"/>
            <w:hideMark/>
          </w:tcPr>
          <w:p w14:paraId="1D126D6E" w14:textId="77777777" w:rsidR="002B18F9" w:rsidRPr="00B92499" w:rsidRDefault="002B18F9" w:rsidP="002B18F9">
            <w:pPr>
              <w:rPr>
                <w:rFonts w:ascii="Arial" w:hAnsi="Arial" w:cs="Arial"/>
                <w:color w:val="000000"/>
                <w:sz w:val="20"/>
                <w:szCs w:val="20"/>
              </w:rPr>
            </w:pPr>
            <w:r w:rsidRPr="00B92499">
              <w:rPr>
                <w:rFonts w:ascii="Arial" w:hAnsi="Arial" w:cs="Arial"/>
                <w:color w:val="000000"/>
                <w:sz w:val="20"/>
                <w:szCs w:val="20"/>
              </w:rPr>
              <w:t>Estudios financiados con recursos públicos.</w:t>
            </w:r>
          </w:p>
        </w:tc>
        <w:tc>
          <w:tcPr>
            <w:tcW w:w="770" w:type="dxa"/>
            <w:tcBorders>
              <w:top w:val="nil"/>
              <w:left w:val="nil"/>
              <w:bottom w:val="single" w:sz="4" w:space="0" w:color="auto"/>
              <w:right w:val="single" w:sz="4" w:space="0" w:color="auto"/>
            </w:tcBorders>
            <w:shd w:val="clear" w:color="auto" w:fill="auto"/>
            <w:vAlign w:val="center"/>
            <w:hideMark/>
          </w:tcPr>
          <w:p w14:paraId="66FCD326" w14:textId="77777777" w:rsidR="002B18F9" w:rsidRPr="00B92499" w:rsidRDefault="002B18F9" w:rsidP="002B18F9">
            <w:pPr>
              <w:jc w:val="center"/>
              <w:rPr>
                <w:rFonts w:ascii="Arial" w:hAnsi="Arial" w:cs="Arial"/>
                <w:color w:val="000000"/>
                <w:sz w:val="20"/>
                <w:szCs w:val="20"/>
              </w:rPr>
            </w:pPr>
            <w:r w:rsidRPr="00B92499">
              <w:rPr>
                <w:rFonts w:ascii="Arial" w:hAnsi="Arial" w:cs="Arial"/>
                <w:color w:val="000000"/>
                <w:sz w:val="20"/>
                <w:szCs w:val="20"/>
              </w:rPr>
              <w:t xml:space="preserve">               74.71 </w:t>
            </w:r>
          </w:p>
        </w:tc>
      </w:tr>
      <w:tr w:rsidR="002B18F9" w:rsidRPr="00B92499" w14:paraId="75D3244F" w14:textId="77777777" w:rsidTr="002B18F9">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72DC32E" w14:textId="77777777" w:rsidR="002B18F9" w:rsidRPr="00B92499" w:rsidRDefault="002B18F9" w:rsidP="002B18F9">
            <w:pPr>
              <w:jc w:val="center"/>
              <w:rPr>
                <w:rFonts w:ascii="Arial" w:hAnsi="Arial" w:cs="Arial"/>
                <w:color w:val="000000"/>
                <w:sz w:val="20"/>
                <w:szCs w:val="20"/>
              </w:rPr>
            </w:pPr>
            <w:r w:rsidRPr="00B92499">
              <w:rPr>
                <w:rFonts w:ascii="Arial" w:hAnsi="Arial" w:cs="Arial"/>
                <w:color w:val="000000"/>
                <w:sz w:val="20"/>
                <w:szCs w:val="20"/>
              </w:rPr>
              <w:t>XLI</w:t>
            </w:r>
          </w:p>
        </w:tc>
        <w:tc>
          <w:tcPr>
            <w:tcW w:w="0" w:type="auto"/>
            <w:tcBorders>
              <w:top w:val="nil"/>
              <w:left w:val="nil"/>
              <w:bottom w:val="single" w:sz="4" w:space="0" w:color="auto"/>
              <w:right w:val="single" w:sz="4" w:space="0" w:color="auto"/>
            </w:tcBorders>
            <w:shd w:val="clear" w:color="auto" w:fill="auto"/>
            <w:vAlign w:val="center"/>
            <w:hideMark/>
          </w:tcPr>
          <w:p w14:paraId="21A572C9" w14:textId="159C7469" w:rsidR="002B18F9" w:rsidRPr="00B92499" w:rsidRDefault="002B18F9" w:rsidP="002B18F9">
            <w:pPr>
              <w:rPr>
                <w:rFonts w:ascii="Arial" w:hAnsi="Arial" w:cs="Arial"/>
                <w:color w:val="000000"/>
                <w:sz w:val="20"/>
                <w:szCs w:val="20"/>
              </w:rPr>
            </w:pPr>
            <w:r w:rsidRPr="00B92499">
              <w:rPr>
                <w:rFonts w:ascii="Arial" w:hAnsi="Arial" w:cs="Arial"/>
                <w:color w:val="000000"/>
                <w:sz w:val="20"/>
                <w:szCs w:val="20"/>
              </w:rPr>
              <w:t xml:space="preserve">Programas que ofrece el </w:t>
            </w:r>
            <w:r w:rsidR="008710F6" w:rsidRPr="00B92499">
              <w:rPr>
                <w:rFonts w:ascii="Arial" w:hAnsi="Arial" w:cs="Arial"/>
                <w:color w:val="000000"/>
                <w:sz w:val="20"/>
                <w:szCs w:val="20"/>
              </w:rPr>
              <w:t>sujeto obligado</w:t>
            </w:r>
            <w:r w:rsidRPr="00B92499">
              <w:rPr>
                <w:rFonts w:ascii="Arial" w:hAnsi="Arial" w:cs="Arial"/>
                <w:color w:val="000000"/>
                <w:sz w:val="20"/>
                <w:szCs w:val="20"/>
              </w:rPr>
              <w:t>, así como trámites, requisitos y formatos.</w:t>
            </w:r>
          </w:p>
        </w:tc>
        <w:tc>
          <w:tcPr>
            <w:tcW w:w="770" w:type="dxa"/>
            <w:tcBorders>
              <w:top w:val="nil"/>
              <w:left w:val="nil"/>
              <w:bottom w:val="single" w:sz="4" w:space="0" w:color="auto"/>
              <w:right w:val="single" w:sz="4" w:space="0" w:color="auto"/>
            </w:tcBorders>
            <w:shd w:val="clear" w:color="auto" w:fill="auto"/>
            <w:vAlign w:val="center"/>
            <w:hideMark/>
          </w:tcPr>
          <w:p w14:paraId="63314FE6" w14:textId="77777777" w:rsidR="002B18F9" w:rsidRPr="00B92499" w:rsidRDefault="002B18F9" w:rsidP="002B18F9">
            <w:pPr>
              <w:jc w:val="center"/>
              <w:rPr>
                <w:rFonts w:ascii="Arial" w:hAnsi="Arial" w:cs="Arial"/>
                <w:color w:val="000000"/>
                <w:sz w:val="20"/>
                <w:szCs w:val="20"/>
              </w:rPr>
            </w:pPr>
            <w:r w:rsidRPr="00B92499">
              <w:rPr>
                <w:rFonts w:ascii="Arial" w:hAnsi="Arial" w:cs="Arial"/>
                <w:color w:val="000000"/>
                <w:sz w:val="20"/>
                <w:szCs w:val="20"/>
              </w:rPr>
              <w:t xml:space="preserve">               74.69 </w:t>
            </w:r>
          </w:p>
        </w:tc>
      </w:tr>
      <w:tr w:rsidR="002B18F9" w:rsidRPr="00B92499" w14:paraId="7725EB58" w14:textId="77777777" w:rsidTr="002B18F9">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024F145" w14:textId="77777777" w:rsidR="002B18F9" w:rsidRPr="00B92499" w:rsidRDefault="002B18F9" w:rsidP="002B18F9">
            <w:pPr>
              <w:jc w:val="center"/>
              <w:rPr>
                <w:rFonts w:ascii="Arial" w:hAnsi="Arial" w:cs="Arial"/>
                <w:color w:val="000000"/>
                <w:sz w:val="20"/>
                <w:szCs w:val="20"/>
              </w:rPr>
            </w:pPr>
            <w:r w:rsidRPr="00B92499">
              <w:rPr>
                <w:rFonts w:ascii="Arial" w:hAnsi="Arial" w:cs="Arial"/>
                <w:color w:val="000000"/>
                <w:sz w:val="20"/>
                <w:szCs w:val="20"/>
              </w:rPr>
              <w:t>II</w:t>
            </w:r>
          </w:p>
        </w:tc>
        <w:tc>
          <w:tcPr>
            <w:tcW w:w="0" w:type="auto"/>
            <w:tcBorders>
              <w:top w:val="nil"/>
              <w:left w:val="nil"/>
              <w:bottom w:val="single" w:sz="4" w:space="0" w:color="auto"/>
              <w:right w:val="single" w:sz="4" w:space="0" w:color="auto"/>
            </w:tcBorders>
            <w:shd w:val="clear" w:color="auto" w:fill="auto"/>
            <w:vAlign w:val="center"/>
            <w:hideMark/>
          </w:tcPr>
          <w:p w14:paraId="6448C698" w14:textId="77777777" w:rsidR="002B18F9" w:rsidRPr="00B92499" w:rsidRDefault="002B18F9" w:rsidP="002B18F9">
            <w:pPr>
              <w:rPr>
                <w:rFonts w:ascii="Arial" w:hAnsi="Arial" w:cs="Arial"/>
                <w:color w:val="000000"/>
                <w:sz w:val="20"/>
                <w:szCs w:val="20"/>
              </w:rPr>
            </w:pPr>
            <w:r w:rsidRPr="00B92499">
              <w:rPr>
                <w:rFonts w:ascii="Arial" w:hAnsi="Arial" w:cs="Arial"/>
                <w:color w:val="000000"/>
                <w:sz w:val="20"/>
                <w:szCs w:val="20"/>
              </w:rPr>
              <w:t>Estructura orgánica.</w:t>
            </w:r>
          </w:p>
        </w:tc>
        <w:tc>
          <w:tcPr>
            <w:tcW w:w="770" w:type="dxa"/>
            <w:tcBorders>
              <w:top w:val="nil"/>
              <w:left w:val="nil"/>
              <w:bottom w:val="single" w:sz="4" w:space="0" w:color="auto"/>
              <w:right w:val="single" w:sz="4" w:space="0" w:color="auto"/>
            </w:tcBorders>
            <w:shd w:val="clear" w:color="auto" w:fill="auto"/>
            <w:vAlign w:val="center"/>
            <w:hideMark/>
          </w:tcPr>
          <w:p w14:paraId="56F7AFF3" w14:textId="77777777" w:rsidR="002B18F9" w:rsidRPr="00B92499" w:rsidRDefault="002B18F9" w:rsidP="002B18F9">
            <w:pPr>
              <w:jc w:val="center"/>
              <w:rPr>
                <w:rFonts w:ascii="Arial" w:hAnsi="Arial" w:cs="Arial"/>
                <w:color w:val="000000"/>
                <w:sz w:val="20"/>
                <w:szCs w:val="20"/>
              </w:rPr>
            </w:pPr>
            <w:r w:rsidRPr="00B92499">
              <w:rPr>
                <w:rFonts w:ascii="Arial" w:hAnsi="Arial" w:cs="Arial"/>
                <w:color w:val="000000"/>
                <w:sz w:val="20"/>
                <w:szCs w:val="20"/>
              </w:rPr>
              <w:t xml:space="preserve">               74.12 </w:t>
            </w:r>
          </w:p>
        </w:tc>
      </w:tr>
      <w:tr w:rsidR="002B18F9" w:rsidRPr="00B92499" w14:paraId="602925D1" w14:textId="77777777" w:rsidTr="002B18F9">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4C288A8" w14:textId="77777777" w:rsidR="002B18F9" w:rsidRPr="00B92499" w:rsidRDefault="002B18F9" w:rsidP="002B18F9">
            <w:pPr>
              <w:jc w:val="center"/>
              <w:rPr>
                <w:rFonts w:ascii="Arial" w:hAnsi="Arial" w:cs="Arial"/>
                <w:color w:val="000000"/>
                <w:sz w:val="20"/>
                <w:szCs w:val="20"/>
              </w:rPr>
            </w:pPr>
            <w:r w:rsidRPr="00B92499">
              <w:rPr>
                <w:rFonts w:ascii="Arial" w:hAnsi="Arial" w:cs="Arial"/>
                <w:color w:val="000000"/>
                <w:sz w:val="20"/>
                <w:szCs w:val="20"/>
              </w:rPr>
              <w:t>XXIII</w:t>
            </w:r>
          </w:p>
        </w:tc>
        <w:tc>
          <w:tcPr>
            <w:tcW w:w="0" w:type="auto"/>
            <w:tcBorders>
              <w:top w:val="nil"/>
              <w:left w:val="nil"/>
              <w:bottom w:val="single" w:sz="4" w:space="0" w:color="auto"/>
              <w:right w:val="single" w:sz="4" w:space="0" w:color="auto"/>
            </w:tcBorders>
            <w:shd w:val="clear" w:color="auto" w:fill="auto"/>
            <w:vAlign w:val="center"/>
            <w:hideMark/>
          </w:tcPr>
          <w:p w14:paraId="360147E9" w14:textId="77777777" w:rsidR="002B18F9" w:rsidRPr="00B92499" w:rsidRDefault="002B18F9" w:rsidP="002B18F9">
            <w:pPr>
              <w:rPr>
                <w:rFonts w:ascii="Arial" w:hAnsi="Arial" w:cs="Arial"/>
                <w:color w:val="000000"/>
                <w:sz w:val="20"/>
                <w:szCs w:val="20"/>
              </w:rPr>
            </w:pPr>
            <w:r w:rsidRPr="00B92499">
              <w:rPr>
                <w:rFonts w:ascii="Arial" w:hAnsi="Arial" w:cs="Arial"/>
                <w:color w:val="000000"/>
                <w:sz w:val="20"/>
                <w:szCs w:val="20"/>
              </w:rPr>
              <w:t>Metas y objetivos de la Dirección conforme al POA.</w:t>
            </w:r>
          </w:p>
        </w:tc>
        <w:tc>
          <w:tcPr>
            <w:tcW w:w="770" w:type="dxa"/>
            <w:tcBorders>
              <w:top w:val="nil"/>
              <w:left w:val="nil"/>
              <w:bottom w:val="single" w:sz="4" w:space="0" w:color="auto"/>
              <w:right w:val="single" w:sz="4" w:space="0" w:color="auto"/>
            </w:tcBorders>
            <w:shd w:val="clear" w:color="auto" w:fill="auto"/>
            <w:vAlign w:val="center"/>
            <w:hideMark/>
          </w:tcPr>
          <w:p w14:paraId="6A3075EE" w14:textId="77777777" w:rsidR="002B18F9" w:rsidRPr="00B92499" w:rsidRDefault="002B18F9" w:rsidP="002B18F9">
            <w:pPr>
              <w:jc w:val="center"/>
              <w:rPr>
                <w:rFonts w:ascii="Arial" w:hAnsi="Arial" w:cs="Arial"/>
                <w:color w:val="000000"/>
                <w:sz w:val="20"/>
                <w:szCs w:val="20"/>
              </w:rPr>
            </w:pPr>
            <w:r w:rsidRPr="00B92499">
              <w:rPr>
                <w:rFonts w:ascii="Arial" w:hAnsi="Arial" w:cs="Arial"/>
                <w:color w:val="000000"/>
                <w:sz w:val="20"/>
                <w:szCs w:val="20"/>
              </w:rPr>
              <w:t xml:space="preserve">               71.82 </w:t>
            </w:r>
          </w:p>
        </w:tc>
      </w:tr>
      <w:tr w:rsidR="002B18F9" w:rsidRPr="00B92499" w14:paraId="67C0BBB4" w14:textId="77777777" w:rsidTr="002B18F9">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59CB485" w14:textId="77777777" w:rsidR="002B18F9" w:rsidRPr="00B92499" w:rsidRDefault="002B18F9" w:rsidP="002B18F9">
            <w:pPr>
              <w:jc w:val="center"/>
              <w:rPr>
                <w:rFonts w:ascii="Arial" w:hAnsi="Arial" w:cs="Arial"/>
                <w:color w:val="000000"/>
                <w:sz w:val="20"/>
                <w:szCs w:val="20"/>
              </w:rPr>
            </w:pPr>
            <w:r w:rsidRPr="00B92499">
              <w:rPr>
                <w:rFonts w:ascii="Arial" w:hAnsi="Arial" w:cs="Arial"/>
                <w:color w:val="000000"/>
                <w:sz w:val="20"/>
                <w:szCs w:val="20"/>
              </w:rPr>
              <w:t>XVIII</w:t>
            </w:r>
          </w:p>
        </w:tc>
        <w:tc>
          <w:tcPr>
            <w:tcW w:w="0" w:type="auto"/>
            <w:tcBorders>
              <w:top w:val="nil"/>
              <w:left w:val="nil"/>
              <w:bottom w:val="single" w:sz="4" w:space="0" w:color="auto"/>
              <w:right w:val="single" w:sz="4" w:space="0" w:color="auto"/>
            </w:tcBorders>
            <w:shd w:val="clear" w:color="auto" w:fill="auto"/>
            <w:vAlign w:val="center"/>
            <w:hideMark/>
          </w:tcPr>
          <w:p w14:paraId="07C613E2" w14:textId="77777777" w:rsidR="002B18F9" w:rsidRPr="00B92499" w:rsidRDefault="002B18F9" w:rsidP="002B18F9">
            <w:pPr>
              <w:rPr>
                <w:rFonts w:ascii="Arial" w:hAnsi="Arial" w:cs="Arial"/>
                <w:color w:val="000000"/>
                <w:sz w:val="20"/>
                <w:szCs w:val="20"/>
              </w:rPr>
            </w:pPr>
            <w:r w:rsidRPr="00B92499">
              <w:rPr>
                <w:rFonts w:ascii="Arial" w:hAnsi="Arial" w:cs="Arial"/>
                <w:color w:val="000000"/>
                <w:sz w:val="20"/>
                <w:szCs w:val="20"/>
              </w:rPr>
              <w:t>Servidores públicos con sanciones administrativas.</w:t>
            </w:r>
          </w:p>
        </w:tc>
        <w:tc>
          <w:tcPr>
            <w:tcW w:w="770" w:type="dxa"/>
            <w:tcBorders>
              <w:top w:val="nil"/>
              <w:left w:val="nil"/>
              <w:bottom w:val="single" w:sz="4" w:space="0" w:color="auto"/>
              <w:right w:val="single" w:sz="4" w:space="0" w:color="auto"/>
            </w:tcBorders>
            <w:shd w:val="clear" w:color="auto" w:fill="auto"/>
            <w:vAlign w:val="center"/>
            <w:hideMark/>
          </w:tcPr>
          <w:p w14:paraId="54F5761B" w14:textId="77777777" w:rsidR="002B18F9" w:rsidRPr="00B92499" w:rsidRDefault="002B18F9" w:rsidP="002B18F9">
            <w:pPr>
              <w:jc w:val="center"/>
              <w:rPr>
                <w:rFonts w:ascii="Arial" w:hAnsi="Arial" w:cs="Arial"/>
                <w:color w:val="000000"/>
                <w:sz w:val="20"/>
                <w:szCs w:val="20"/>
              </w:rPr>
            </w:pPr>
            <w:r w:rsidRPr="00B92499">
              <w:rPr>
                <w:rFonts w:ascii="Arial" w:hAnsi="Arial" w:cs="Arial"/>
                <w:color w:val="000000"/>
                <w:sz w:val="20"/>
                <w:szCs w:val="20"/>
              </w:rPr>
              <w:t xml:space="preserve">               69.19 </w:t>
            </w:r>
          </w:p>
        </w:tc>
      </w:tr>
      <w:tr w:rsidR="002B18F9" w:rsidRPr="00B92499" w14:paraId="7C92A61B" w14:textId="77777777" w:rsidTr="002B18F9">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7EDD6AF" w14:textId="77777777" w:rsidR="002B18F9" w:rsidRPr="00B92499" w:rsidRDefault="002B18F9" w:rsidP="002B18F9">
            <w:pPr>
              <w:jc w:val="center"/>
              <w:rPr>
                <w:rFonts w:ascii="Arial" w:hAnsi="Arial" w:cs="Arial"/>
                <w:color w:val="000000"/>
                <w:sz w:val="20"/>
                <w:szCs w:val="20"/>
              </w:rPr>
            </w:pPr>
            <w:r w:rsidRPr="00B92499">
              <w:rPr>
                <w:rFonts w:ascii="Arial" w:hAnsi="Arial" w:cs="Arial"/>
                <w:color w:val="000000"/>
                <w:sz w:val="20"/>
                <w:szCs w:val="20"/>
              </w:rPr>
              <w:t>XIX</w:t>
            </w:r>
          </w:p>
        </w:tc>
        <w:tc>
          <w:tcPr>
            <w:tcW w:w="0" w:type="auto"/>
            <w:tcBorders>
              <w:top w:val="nil"/>
              <w:left w:val="nil"/>
              <w:bottom w:val="single" w:sz="4" w:space="0" w:color="auto"/>
              <w:right w:val="single" w:sz="4" w:space="0" w:color="auto"/>
            </w:tcBorders>
            <w:shd w:val="clear" w:color="auto" w:fill="auto"/>
            <w:vAlign w:val="center"/>
            <w:hideMark/>
          </w:tcPr>
          <w:p w14:paraId="2A51DFCD" w14:textId="77777777" w:rsidR="002B18F9" w:rsidRPr="00B92499" w:rsidRDefault="002B18F9" w:rsidP="002B18F9">
            <w:pPr>
              <w:rPr>
                <w:rFonts w:ascii="Arial" w:hAnsi="Arial" w:cs="Arial"/>
                <w:color w:val="000000"/>
                <w:sz w:val="20"/>
                <w:szCs w:val="20"/>
              </w:rPr>
            </w:pPr>
            <w:r w:rsidRPr="00B92499">
              <w:rPr>
                <w:rFonts w:ascii="Arial" w:hAnsi="Arial" w:cs="Arial"/>
                <w:color w:val="000000"/>
                <w:sz w:val="20"/>
                <w:szCs w:val="20"/>
              </w:rPr>
              <w:t>Servicios que ofrecen y requisitos para acceder a ellos.</w:t>
            </w:r>
          </w:p>
        </w:tc>
        <w:tc>
          <w:tcPr>
            <w:tcW w:w="770" w:type="dxa"/>
            <w:tcBorders>
              <w:top w:val="nil"/>
              <w:left w:val="nil"/>
              <w:bottom w:val="single" w:sz="4" w:space="0" w:color="auto"/>
              <w:right w:val="single" w:sz="4" w:space="0" w:color="auto"/>
            </w:tcBorders>
            <w:shd w:val="clear" w:color="auto" w:fill="auto"/>
            <w:vAlign w:val="center"/>
            <w:hideMark/>
          </w:tcPr>
          <w:p w14:paraId="2203885A" w14:textId="77777777" w:rsidR="002B18F9" w:rsidRPr="00B92499" w:rsidRDefault="002B18F9" w:rsidP="002B18F9">
            <w:pPr>
              <w:jc w:val="center"/>
              <w:rPr>
                <w:rFonts w:ascii="Arial" w:hAnsi="Arial" w:cs="Arial"/>
                <w:color w:val="000000"/>
                <w:sz w:val="20"/>
                <w:szCs w:val="20"/>
              </w:rPr>
            </w:pPr>
            <w:r w:rsidRPr="00B92499">
              <w:rPr>
                <w:rFonts w:ascii="Arial" w:hAnsi="Arial" w:cs="Arial"/>
                <w:color w:val="000000"/>
                <w:sz w:val="20"/>
                <w:szCs w:val="20"/>
              </w:rPr>
              <w:t xml:space="preserve">               68.75 </w:t>
            </w:r>
          </w:p>
        </w:tc>
      </w:tr>
      <w:tr w:rsidR="002B18F9" w:rsidRPr="00B92499" w14:paraId="5B98B940" w14:textId="77777777" w:rsidTr="002B18F9">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0FB499B" w14:textId="77777777" w:rsidR="002B18F9" w:rsidRPr="00B92499" w:rsidRDefault="002B18F9" w:rsidP="002B18F9">
            <w:pPr>
              <w:jc w:val="center"/>
              <w:rPr>
                <w:rFonts w:ascii="Arial" w:hAnsi="Arial" w:cs="Arial"/>
                <w:color w:val="000000"/>
                <w:sz w:val="20"/>
                <w:szCs w:val="20"/>
              </w:rPr>
            </w:pPr>
            <w:r w:rsidRPr="00B92499">
              <w:rPr>
                <w:rFonts w:ascii="Arial" w:hAnsi="Arial" w:cs="Arial"/>
                <w:color w:val="000000"/>
                <w:sz w:val="20"/>
                <w:szCs w:val="20"/>
              </w:rPr>
              <w:t>III</w:t>
            </w:r>
          </w:p>
        </w:tc>
        <w:tc>
          <w:tcPr>
            <w:tcW w:w="0" w:type="auto"/>
            <w:tcBorders>
              <w:top w:val="nil"/>
              <w:left w:val="nil"/>
              <w:bottom w:val="single" w:sz="4" w:space="0" w:color="auto"/>
              <w:right w:val="single" w:sz="4" w:space="0" w:color="auto"/>
            </w:tcBorders>
            <w:shd w:val="clear" w:color="auto" w:fill="auto"/>
            <w:vAlign w:val="center"/>
            <w:hideMark/>
          </w:tcPr>
          <w:p w14:paraId="63437315" w14:textId="77777777" w:rsidR="002B18F9" w:rsidRPr="00B92499" w:rsidRDefault="002B18F9" w:rsidP="002B18F9">
            <w:pPr>
              <w:rPr>
                <w:rFonts w:ascii="Arial" w:hAnsi="Arial" w:cs="Arial"/>
                <w:color w:val="000000"/>
                <w:sz w:val="20"/>
                <w:szCs w:val="20"/>
              </w:rPr>
            </w:pPr>
            <w:r w:rsidRPr="00B92499">
              <w:rPr>
                <w:rFonts w:ascii="Arial" w:hAnsi="Arial" w:cs="Arial"/>
                <w:color w:val="000000"/>
                <w:sz w:val="20"/>
                <w:szCs w:val="20"/>
              </w:rPr>
              <w:t>Facultades de cada área (dirección).</w:t>
            </w:r>
          </w:p>
        </w:tc>
        <w:tc>
          <w:tcPr>
            <w:tcW w:w="770" w:type="dxa"/>
            <w:tcBorders>
              <w:top w:val="nil"/>
              <w:left w:val="nil"/>
              <w:bottom w:val="single" w:sz="4" w:space="0" w:color="auto"/>
              <w:right w:val="single" w:sz="4" w:space="0" w:color="auto"/>
            </w:tcBorders>
            <w:shd w:val="clear" w:color="auto" w:fill="auto"/>
            <w:vAlign w:val="center"/>
            <w:hideMark/>
          </w:tcPr>
          <w:p w14:paraId="2DA2DA2D" w14:textId="77777777" w:rsidR="002B18F9" w:rsidRPr="00B92499" w:rsidRDefault="002B18F9" w:rsidP="002B18F9">
            <w:pPr>
              <w:jc w:val="center"/>
              <w:rPr>
                <w:rFonts w:ascii="Arial" w:hAnsi="Arial" w:cs="Arial"/>
                <w:color w:val="000000"/>
                <w:sz w:val="20"/>
                <w:szCs w:val="20"/>
              </w:rPr>
            </w:pPr>
            <w:r w:rsidRPr="00B92499">
              <w:rPr>
                <w:rFonts w:ascii="Arial" w:hAnsi="Arial" w:cs="Arial"/>
                <w:color w:val="000000"/>
                <w:sz w:val="20"/>
                <w:szCs w:val="20"/>
              </w:rPr>
              <w:t xml:space="preserve">               68.67 </w:t>
            </w:r>
          </w:p>
        </w:tc>
      </w:tr>
      <w:tr w:rsidR="002B18F9" w:rsidRPr="00B92499" w14:paraId="656C8EA4" w14:textId="77777777" w:rsidTr="002B18F9">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D07C257" w14:textId="77777777" w:rsidR="002B18F9" w:rsidRPr="00B92499" w:rsidRDefault="002B18F9" w:rsidP="002B18F9">
            <w:pPr>
              <w:jc w:val="center"/>
              <w:rPr>
                <w:rFonts w:ascii="Arial" w:hAnsi="Arial" w:cs="Arial"/>
                <w:color w:val="000000"/>
                <w:sz w:val="20"/>
                <w:szCs w:val="20"/>
              </w:rPr>
            </w:pPr>
            <w:r w:rsidRPr="00B92499">
              <w:rPr>
                <w:rFonts w:ascii="Arial" w:hAnsi="Arial" w:cs="Arial"/>
                <w:color w:val="000000"/>
                <w:sz w:val="20"/>
                <w:szCs w:val="20"/>
              </w:rPr>
              <w:t>VIII</w:t>
            </w:r>
          </w:p>
        </w:tc>
        <w:tc>
          <w:tcPr>
            <w:tcW w:w="0" w:type="auto"/>
            <w:tcBorders>
              <w:top w:val="nil"/>
              <w:left w:val="nil"/>
              <w:bottom w:val="single" w:sz="4" w:space="0" w:color="auto"/>
              <w:right w:val="single" w:sz="4" w:space="0" w:color="auto"/>
            </w:tcBorders>
            <w:shd w:val="clear" w:color="auto" w:fill="auto"/>
            <w:vAlign w:val="center"/>
            <w:hideMark/>
          </w:tcPr>
          <w:p w14:paraId="7DB74145" w14:textId="77777777" w:rsidR="002B18F9" w:rsidRPr="00B92499" w:rsidRDefault="002B18F9" w:rsidP="002B18F9">
            <w:pPr>
              <w:rPr>
                <w:rFonts w:ascii="Arial" w:hAnsi="Arial" w:cs="Arial"/>
                <w:color w:val="000000"/>
                <w:sz w:val="20"/>
                <w:szCs w:val="20"/>
              </w:rPr>
            </w:pPr>
            <w:r w:rsidRPr="00B92499">
              <w:rPr>
                <w:rFonts w:ascii="Arial" w:hAnsi="Arial" w:cs="Arial"/>
                <w:color w:val="000000"/>
                <w:sz w:val="20"/>
                <w:szCs w:val="20"/>
              </w:rPr>
              <w:t>Directorio del área.</w:t>
            </w:r>
          </w:p>
        </w:tc>
        <w:tc>
          <w:tcPr>
            <w:tcW w:w="770" w:type="dxa"/>
            <w:tcBorders>
              <w:top w:val="nil"/>
              <w:left w:val="nil"/>
              <w:bottom w:val="single" w:sz="4" w:space="0" w:color="auto"/>
              <w:right w:val="single" w:sz="4" w:space="0" w:color="auto"/>
            </w:tcBorders>
            <w:shd w:val="clear" w:color="auto" w:fill="auto"/>
            <w:vAlign w:val="center"/>
            <w:hideMark/>
          </w:tcPr>
          <w:p w14:paraId="7A4FE0B6" w14:textId="77777777" w:rsidR="002B18F9" w:rsidRPr="00B92499" w:rsidRDefault="002B18F9" w:rsidP="002B18F9">
            <w:pPr>
              <w:jc w:val="center"/>
              <w:rPr>
                <w:rFonts w:ascii="Arial" w:hAnsi="Arial" w:cs="Arial"/>
                <w:color w:val="000000"/>
                <w:sz w:val="20"/>
                <w:szCs w:val="20"/>
              </w:rPr>
            </w:pPr>
            <w:r w:rsidRPr="00B92499">
              <w:rPr>
                <w:rFonts w:ascii="Arial" w:hAnsi="Arial" w:cs="Arial"/>
                <w:color w:val="000000"/>
                <w:sz w:val="20"/>
                <w:szCs w:val="20"/>
              </w:rPr>
              <w:t xml:space="preserve">               68.54 </w:t>
            </w:r>
          </w:p>
        </w:tc>
      </w:tr>
      <w:tr w:rsidR="002B18F9" w:rsidRPr="00B92499" w14:paraId="1CF58D3F" w14:textId="77777777" w:rsidTr="002B18F9">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0A91268" w14:textId="77777777" w:rsidR="002B18F9" w:rsidRPr="00B92499" w:rsidRDefault="002B18F9" w:rsidP="002B18F9">
            <w:pPr>
              <w:jc w:val="center"/>
              <w:rPr>
                <w:rFonts w:ascii="Arial" w:hAnsi="Arial" w:cs="Arial"/>
                <w:color w:val="000000"/>
                <w:sz w:val="20"/>
                <w:szCs w:val="20"/>
              </w:rPr>
            </w:pPr>
            <w:r w:rsidRPr="00B92499">
              <w:rPr>
                <w:rFonts w:ascii="Arial" w:hAnsi="Arial" w:cs="Arial"/>
                <w:color w:val="000000"/>
                <w:sz w:val="20"/>
                <w:szCs w:val="20"/>
              </w:rPr>
              <w:t>XVII</w:t>
            </w:r>
          </w:p>
        </w:tc>
        <w:tc>
          <w:tcPr>
            <w:tcW w:w="0" w:type="auto"/>
            <w:tcBorders>
              <w:top w:val="nil"/>
              <w:left w:val="nil"/>
              <w:bottom w:val="single" w:sz="4" w:space="0" w:color="auto"/>
              <w:right w:val="single" w:sz="4" w:space="0" w:color="auto"/>
            </w:tcBorders>
            <w:shd w:val="clear" w:color="auto" w:fill="auto"/>
            <w:vAlign w:val="center"/>
            <w:hideMark/>
          </w:tcPr>
          <w:p w14:paraId="4133D7AE" w14:textId="77777777" w:rsidR="002B18F9" w:rsidRPr="00B92499" w:rsidRDefault="002B18F9" w:rsidP="002B18F9">
            <w:pPr>
              <w:rPr>
                <w:rFonts w:ascii="Arial" w:hAnsi="Arial" w:cs="Arial"/>
                <w:color w:val="000000"/>
                <w:sz w:val="20"/>
                <w:szCs w:val="20"/>
              </w:rPr>
            </w:pPr>
            <w:r w:rsidRPr="00B92499">
              <w:rPr>
                <w:rFonts w:ascii="Arial" w:hAnsi="Arial" w:cs="Arial"/>
                <w:color w:val="000000"/>
                <w:sz w:val="20"/>
                <w:szCs w:val="20"/>
              </w:rPr>
              <w:t>CV de jefe de departamento para arriba.</w:t>
            </w:r>
          </w:p>
        </w:tc>
        <w:tc>
          <w:tcPr>
            <w:tcW w:w="770" w:type="dxa"/>
            <w:tcBorders>
              <w:top w:val="nil"/>
              <w:left w:val="nil"/>
              <w:bottom w:val="single" w:sz="4" w:space="0" w:color="auto"/>
              <w:right w:val="single" w:sz="4" w:space="0" w:color="auto"/>
            </w:tcBorders>
            <w:shd w:val="clear" w:color="auto" w:fill="auto"/>
            <w:vAlign w:val="center"/>
            <w:hideMark/>
          </w:tcPr>
          <w:p w14:paraId="7CE5F504" w14:textId="77777777" w:rsidR="002B18F9" w:rsidRPr="00B92499" w:rsidRDefault="002B18F9" w:rsidP="002B18F9">
            <w:pPr>
              <w:jc w:val="center"/>
              <w:rPr>
                <w:rFonts w:ascii="Arial" w:hAnsi="Arial" w:cs="Arial"/>
                <w:color w:val="000000"/>
                <w:sz w:val="20"/>
                <w:szCs w:val="20"/>
              </w:rPr>
            </w:pPr>
            <w:r w:rsidRPr="00B92499">
              <w:rPr>
                <w:rFonts w:ascii="Arial" w:hAnsi="Arial" w:cs="Arial"/>
                <w:color w:val="000000"/>
                <w:sz w:val="20"/>
                <w:szCs w:val="20"/>
              </w:rPr>
              <w:t xml:space="preserve">               68.49 </w:t>
            </w:r>
          </w:p>
        </w:tc>
      </w:tr>
      <w:tr w:rsidR="002B18F9" w:rsidRPr="00B92499" w14:paraId="5C9A92E1" w14:textId="77777777" w:rsidTr="002B18F9">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33867DB" w14:textId="77777777" w:rsidR="002B18F9" w:rsidRPr="00B92499" w:rsidRDefault="002B18F9" w:rsidP="002B18F9">
            <w:pPr>
              <w:jc w:val="center"/>
              <w:rPr>
                <w:rFonts w:ascii="Arial" w:hAnsi="Arial" w:cs="Arial"/>
                <w:color w:val="000000"/>
                <w:sz w:val="20"/>
                <w:szCs w:val="20"/>
              </w:rPr>
            </w:pPr>
            <w:r w:rsidRPr="00B92499">
              <w:rPr>
                <w:rFonts w:ascii="Arial" w:hAnsi="Arial" w:cs="Arial"/>
                <w:color w:val="000000"/>
                <w:sz w:val="20"/>
                <w:szCs w:val="20"/>
              </w:rPr>
              <w:t>X</w:t>
            </w:r>
          </w:p>
        </w:tc>
        <w:tc>
          <w:tcPr>
            <w:tcW w:w="0" w:type="auto"/>
            <w:tcBorders>
              <w:top w:val="nil"/>
              <w:left w:val="nil"/>
              <w:bottom w:val="single" w:sz="4" w:space="0" w:color="auto"/>
              <w:right w:val="single" w:sz="4" w:space="0" w:color="auto"/>
            </w:tcBorders>
            <w:shd w:val="clear" w:color="auto" w:fill="auto"/>
            <w:vAlign w:val="center"/>
            <w:hideMark/>
          </w:tcPr>
          <w:p w14:paraId="75F4F859" w14:textId="2A7475E9" w:rsidR="002B18F9" w:rsidRPr="00B92499" w:rsidRDefault="002B18F9" w:rsidP="002B18F9">
            <w:pPr>
              <w:rPr>
                <w:rFonts w:ascii="Arial" w:hAnsi="Arial" w:cs="Arial"/>
                <w:color w:val="000000"/>
                <w:sz w:val="20"/>
                <w:szCs w:val="20"/>
              </w:rPr>
            </w:pPr>
            <w:r w:rsidRPr="00B92499">
              <w:rPr>
                <w:rFonts w:ascii="Arial" w:hAnsi="Arial" w:cs="Arial"/>
                <w:color w:val="000000"/>
                <w:sz w:val="20"/>
                <w:szCs w:val="20"/>
              </w:rPr>
              <w:t>Lista con el importe</w:t>
            </w:r>
            <w:r w:rsidR="009F734B" w:rsidRPr="00B92499">
              <w:rPr>
                <w:rFonts w:ascii="Arial" w:hAnsi="Arial" w:cs="Arial"/>
                <w:color w:val="000000"/>
                <w:sz w:val="20"/>
                <w:szCs w:val="20"/>
              </w:rPr>
              <w:t xml:space="preserve"> por </w:t>
            </w:r>
            <w:r w:rsidRPr="00B92499">
              <w:rPr>
                <w:rFonts w:ascii="Arial" w:hAnsi="Arial" w:cs="Arial"/>
                <w:color w:val="000000"/>
                <w:sz w:val="20"/>
                <w:szCs w:val="20"/>
              </w:rPr>
              <w:t>concepto de viáticos.</w:t>
            </w:r>
          </w:p>
        </w:tc>
        <w:tc>
          <w:tcPr>
            <w:tcW w:w="770" w:type="dxa"/>
            <w:tcBorders>
              <w:top w:val="nil"/>
              <w:left w:val="nil"/>
              <w:bottom w:val="single" w:sz="4" w:space="0" w:color="auto"/>
              <w:right w:val="single" w:sz="4" w:space="0" w:color="auto"/>
            </w:tcBorders>
            <w:shd w:val="clear" w:color="auto" w:fill="auto"/>
            <w:vAlign w:val="center"/>
            <w:hideMark/>
          </w:tcPr>
          <w:p w14:paraId="51E86C96" w14:textId="77777777" w:rsidR="002B18F9" w:rsidRPr="00B92499" w:rsidRDefault="002B18F9" w:rsidP="002B18F9">
            <w:pPr>
              <w:jc w:val="center"/>
              <w:rPr>
                <w:rFonts w:ascii="Arial" w:hAnsi="Arial" w:cs="Arial"/>
                <w:color w:val="000000"/>
                <w:sz w:val="20"/>
                <w:szCs w:val="20"/>
              </w:rPr>
            </w:pPr>
            <w:r w:rsidRPr="00B92499">
              <w:rPr>
                <w:rFonts w:ascii="Arial" w:hAnsi="Arial" w:cs="Arial"/>
                <w:color w:val="000000"/>
                <w:sz w:val="20"/>
                <w:szCs w:val="20"/>
              </w:rPr>
              <w:t xml:space="preserve">               67.59 </w:t>
            </w:r>
          </w:p>
        </w:tc>
      </w:tr>
      <w:tr w:rsidR="002B18F9" w:rsidRPr="00B92499" w14:paraId="7912F1A3" w14:textId="77777777" w:rsidTr="002B18F9">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1019A28" w14:textId="77777777" w:rsidR="002B18F9" w:rsidRPr="00B92499" w:rsidRDefault="002B18F9" w:rsidP="002B18F9">
            <w:pPr>
              <w:jc w:val="center"/>
              <w:rPr>
                <w:rFonts w:ascii="Arial" w:hAnsi="Arial" w:cs="Arial"/>
                <w:color w:val="000000"/>
                <w:sz w:val="20"/>
                <w:szCs w:val="20"/>
              </w:rPr>
            </w:pPr>
            <w:r w:rsidRPr="00B92499">
              <w:rPr>
                <w:rFonts w:ascii="Arial" w:hAnsi="Arial" w:cs="Arial"/>
                <w:color w:val="000000"/>
                <w:sz w:val="20"/>
                <w:szCs w:val="20"/>
              </w:rPr>
              <w:t>XXX</w:t>
            </w:r>
          </w:p>
        </w:tc>
        <w:tc>
          <w:tcPr>
            <w:tcW w:w="0" w:type="auto"/>
            <w:tcBorders>
              <w:top w:val="nil"/>
              <w:left w:val="nil"/>
              <w:bottom w:val="single" w:sz="4" w:space="0" w:color="auto"/>
              <w:right w:val="single" w:sz="4" w:space="0" w:color="auto"/>
            </w:tcBorders>
            <w:shd w:val="clear" w:color="auto" w:fill="auto"/>
            <w:vAlign w:val="center"/>
            <w:hideMark/>
          </w:tcPr>
          <w:p w14:paraId="2583B0E6" w14:textId="77777777" w:rsidR="002B18F9" w:rsidRPr="00B92499" w:rsidRDefault="002B18F9" w:rsidP="002B18F9">
            <w:pPr>
              <w:rPr>
                <w:rFonts w:ascii="Arial" w:hAnsi="Arial" w:cs="Arial"/>
                <w:color w:val="000000"/>
                <w:sz w:val="20"/>
                <w:szCs w:val="20"/>
              </w:rPr>
            </w:pPr>
            <w:r w:rsidRPr="00B92499">
              <w:rPr>
                <w:rFonts w:ascii="Arial" w:hAnsi="Arial" w:cs="Arial"/>
                <w:color w:val="000000"/>
                <w:sz w:val="20"/>
                <w:szCs w:val="20"/>
              </w:rPr>
              <w:t xml:space="preserve">Resultados de procedimiento de adjudicación directa, invitación restringida y licitación. </w:t>
            </w:r>
          </w:p>
        </w:tc>
        <w:tc>
          <w:tcPr>
            <w:tcW w:w="770" w:type="dxa"/>
            <w:tcBorders>
              <w:top w:val="nil"/>
              <w:left w:val="nil"/>
              <w:bottom w:val="single" w:sz="4" w:space="0" w:color="auto"/>
              <w:right w:val="single" w:sz="4" w:space="0" w:color="auto"/>
            </w:tcBorders>
            <w:shd w:val="clear" w:color="auto" w:fill="auto"/>
            <w:vAlign w:val="center"/>
            <w:hideMark/>
          </w:tcPr>
          <w:p w14:paraId="48261C27" w14:textId="77777777" w:rsidR="002B18F9" w:rsidRPr="00B92499" w:rsidRDefault="002B18F9" w:rsidP="002B18F9">
            <w:pPr>
              <w:jc w:val="center"/>
              <w:rPr>
                <w:rFonts w:ascii="Arial" w:hAnsi="Arial" w:cs="Arial"/>
                <w:color w:val="000000"/>
                <w:sz w:val="20"/>
                <w:szCs w:val="20"/>
              </w:rPr>
            </w:pPr>
            <w:r w:rsidRPr="00B92499">
              <w:rPr>
                <w:rFonts w:ascii="Arial" w:hAnsi="Arial" w:cs="Arial"/>
                <w:color w:val="000000"/>
                <w:sz w:val="20"/>
                <w:szCs w:val="20"/>
              </w:rPr>
              <w:t xml:space="preserve">               67.56 </w:t>
            </w:r>
          </w:p>
        </w:tc>
      </w:tr>
      <w:tr w:rsidR="002B18F9" w:rsidRPr="00B92499" w14:paraId="49EAC702" w14:textId="77777777" w:rsidTr="002B18F9">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6CCE283" w14:textId="77777777" w:rsidR="002B18F9" w:rsidRPr="00B92499" w:rsidRDefault="002B18F9" w:rsidP="002B18F9">
            <w:pPr>
              <w:jc w:val="center"/>
              <w:rPr>
                <w:rFonts w:ascii="Arial" w:hAnsi="Arial" w:cs="Arial"/>
                <w:color w:val="000000"/>
                <w:sz w:val="20"/>
                <w:szCs w:val="20"/>
              </w:rPr>
            </w:pPr>
            <w:r w:rsidRPr="00B92499">
              <w:rPr>
                <w:rFonts w:ascii="Arial" w:hAnsi="Arial" w:cs="Arial"/>
                <w:color w:val="000000"/>
                <w:sz w:val="20"/>
                <w:szCs w:val="20"/>
              </w:rPr>
              <w:t>I</w:t>
            </w:r>
          </w:p>
        </w:tc>
        <w:tc>
          <w:tcPr>
            <w:tcW w:w="0" w:type="auto"/>
            <w:tcBorders>
              <w:top w:val="nil"/>
              <w:left w:val="nil"/>
              <w:bottom w:val="single" w:sz="4" w:space="0" w:color="auto"/>
              <w:right w:val="single" w:sz="4" w:space="0" w:color="auto"/>
            </w:tcBorders>
            <w:shd w:val="clear" w:color="auto" w:fill="auto"/>
            <w:vAlign w:val="center"/>
            <w:hideMark/>
          </w:tcPr>
          <w:p w14:paraId="5D1AB5CC" w14:textId="77777777" w:rsidR="002B18F9" w:rsidRPr="00B92499" w:rsidRDefault="002B18F9" w:rsidP="002B18F9">
            <w:pPr>
              <w:rPr>
                <w:rFonts w:ascii="Arial" w:hAnsi="Arial" w:cs="Arial"/>
                <w:color w:val="000000"/>
                <w:sz w:val="20"/>
                <w:szCs w:val="20"/>
              </w:rPr>
            </w:pPr>
            <w:r w:rsidRPr="00B92499">
              <w:rPr>
                <w:rFonts w:ascii="Arial" w:hAnsi="Arial" w:cs="Arial"/>
                <w:color w:val="000000"/>
                <w:sz w:val="20"/>
                <w:szCs w:val="20"/>
              </w:rPr>
              <w:t>Marco Normativo.</w:t>
            </w:r>
          </w:p>
        </w:tc>
        <w:tc>
          <w:tcPr>
            <w:tcW w:w="770" w:type="dxa"/>
            <w:tcBorders>
              <w:top w:val="nil"/>
              <w:left w:val="nil"/>
              <w:bottom w:val="single" w:sz="4" w:space="0" w:color="auto"/>
              <w:right w:val="single" w:sz="4" w:space="0" w:color="auto"/>
            </w:tcBorders>
            <w:shd w:val="clear" w:color="auto" w:fill="auto"/>
            <w:vAlign w:val="center"/>
            <w:hideMark/>
          </w:tcPr>
          <w:p w14:paraId="64BD36C3" w14:textId="77777777" w:rsidR="002B18F9" w:rsidRPr="00B92499" w:rsidRDefault="002B18F9" w:rsidP="002B18F9">
            <w:pPr>
              <w:jc w:val="center"/>
              <w:rPr>
                <w:rFonts w:ascii="Arial" w:hAnsi="Arial" w:cs="Arial"/>
                <w:color w:val="000000"/>
                <w:sz w:val="20"/>
                <w:szCs w:val="20"/>
              </w:rPr>
            </w:pPr>
            <w:r w:rsidRPr="00B92499">
              <w:rPr>
                <w:rFonts w:ascii="Arial" w:hAnsi="Arial" w:cs="Arial"/>
                <w:color w:val="000000"/>
                <w:sz w:val="20"/>
                <w:szCs w:val="20"/>
              </w:rPr>
              <w:t xml:space="preserve">               67.50 </w:t>
            </w:r>
          </w:p>
        </w:tc>
      </w:tr>
      <w:tr w:rsidR="002B18F9" w:rsidRPr="00B92499" w14:paraId="59FF42B6" w14:textId="77777777" w:rsidTr="002B18F9">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EE16E58" w14:textId="77777777" w:rsidR="002B18F9" w:rsidRPr="00B92499" w:rsidRDefault="002B18F9" w:rsidP="002B18F9">
            <w:pPr>
              <w:jc w:val="center"/>
              <w:rPr>
                <w:rFonts w:ascii="Arial" w:hAnsi="Arial" w:cs="Arial"/>
                <w:color w:val="000000"/>
                <w:sz w:val="20"/>
                <w:szCs w:val="20"/>
              </w:rPr>
            </w:pPr>
            <w:r w:rsidRPr="00B92499">
              <w:rPr>
                <w:rFonts w:ascii="Arial" w:hAnsi="Arial" w:cs="Arial"/>
                <w:color w:val="000000"/>
                <w:sz w:val="20"/>
                <w:szCs w:val="20"/>
              </w:rPr>
              <w:t>IV</w:t>
            </w:r>
          </w:p>
        </w:tc>
        <w:tc>
          <w:tcPr>
            <w:tcW w:w="0" w:type="auto"/>
            <w:tcBorders>
              <w:top w:val="nil"/>
              <w:left w:val="nil"/>
              <w:bottom w:val="single" w:sz="4" w:space="0" w:color="auto"/>
              <w:right w:val="single" w:sz="4" w:space="0" w:color="auto"/>
            </w:tcBorders>
            <w:shd w:val="clear" w:color="auto" w:fill="auto"/>
            <w:vAlign w:val="center"/>
            <w:hideMark/>
          </w:tcPr>
          <w:p w14:paraId="3952FEE9" w14:textId="77777777" w:rsidR="002B18F9" w:rsidRPr="00B92499" w:rsidRDefault="002B18F9" w:rsidP="002B18F9">
            <w:pPr>
              <w:rPr>
                <w:rFonts w:ascii="Arial" w:hAnsi="Arial" w:cs="Arial"/>
                <w:color w:val="000000"/>
                <w:sz w:val="20"/>
                <w:szCs w:val="20"/>
              </w:rPr>
            </w:pPr>
            <w:r w:rsidRPr="00B92499">
              <w:rPr>
                <w:rFonts w:ascii="Arial" w:hAnsi="Arial" w:cs="Arial"/>
                <w:color w:val="000000"/>
                <w:sz w:val="20"/>
                <w:szCs w:val="20"/>
              </w:rPr>
              <w:t xml:space="preserve">Metas y objetivos de la Dirección. </w:t>
            </w:r>
          </w:p>
        </w:tc>
        <w:tc>
          <w:tcPr>
            <w:tcW w:w="770" w:type="dxa"/>
            <w:tcBorders>
              <w:top w:val="nil"/>
              <w:left w:val="nil"/>
              <w:bottom w:val="single" w:sz="4" w:space="0" w:color="auto"/>
              <w:right w:val="single" w:sz="4" w:space="0" w:color="auto"/>
            </w:tcBorders>
            <w:shd w:val="clear" w:color="auto" w:fill="auto"/>
            <w:vAlign w:val="center"/>
            <w:hideMark/>
          </w:tcPr>
          <w:p w14:paraId="4009FB6C" w14:textId="77777777" w:rsidR="002B18F9" w:rsidRPr="00B92499" w:rsidRDefault="002B18F9" w:rsidP="002B18F9">
            <w:pPr>
              <w:jc w:val="center"/>
              <w:rPr>
                <w:rFonts w:ascii="Arial" w:hAnsi="Arial" w:cs="Arial"/>
                <w:color w:val="000000"/>
                <w:sz w:val="20"/>
                <w:szCs w:val="20"/>
              </w:rPr>
            </w:pPr>
            <w:r w:rsidRPr="00B92499">
              <w:rPr>
                <w:rFonts w:ascii="Arial" w:hAnsi="Arial" w:cs="Arial"/>
                <w:color w:val="000000"/>
                <w:sz w:val="20"/>
                <w:szCs w:val="20"/>
              </w:rPr>
              <w:t xml:space="preserve">               66.82 </w:t>
            </w:r>
          </w:p>
        </w:tc>
      </w:tr>
      <w:tr w:rsidR="002B18F9" w:rsidRPr="00B92499" w14:paraId="4A58319B" w14:textId="77777777" w:rsidTr="002B18F9">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0AF3036" w14:textId="77777777" w:rsidR="002B18F9" w:rsidRPr="00B92499" w:rsidRDefault="002B18F9" w:rsidP="002B18F9">
            <w:pPr>
              <w:jc w:val="center"/>
              <w:rPr>
                <w:rFonts w:ascii="Arial" w:hAnsi="Arial" w:cs="Arial"/>
                <w:color w:val="000000"/>
                <w:sz w:val="20"/>
                <w:szCs w:val="20"/>
              </w:rPr>
            </w:pPr>
            <w:r w:rsidRPr="00B92499">
              <w:rPr>
                <w:rFonts w:ascii="Arial" w:hAnsi="Arial" w:cs="Arial"/>
                <w:color w:val="000000"/>
                <w:sz w:val="20"/>
                <w:szCs w:val="20"/>
              </w:rPr>
              <w:t>XI</w:t>
            </w:r>
          </w:p>
        </w:tc>
        <w:tc>
          <w:tcPr>
            <w:tcW w:w="0" w:type="auto"/>
            <w:tcBorders>
              <w:top w:val="nil"/>
              <w:left w:val="nil"/>
              <w:bottom w:val="single" w:sz="4" w:space="0" w:color="auto"/>
              <w:right w:val="single" w:sz="4" w:space="0" w:color="auto"/>
            </w:tcBorders>
            <w:shd w:val="clear" w:color="auto" w:fill="auto"/>
            <w:vAlign w:val="center"/>
            <w:hideMark/>
          </w:tcPr>
          <w:p w14:paraId="4BD95744" w14:textId="77777777" w:rsidR="002B18F9" w:rsidRPr="00B92499" w:rsidRDefault="002B18F9" w:rsidP="002B18F9">
            <w:pPr>
              <w:rPr>
                <w:rFonts w:ascii="Arial" w:hAnsi="Arial" w:cs="Arial"/>
                <w:color w:val="000000"/>
                <w:sz w:val="20"/>
                <w:szCs w:val="20"/>
              </w:rPr>
            </w:pPr>
            <w:r w:rsidRPr="00B92499">
              <w:rPr>
                <w:rFonts w:ascii="Arial" w:hAnsi="Arial" w:cs="Arial"/>
                <w:color w:val="000000"/>
                <w:sz w:val="20"/>
                <w:szCs w:val="20"/>
              </w:rPr>
              <w:t>Número tal de plazas y tipos.</w:t>
            </w:r>
          </w:p>
        </w:tc>
        <w:tc>
          <w:tcPr>
            <w:tcW w:w="770" w:type="dxa"/>
            <w:tcBorders>
              <w:top w:val="nil"/>
              <w:left w:val="nil"/>
              <w:bottom w:val="single" w:sz="4" w:space="0" w:color="auto"/>
              <w:right w:val="single" w:sz="4" w:space="0" w:color="auto"/>
            </w:tcBorders>
            <w:shd w:val="clear" w:color="auto" w:fill="auto"/>
            <w:vAlign w:val="center"/>
            <w:hideMark/>
          </w:tcPr>
          <w:p w14:paraId="6BF5A8C3" w14:textId="77777777" w:rsidR="002B18F9" w:rsidRPr="00B92499" w:rsidRDefault="002B18F9" w:rsidP="002B18F9">
            <w:pPr>
              <w:jc w:val="center"/>
              <w:rPr>
                <w:rFonts w:ascii="Arial" w:hAnsi="Arial" w:cs="Arial"/>
                <w:color w:val="000000"/>
                <w:sz w:val="20"/>
                <w:szCs w:val="20"/>
              </w:rPr>
            </w:pPr>
            <w:r w:rsidRPr="00B92499">
              <w:rPr>
                <w:rFonts w:ascii="Arial" w:hAnsi="Arial" w:cs="Arial"/>
                <w:color w:val="000000"/>
                <w:sz w:val="20"/>
                <w:szCs w:val="20"/>
              </w:rPr>
              <w:t xml:space="preserve">               66.09 </w:t>
            </w:r>
          </w:p>
        </w:tc>
      </w:tr>
      <w:tr w:rsidR="002B18F9" w:rsidRPr="00B92499" w14:paraId="314BD7DF" w14:textId="77777777" w:rsidTr="002B18F9">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473EF63" w14:textId="77777777" w:rsidR="002B18F9" w:rsidRPr="00B92499" w:rsidRDefault="002B18F9" w:rsidP="002B18F9">
            <w:pPr>
              <w:jc w:val="center"/>
              <w:rPr>
                <w:rFonts w:ascii="Arial" w:hAnsi="Arial" w:cs="Arial"/>
                <w:color w:val="000000"/>
                <w:sz w:val="20"/>
                <w:szCs w:val="20"/>
              </w:rPr>
            </w:pPr>
            <w:r w:rsidRPr="00B92499">
              <w:rPr>
                <w:rFonts w:ascii="Arial" w:hAnsi="Arial" w:cs="Arial"/>
                <w:color w:val="000000"/>
                <w:sz w:val="20"/>
                <w:szCs w:val="20"/>
              </w:rPr>
              <w:t>XXXIV</w:t>
            </w:r>
          </w:p>
        </w:tc>
        <w:tc>
          <w:tcPr>
            <w:tcW w:w="0" w:type="auto"/>
            <w:tcBorders>
              <w:top w:val="nil"/>
              <w:left w:val="nil"/>
              <w:bottom w:val="single" w:sz="4" w:space="0" w:color="auto"/>
              <w:right w:val="single" w:sz="4" w:space="0" w:color="auto"/>
            </w:tcBorders>
            <w:shd w:val="clear" w:color="auto" w:fill="auto"/>
            <w:vAlign w:val="center"/>
            <w:hideMark/>
          </w:tcPr>
          <w:p w14:paraId="5EB367E7" w14:textId="77777777" w:rsidR="002B18F9" w:rsidRPr="00B92499" w:rsidRDefault="002B18F9" w:rsidP="002B18F9">
            <w:pPr>
              <w:rPr>
                <w:rFonts w:ascii="Arial" w:hAnsi="Arial" w:cs="Arial"/>
                <w:color w:val="000000"/>
                <w:sz w:val="20"/>
                <w:szCs w:val="20"/>
              </w:rPr>
            </w:pPr>
            <w:r w:rsidRPr="00B92499">
              <w:rPr>
                <w:rFonts w:ascii="Arial" w:hAnsi="Arial" w:cs="Arial"/>
                <w:color w:val="000000"/>
                <w:sz w:val="20"/>
                <w:szCs w:val="20"/>
              </w:rPr>
              <w:t xml:space="preserve">Padrón de proveedores y contratistas. </w:t>
            </w:r>
          </w:p>
        </w:tc>
        <w:tc>
          <w:tcPr>
            <w:tcW w:w="770" w:type="dxa"/>
            <w:tcBorders>
              <w:top w:val="nil"/>
              <w:left w:val="nil"/>
              <w:bottom w:val="single" w:sz="4" w:space="0" w:color="auto"/>
              <w:right w:val="single" w:sz="4" w:space="0" w:color="auto"/>
            </w:tcBorders>
            <w:shd w:val="clear" w:color="auto" w:fill="auto"/>
            <w:vAlign w:val="center"/>
            <w:hideMark/>
          </w:tcPr>
          <w:p w14:paraId="23A5F8F0" w14:textId="77777777" w:rsidR="002B18F9" w:rsidRPr="00B92499" w:rsidRDefault="002B18F9" w:rsidP="002B18F9">
            <w:pPr>
              <w:jc w:val="center"/>
              <w:rPr>
                <w:rFonts w:ascii="Arial" w:hAnsi="Arial" w:cs="Arial"/>
                <w:color w:val="000000"/>
                <w:sz w:val="20"/>
                <w:szCs w:val="20"/>
              </w:rPr>
            </w:pPr>
            <w:r w:rsidRPr="00B92499">
              <w:rPr>
                <w:rFonts w:ascii="Arial" w:hAnsi="Arial" w:cs="Arial"/>
                <w:color w:val="000000"/>
                <w:sz w:val="20"/>
                <w:szCs w:val="20"/>
              </w:rPr>
              <w:t xml:space="preserve">               65.65 </w:t>
            </w:r>
          </w:p>
        </w:tc>
      </w:tr>
      <w:tr w:rsidR="002B18F9" w:rsidRPr="00B92499" w14:paraId="488EB6FD" w14:textId="77777777" w:rsidTr="002B18F9">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5A540D5" w14:textId="77777777" w:rsidR="002B18F9" w:rsidRPr="00B92499" w:rsidRDefault="002B18F9" w:rsidP="002B18F9">
            <w:pPr>
              <w:jc w:val="center"/>
              <w:rPr>
                <w:rFonts w:ascii="Arial" w:hAnsi="Arial" w:cs="Arial"/>
                <w:color w:val="000000"/>
                <w:sz w:val="20"/>
                <w:szCs w:val="20"/>
              </w:rPr>
            </w:pPr>
            <w:r w:rsidRPr="00B92499">
              <w:rPr>
                <w:rFonts w:ascii="Arial" w:hAnsi="Arial" w:cs="Arial"/>
                <w:color w:val="000000"/>
                <w:sz w:val="20"/>
                <w:szCs w:val="20"/>
              </w:rPr>
              <w:t>XXIV</w:t>
            </w:r>
          </w:p>
        </w:tc>
        <w:tc>
          <w:tcPr>
            <w:tcW w:w="0" w:type="auto"/>
            <w:tcBorders>
              <w:top w:val="nil"/>
              <w:left w:val="nil"/>
              <w:bottom w:val="single" w:sz="4" w:space="0" w:color="auto"/>
              <w:right w:val="single" w:sz="4" w:space="0" w:color="auto"/>
            </w:tcBorders>
            <w:shd w:val="clear" w:color="auto" w:fill="auto"/>
            <w:vAlign w:val="center"/>
            <w:hideMark/>
          </w:tcPr>
          <w:p w14:paraId="6FB4F568" w14:textId="77777777" w:rsidR="002B18F9" w:rsidRPr="00B92499" w:rsidRDefault="002B18F9" w:rsidP="002B18F9">
            <w:pPr>
              <w:rPr>
                <w:rFonts w:ascii="Arial" w:hAnsi="Arial" w:cs="Arial"/>
                <w:color w:val="000000"/>
                <w:sz w:val="20"/>
                <w:szCs w:val="20"/>
              </w:rPr>
            </w:pPr>
            <w:r w:rsidRPr="00B92499">
              <w:rPr>
                <w:rFonts w:ascii="Arial" w:hAnsi="Arial" w:cs="Arial"/>
                <w:color w:val="000000"/>
                <w:sz w:val="20"/>
                <w:szCs w:val="20"/>
              </w:rPr>
              <w:t>Información relativa a la cuenta y deuda públicas.</w:t>
            </w:r>
          </w:p>
        </w:tc>
        <w:tc>
          <w:tcPr>
            <w:tcW w:w="770" w:type="dxa"/>
            <w:tcBorders>
              <w:top w:val="nil"/>
              <w:left w:val="nil"/>
              <w:bottom w:val="single" w:sz="4" w:space="0" w:color="auto"/>
              <w:right w:val="single" w:sz="4" w:space="0" w:color="auto"/>
            </w:tcBorders>
            <w:shd w:val="clear" w:color="auto" w:fill="auto"/>
            <w:vAlign w:val="center"/>
            <w:hideMark/>
          </w:tcPr>
          <w:p w14:paraId="0C37824F" w14:textId="77777777" w:rsidR="002B18F9" w:rsidRPr="00B92499" w:rsidRDefault="002B18F9" w:rsidP="002B18F9">
            <w:pPr>
              <w:jc w:val="center"/>
              <w:rPr>
                <w:rFonts w:ascii="Arial" w:hAnsi="Arial" w:cs="Arial"/>
                <w:color w:val="000000"/>
                <w:sz w:val="20"/>
                <w:szCs w:val="20"/>
              </w:rPr>
            </w:pPr>
            <w:r w:rsidRPr="00B92499">
              <w:rPr>
                <w:rFonts w:ascii="Arial" w:hAnsi="Arial" w:cs="Arial"/>
                <w:color w:val="000000"/>
                <w:sz w:val="20"/>
                <w:szCs w:val="20"/>
              </w:rPr>
              <w:t xml:space="preserve">               65.65 </w:t>
            </w:r>
          </w:p>
        </w:tc>
      </w:tr>
      <w:tr w:rsidR="002B18F9" w:rsidRPr="00B92499" w14:paraId="135C817F" w14:textId="77777777" w:rsidTr="002B18F9">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60EDAC8" w14:textId="77777777" w:rsidR="002B18F9" w:rsidRPr="00B92499" w:rsidRDefault="002B18F9" w:rsidP="002B18F9">
            <w:pPr>
              <w:jc w:val="center"/>
              <w:rPr>
                <w:rFonts w:ascii="Arial" w:hAnsi="Arial" w:cs="Arial"/>
                <w:color w:val="000000"/>
                <w:sz w:val="20"/>
                <w:szCs w:val="20"/>
              </w:rPr>
            </w:pPr>
            <w:r w:rsidRPr="00B92499">
              <w:rPr>
                <w:rFonts w:ascii="Arial" w:hAnsi="Arial" w:cs="Arial"/>
                <w:color w:val="000000"/>
                <w:sz w:val="20"/>
                <w:szCs w:val="20"/>
              </w:rPr>
              <w:t>VII</w:t>
            </w:r>
          </w:p>
        </w:tc>
        <w:tc>
          <w:tcPr>
            <w:tcW w:w="0" w:type="auto"/>
            <w:tcBorders>
              <w:top w:val="nil"/>
              <w:left w:val="nil"/>
              <w:bottom w:val="single" w:sz="4" w:space="0" w:color="auto"/>
              <w:right w:val="single" w:sz="4" w:space="0" w:color="auto"/>
            </w:tcBorders>
            <w:shd w:val="clear" w:color="auto" w:fill="auto"/>
            <w:vAlign w:val="center"/>
            <w:hideMark/>
          </w:tcPr>
          <w:p w14:paraId="22EC0074" w14:textId="77777777" w:rsidR="002B18F9" w:rsidRPr="00B92499" w:rsidRDefault="002B18F9" w:rsidP="002B18F9">
            <w:pPr>
              <w:rPr>
                <w:rFonts w:ascii="Arial" w:hAnsi="Arial" w:cs="Arial"/>
                <w:color w:val="000000"/>
                <w:sz w:val="20"/>
                <w:szCs w:val="20"/>
              </w:rPr>
            </w:pPr>
            <w:r w:rsidRPr="00B92499">
              <w:rPr>
                <w:rFonts w:ascii="Arial" w:hAnsi="Arial" w:cs="Arial"/>
                <w:color w:val="000000"/>
                <w:sz w:val="20"/>
                <w:szCs w:val="20"/>
              </w:rPr>
              <w:t>Indicadores de gestión.</w:t>
            </w:r>
          </w:p>
        </w:tc>
        <w:tc>
          <w:tcPr>
            <w:tcW w:w="770" w:type="dxa"/>
            <w:tcBorders>
              <w:top w:val="nil"/>
              <w:left w:val="nil"/>
              <w:bottom w:val="single" w:sz="4" w:space="0" w:color="auto"/>
              <w:right w:val="single" w:sz="4" w:space="0" w:color="auto"/>
            </w:tcBorders>
            <w:shd w:val="clear" w:color="auto" w:fill="auto"/>
            <w:vAlign w:val="center"/>
            <w:hideMark/>
          </w:tcPr>
          <w:p w14:paraId="52DA14CB" w14:textId="77777777" w:rsidR="002B18F9" w:rsidRPr="00B92499" w:rsidRDefault="002B18F9" w:rsidP="002B18F9">
            <w:pPr>
              <w:jc w:val="center"/>
              <w:rPr>
                <w:rFonts w:ascii="Arial" w:hAnsi="Arial" w:cs="Arial"/>
                <w:color w:val="000000"/>
                <w:sz w:val="20"/>
                <w:szCs w:val="20"/>
              </w:rPr>
            </w:pPr>
            <w:r w:rsidRPr="00B92499">
              <w:rPr>
                <w:rFonts w:ascii="Arial" w:hAnsi="Arial" w:cs="Arial"/>
                <w:color w:val="000000"/>
                <w:sz w:val="20"/>
                <w:szCs w:val="20"/>
              </w:rPr>
              <w:t xml:space="preserve">               65.32 </w:t>
            </w:r>
          </w:p>
        </w:tc>
      </w:tr>
      <w:tr w:rsidR="002B18F9" w:rsidRPr="00B92499" w14:paraId="6C21204E" w14:textId="77777777" w:rsidTr="002B18F9">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EE09F21" w14:textId="77777777" w:rsidR="002B18F9" w:rsidRPr="00B92499" w:rsidRDefault="002B18F9" w:rsidP="002B18F9">
            <w:pPr>
              <w:jc w:val="center"/>
              <w:rPr>
                <w:rFonts w:ascii="Arial" w:hAnsi="Arial" w:cs="Arial"/>
                <w:color w:val="000000"/>
                <w:sz w:val="20"/>
                <w:szCs w:val="20"/>
              </w:rPr>
            </w:pPr>
            <w:r w:rsidRPr="00B92499">
              <w:rPr>
                <w:rFonts w:ascii="Arial" w:hAnsi="Arial" w:cs="Arial"/>
                <w:color w:val="000000"/>
                <w:sz w:val="20"/>
                <w:szCs w:val="20"/>
              </w:rPr>
              <w:t>XXXVI</w:t>
            </w:r>
          </w:p>
        </w:tc>
        <w:tc>
          <w:tcPr>
            <w:tcW w:w="0" w:type="auto"/>
            <w:tcBorders>
              <w:top w:val="nil"/>
              <w:left w:val="nil"/>
              <w:bottom w:val="single" w:sz="4" w:space="0" w:color="auto"/>
              <w:right w:val="single" w:sz="4" w:space="0" w:color="auto"/>
            </w:tcBorders>
            <w:shd w:val="clear" w:color="auto" w:fill="auto"/>
            <w:vAlign w:val="center"/>
            <w:hideMark/>
          </w:tcPr>
          <w:p w14:paraId="6A45A574" w14:textId="77777777" w:rsidR="002B18F9" w:rsidRPr="00B92499" w:rsidRDefault="002B18F9" w:rsidP="002B18F9">
            <w:pPr>
              <w:rPr>
                <w:rFonts w:ascii="Arial" w:hAnsi="Arial" w:cs="Arial"/>
                <w:color w:val="000000"/>
                <w:sz w:val="20"/>
                <w:szCs w:val="20"/>
              </w:rPr>
            </w:pPr>
            <w:r w:rsidRPr="00B92499">
              <w:rPr>
                <w:rFonts w:ascii="Arial" w:hAnsi="Arial" w:cs="Arial"/>
                <w:color w:val="000000"/>
                <w:sz w:val="20"/>
                <w:szCs w:val="20"/>
              </w:rPr>
              <w:t>Inventario de bienes muebles.</w:t>
            </w:r>
          </w:p>
        </w:tc>
        <w:tc>
          <w:tcPr>
            <w:tcW w:w="770" w:type="dxa"/>
            <w:tcBorders>
              <w:top w:val="nil"/>
              <w:left w:val="nil"/>
              <w:bottom w:val="single" w:sz="4" w:space="0" w:color="auto"/>
              <w:right w:val="single" w:sz="4" w:space="0" w:color="auto"/>
            </w:tcBorders>
            <w:shd w:val="clear" w:color="auto" w:fill="auto"/>
            <w:vAlign w:val="center"/>
            <w:hideMark/>
          </w:tcPr>
          <w:p w14:paraId="0CE945A2" w14:textId="77777777" w:rsidR="002B18F9" w:rsidRPr="00B92499" w:rsidRDefault="002B18F9" w:rsidP="002B18F9">
            <w:pPr>
              <w:jc w:val="center"/>
              <w:rPr>
                <w:rFonts w:ascii="Arial" w:hAnsi="Arial" w:cs="Arial"/>
                <w:color w:val="000000"/>
                <w:sz w:val="20"/>
                <w:szCs w:val="20"/>
              </w:rPr>
            </w:pPr>
            <w:r w:rsidRPr="00B92499">
              <w:rPr>
                <w:rFonts w:ascii="Arial" w:hAnsi="Arial" w:cs="Arial"/>
                <w:color w:val="000000"/>
                <w:sz w:val="20"/>
                <w:szCs w:val="20"/>
              </w:rPr>
              <w:t xml:space="preserve">               63.67 </w:t>
            </w:r>
          </w:p>
        </w:tc>
      </w:tr>
      <w:tr w:rsidR="002B18F9" w:rsidRPr="00B92499" w14:paraId="43D5BD60" w14:textId="77777777" w:rsidTr="002B18F9">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DE142FA" w14:textId="77777777" w:rsidR="002B18F9" w:rsidRPr="00B92499" w:rsidRDefault="002B18F9" w:rsidP="002B18F9">
            <w:pPr>
              <w:jc w:val="center"/>
              <w:rPr>
                <w:rFonts w:ascii="Arial" w:hAnsi="Arial" w:cs="Arial"/>
                <w:color w:val="000000"/>
                <w:sz w:val="20"/>
                <w:szCs w:val="20"/>
              </w:rPr>
            </w:pPr>
            <w:r w:rsidRPr="00B92499">
              <w:rPr>
                <w:rFonts w:ascii="Arial" w:hAnsi="Arial" w:cs="Arial"/>
                <w:color w:val="000000"/>
                <w:sz w:val="20"/>
                <w:szCs w:val="20"/>
              </w:rPr>
              <w:t>XIV</w:t>
            </w:r>
          </w:p>
        </w:tc>
        <w:tc>
          <w:tcPr>
            <w:tcW w:w="0" w:type="auto"/>
            <w:tcBorders>
              <w:top w:val="nil"/>
              <w:left w:val="nil"/>
              <w:bottom w:val="single" w:sz="4" w:space="0" w:color="auto"/>
              <w:right w:val="single" w:sz="4" w:space="0" w:color="auto"/>
            </w:tcBorders>
            <w:shd w:val="clear" w:color="auto" w:fill="auto"/>
            <w:vAlign w:val="center"/>
            <w:hideMark/>
          </w:tcPr>
          <w:p w14:paraId="55D3475D" w14:textId="77777777" w:rsidR="002B18F9" w:rsidRPr="00B92499" w:rsidRDefault="002B18F9" w:rsidP="002B18F9">
            <w:pPr>
              <w:rPr>
                <w:rFonts w:ascii="Arial" w:hAnsi="Arial" w:cs="Arial"/>
                <w:color w:val="000000"/>
                <w:sz w:val="20"/>
                <w:szCs w:val="20"/>
              </w:rPr>
            </w:pPr>
            <w:r w:rsidRPr="00B92499">
              <w:rPr>
                <w:rFonts w:ascii="Arial" w:hAnsi="Arial" w:cs="Arial"/>
                <w:color w:val="000000"/>
                <w:sz w:val="20"/>
                <w:szCs w:val="20"/>
              </w:rPr>
              <w:t>Domicilio de la Unidad de Transparencia.</w:t>
            </w:r>
          </w:p>
        </w:tc>
        <w:tc>
          <w:tcPr>
            <w:tcW w:w="770" w:type="dxa"/>
            <w:tcBorders>
              <w:top w:val="nil"/>
              <w:left w:val="nil"/>
              <w:bottom w:val="single" w:sz="4" w:space="0" w:color="auto"/>
              <w:right w:val="single" w:sz="4" w:space="0" w:color="auto"/>
            </w:tcBorders>
            <w:shd w:val="clear" w:color="auto" w:fill="auto"/>
            <w:vAlign w:val="center"/>
            <w:hideMark/>
          </w:tcPr>
          <w:p w14:paraId="25658CC2" w14:textId="77777777" w:rsidR="002B18F9" w:rsidRPr="00B92499" w:rsidRDefault="002B18F9" w:rsidP="002B18F9">
            <w:pPr>
              <w:jc w:val="center"/>
              <w:rPr>
                <w:rFonts w:ascii="Arial" w:hAnsi="Arial" w:cs="Arial"/>
                <w:color w:val="000000"/>
                <w:sz w:val="20"/>
                <w:szCs w:val="20"/>
              </w:rPr>
            </w:pPr>
            <w:r w:rsidRPr="00B92499">
              <w:rPr>
                <w:rFonts w:ascii="Arial" w:hAnsi="Arial" w:cs="Arial"/>
                <w:color w:val="000000"/>
                <w:sz w:val="20"/>
                <w:szCs w:val="20"/>
              </w:rPr>
              <w:t xml:space="preserve">               62.50 </w:t>
            </w:r>
          </w:p>
        </w:tc>
      </w:tr>
      <w:tr w:rsidR="002B18F9" w:rsidRPr="00B92499" w14:paraId="085D7BD4" w14:textId="77777777" w:rsidTr="002B18F9">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9CEEFFA" w14:textId="77777777" w:rsidR="002B18F9" w:rsidRPr="00B92499" w:rsidRDefault="002B18F9" w:rsidP="002B18F9">
            <w:pPr>
              <w:jc w:val="center"/>
              <w:rPr>
                <w:rFonts w:ascii="Arial" w:hAnsi="Arial" w:cs="Arial"/>
                <w:color w:val="000000"/>
                <w:sz w:val="20"/>
                <w:szCs w:val="20"/>
              </w:rPr>
            </w:pPr>
            <w:r w:rsidRPr="00B92499">
              <w:rPr>
                <w:rFonts w:ascii="Arial" w:hAnsi="Arial" w:cs="Arial"/>
                <w:color w:val="000000"/>
                <w:sz w:val="20"/>
                <w:szCs w:val="20"/>
              </w:rPr>
              <w:t>XXXI</w:t>
            </w:r>
          </w:p>
        </w:tc>
        <w:tc>
          <w:tcPr>
            <w:tcW w:w="0" w:type="auto"/>
            <w:tcBorders>
              <w:top w:val="nil"/>
              <w:left w:val="nil"/>
              <w:bottom w:val="single" w:sz="4" w:space="0" w:color="auto"/>
              <w:right w:val="single" w:sz="4" w:space="0" w:color="auto"/>
            </w:tcBorders>
            <w:shd w:val="clear" w:color="auto" w:fill="auto"/>
            <w:vAlign w:val="center"/>
            <w:hideMark/>
          </w:tcPr>
          <w:p w14:paraId="12D93D70" w14:textId="33094573" w:rsidR="002B18F9" w:rsidRPr="00B92499" w:rsidRDefault="002B18F9" w:rsidP="002B18F9">
            <w:pPr>
              <w:rPr>
                <w:rFonts w:ascii="Arial" w:hAnsi="Arial" w:cs="Arial"/>
                <w:color w:val="000000"/>
                <w:sz w:val="20"/>
                <w:szCs w:val="20"/>
              </w:rPr>
            </w:pPr>
            <w:r w:rsidRPr="00B92499">
              <w:rPr>
                <w:rFonts w:ascii="Arial" w:hAnsi="Arial" w:cs="Arial"/>
                <w:color w:val="000000"/>
                <w:sz w:val="20"/>
                <w:szCs w:val="20"/>
              </w:rPr>
              <w:t xml:space="preserve">Informes que debe de rendir el </w:t>
            </w:r>
            <w:r w:rsidR="008710F6" w:rsidRPr="00B92499">
              <w:rPr>
                <w:rFonts w:ascii="Arial" w:hAnsi="Arial" w:cs="Arial"/>
                <w:color w:val="000000"/>
                <w:sz w:val="20"/>
                <w:szCs w:val="20"/>
              </w:rPr>
              <w:t>sujeto obligado</w:t>
            </w:r>
            <w:r w:rsidRPr="00B92499">
              <w:rPr>
                <w:rFonts w:ascii="Arial" w:hAnsi="Arial" w:cs="Arial"/>
                <w:color w:val="000000"/>
                <w:sz w:val="20"/>
                <w:szCs w:val="20"/>
              </w:rPr>
              <w:t xml:space="preserve">. </w:t>
            </w:r>
          </w:p>
        </w:tc>
        <w:tc>
          <w:tcPr>
            <w:tcW w:w="770" w:type="dxa"/>
            <w:tcBorders>
              <w:top w:val="nil"/>
              <w:left w:val="nil"/>
              <w:bottom w:val="single" w:sz="4" w:space="0" w:color="auto"/>
              <w:right w:val="single" w:sz="4" w:space="0" w:color="auto"/>
            </w:tcBorders>
            <w:shd w:val="clear" w:color="auto" w:fill="auto"/>
            <w:vAlign w:val="center"/>
            <w:hideMark/>
          </w:tcPr>
          <w:p w14:paraId="3316AFA8" w14:textId="77777777" w:rsidR="002B18F9" w:rsidRPr="00B92499" w:rsidRDefault="002B18F9" w:rsidP="002B18F9">
            <w:pPr>
              <w:jc w:val="center"/>
              <w:rPr>
                <w:rFonts w:ascii="Arial" w:hAnsi="Arial" w:cs="Arial"/>
                <w:color w:val="000000"/>
                <w:sz w:val="20"/>
                <w:szCs w:val="20"/>
              </w:rPr>
            </w:pPr>
            <w:r w:rsidRPr="00B92499">
              <w:rPr>
                <w:rFonts w:ascii="Arial" w:hAnsi="Arial" w:cs="Arial"/>
                <w:color w:val="000000"/>
                <w:sz w:val="20"/>
                <w:szCs w:val="20"/>
              </w:rPr>
              <w:t xml:space="preserve">               62.40 </w:t>
            </w:r>
          </w:p>
        </w:tc>
      </w:tr>
      <w:tr w:rsidR="002B18F9" w:rsidRPr="00B92499" w14:paraId="4F164BDD" w14:textId="77777777" w:rsidTr="002B18F9">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564258C" w14:textId="77777777" w:rsidR="002B18F9" w:rsidRPr="00B92499" w:rsidRDefault="002B18F9" w:rsidP="002B18F9">
            <w:pPr>
              <w:jc w:val="center"/>
              <w:rPr>
                <w:rFonts w:ascii="Arial" w:hAnsi="Arial" w:cs="Arial"/>
                <w:color w:val="000000"/>
                <w:sz w:val="20"/>
                <w:szCs w:val="20"/>
              </w:rPr>
            </w:pPr>
            <w:r w:rsidRPr="00B92499">
              <w:rPr>
                <w:rFonts w:ascii="Arial" w:hAnsi="Arial" w:cs="Arial"/>
                <w:color w:val="000000"/>
                <w:sz w:val="20"/>
                <w:szCs w:val="20"/>
              </w:rPr>
              <w:t>XV</w:t>
            </w:r>
          </w:p>
        </w:tc>
        <w:tc>
          <w:tcPr>
            <w:tcW w:w="0" w:type="auto"/>
            <w:tcBorders>
              <w:top w:val="nil"/>
              <w:left w:val="nil"/>
              <w:bottom w:val="single" w:sz="4" w:space="0" w:color="auto"/>
              <w:right w:val="single" w:sz="4" w:space="0" w:color="auto"/>
            </w:tcBorders>
            <w:shd w:val="clear" w:color="auto" w:fill="auto"/>
            <w:vAlign w:val="center"/>
            <w:hideMark/>
          </w:tcPr>
          <w:p w14:paraId="6E0121CE" w14:textId="77777777" w:rsidR="002B18F9" w:rsidRPr="00B92499" w:rsidRDefault="002B18F9" w:rsidP="002B18F9">
            <w:pPr>
              <w:rPr>
                <w:rFonts w:ascii="Arial" w:hAnsi="Arial" w:cs="Arial"/>
                <w:color w:val="000000"/>
                <w:sz w:val="20"/>
                <w:szCs w:val="20"/>
              </w:rPr>
            </w:pPr>
            <w:r w:rsidRPr="00B92499">
              <w:rPr>
                <w:rFonts w:ascii="Arial" w:hAnsi="Arial" w:cs="Arial"/>
                <w:color w:val="000000"/>
                <w:sz w:val="20"/>
                <w:szCs w:val="20"/>
              </w:rPr>
              <w:t>Información curricular y perfil de puestos.</w:t>
            </w:r>
          </w:p>
        </w:tc>
        <w:tc>
          <w:tcPr>
            <w:tcW w:w="770" w:type="dxa"/>
            <w:tcBorders>
              <w:top w:val="nil"/>
              <w:left w:val="nil"/>
              <w:bottom w:val="single" w:sz="4" w:space="0" w:color="auto"/>
              <w:right w:val="single" w:sz="4" w:space="0" w:color="auto"/>
            </w:tcBorders>
            <w:shd w:val="clear" w:color="auto" w:fill="auto"/>
            <w:vAlign w:val="center"/>
            <w:hideMark/>
          </w:tcPr>
          <w:p w14:paraId="3C7AD3A6" w14:textId="77777777" w:rsidR="002B18F9" w:rsidRPr="00B92499" w:rsidRDefault="002B18F9" w:rsidP="002B18F9">
            <w:pPr>
              <w:jc w:val="center"/>
              <w:rPr>
                <w:rFonts w:ascii="Arial" w:hAnsi="Arial" w:cs="Arial"/>
                <w:color w:val="000000"/>
                <w:sz w:val="20"/>
                <w:szCs w:val="20"/>
              </w:rPr>
            </w:pPr>
            <w:r w:rsidRPr="00B92499">
              <w:rPr>
                <w:rFonts w:ascii="Arial" w:hAnsi="Arial" w:cs="Arial"/>
                <w:color w:val="000000"/>
                <w:sz w:val="20"/>
                <w:szCs w:val="20"/>
              </w:rPr>
              <w:t xml:space="preserve">               62.29 </w:t>
            </w:r>
          </w:p>
        </w:tc>
      </w:tr>
      <w:tr w:rsidR="002B18F9" w:rsidRPr="00B92499" w14:paraId="0760941D" w14:textId="77777777" w:rsidTr="002B18F9">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5693ED8" w14:textId="77777777" w:rsidR="002B18F9" w:rsidRPr="00B92499" w:rsidRDefault="002B18F9" w:rsidP="002B18F9">
            <w:pPr>
              <w:jc w:val="center"/>
              <w:rPr>
                <w:rFonts w:ascii="Arial" w:hAnsi="Arial" w:cs="Arial"/>
                <w:color w:val="000000"/>
                <w:sz w:val="20"/>
                <w:szCs w:val="20"/>
              </w:rPr>
            </w:pPr>
            <w:r w:rsidRPr="00B92499">
              <w:rPr>
                <w:rFonts w:ascii="Arial" w:hAnsi="Arial" w:cs="Arial"/>
                <w:color w:val="000000"/>
                <w:sz w:val="20"/>
                <w:szCs w:val="20"/>
              </w:rPr>
              <w:t>V</w:t>
            </w:r>
          </w:p>
        </w:tc>
        <w:tc>
          <w:tcPr>
            <w:tcW w:w="0" w:type="auto"/>
            <w:tcBorders>
              <w:top w:val="nil"/>
              <w:left w:val="nil"/>
              <w:bottom w:val="single" w:sz="4" w:space="0" w:color="auto"/>
              <w:right w:val="single" w:sz="4" w:space="0" w:color="auto"/>
            </w:tcBorders>
            <w:shd w:val="clear" w:color="auto" w:fill="auto"/>
            <w:vAlign w:val="center"/>
            <w:hideMark/>
          </w:tcPr>
          <w:p w14:paraId="519CAAFA" w14:textId="77777777" w:rsidR="002B18F9" w:rsidRPr="00B92499" w:rsidRDefault="002B18F9" w:rsidP="002B18F9">
            <w:pPr>
              <w:rPr>
                <w:rFonts w:ascii="Arial" w:hAnsi="Arial" w:cs="Arial"/>
                <w:color w:val="000000"/>
                <w:sz w:val="20"/>
                <w:szCs w:val="20"/>
              </w:rPr>
            </w:pPr>
            <w:r w:rsidRPr="00B92499">
              <w:rPr>
                <w:rFonts w:ascii="Arial" w:hAnsi="Arial" w:cs="Arial"/>
                <w:color w:val="000000"/>
                <w:sz w:val="20"/>
                <w:szCs w:val="20"/>
              </w:rPr>
              <w:t>Indicadores de temas de interés público.</w:t>
            </w:r>
          </w:p>
        </w:tc>
        <w:tc>
          <w:tcPr>
            <w:tcW w:w="770" w:type="dxa"/>
            <w:tcBorders>
              <w:top w:val="nil"/>
              <w:left w:val="nil"/>
              <w:bottom w:val="single" w:sz="4" w:space="0" w:color="auto"/>
              <w:right w:val="single" w:sz="4" w:space="0" w:color="auto"/>
            </w:tcBorders>
            <w:shd w:val="clear" w:color="auto" w:fill="auto"/>
            <w:vAlign w:val="center"/>
            <w:hideMark/>
          </w:tcPr>
          <w:p w14:paraId="02580FBE" w14:textId="77777777" w:rsidR="002B18F9" w:rsidRPr="00B92499" w:rsidRDefault="002B18F9" w:rsidP="002B18F9">
            <w:pPr>
              <w:jc w:val="center"/>
              <w:rPr>
                <w:rFonts w:ascii="Arial" w:hAnsi="Arial" w:cs="Arial"/>
                <w:color w:val="000000"/>
                <w:sz w:val="20"/>
                <w:szCs w:val="20"/>
              </w:rPr>
            </w:pPr>
            <w:r w:rsidRPr="00B92499">
              <w:rPr>
                <w:rFonts w:ascii="Arial" w:hAnsi="Arial" w:cs="Arial"/>
                <w:color w:val="000000"/>
                <w:sz w:val="20"/>
                <w:szCs w:val="20"/>
              </w:rPr>
              <w:t xml:space="preserve">               60.89 </w:t>
            </w:r>
          </w:p>
        </w:tc>
      </w:tr>
      <w:tr w:rsidR="002B18F9" w:rsidRPr="00B92499" w14:paraId="778BB153" w14:textId="77777777" w:rsidTr="002B18F9">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F1ED6D6" w14:textId="77777777" w:rsidR="002B18F9" w:rsidRPr="00B92499" w:rsidRDefault="002B18F9" w:rsidP="002B18F9">
            <w:pPr>
              <w:jc w:val="center"/>
              <w:rPr>
                <w:rFonts w:ascii="Arial" w:hAnsi="Arial" w:cs="Arial"/>
                <w:color w:val="000000"/>
                <w:sz w:val="20"/>
                <w:szCs w:val="20"/>
              </w:rPr>
            </w:pPr>
            <w:r w:rsidRPr="00B92499">
              <w:rPr>
                <w:rFonts w:ascii="Arial" w:hAnsi="Arial" w:cs="Arial"/>
                <w:color w:val="000000"/>
                <w:sz w:val="20"/>
                <w:szCs w:val="20"/>
              </w:rPr>
              <w:t>XXXVIII</w:t>
            </w:r>
          </w:p>
        </w:tc>
        <w:tc>
          <w:tcPr>
            <w:tcW w:w="0" w:type="auto"/>
            <w:tcBorders>
              <w:top w:val="nil"/>
              <w:left w:val="nil"/>
              <w:bottom w:val="single" w:sz="4" w:space="0" w:color="auto"/>
              <w:right w:val="single" w:sz="4" w:space="0" w:color="auto"/>
            </w:tcBorders>
            <w:shd w:val="clear" w:color="auto" w:fill="auto"/>
            <w:vAlign w:val="center"/>
            <w:hideMark/>
          </w:tcPr>
          <w:p w14:paraId="7D247FFC" w14:textId="527C40A7" w:rsidR="002B18F9" w:rsidRPr="00B92499" w:rsidRDefault="002B18F9" w:rsidP="002B18F9">
            <w:pPr>
              <w:rPr>
                <w:rFonts w:ascii="Arial" w:hAnsi="Arial" w:cs="Arial"/>
                <w:color w:val="000000"/>
                <w:sz w:val="20"/>
                <w:szCs w:val="20"/>
              </w:rPr>
            </w:pPr>
            <w:r w:rsidRPr="00B92499">
              <w:rPr>
                <w:rFonts w:ascii="Arial" w:hAnsi="Arial" w:cs="Arial"/>
                <w:color w:val="000000"/>
                <w:sz w:val="20"/>
                <w:szCs w:val="20"/>
              </w:rPr>
              <w:t xml:space="preserve">Relación del número de recomendaciones emitidas por el Instituto al </w:t>
            </w:r>
            <w:r w:rsidR="008710F6" w:rsidRPr="00B92499">
              <w:rPr>
                <w:rFonts w:ascii="Arial" w:hAnsi="Arial" w:cs="Arial"/>
                <w:color w:val="000000"/>
                <w:sz w:val="20"/>
                <w:szCs w:val="20"/>
              </w:rPr>
              <w:t>sujeto obligado</w:t>
            </w:r>
            <w:r w:rsidRPr="00B92499">
              <w:rPr>
                <w:rFonts w:ascii="Arial" w:hAnsi="Arial" w:cs="Arial"/>
                <w:color w:val="000000"/>
                <w:sz w:val="20"/>
                <w:szCs w:val="20"/>
              </w:rPr>
              <w:t>.</w:t>
            </w:r>
          </w:p>
        </w:tc>
        <w:tc>
          <w:tcPr>
            <w:tcW w:w="770" w:type="dxa"/>
            <w:tcBorders>
              <w:top w:val="nil"/>
              <w:left w:val="nil"/>
              <w:bottom w:val="single" w:sz="4" w:space="0" w:color="auto"/>
              <w:right w:val="single" w:sz="4" w:space="0" w:color="auto"/>
            </w:tcBorders>
            <w:shd w:val="clear" w:color="auto" w:fill="auto"/>
            <w:vAlign w:val="center"/>
            <w:hideMark/>
          </w:tcPr>
          <w:p w14:paraId="7C4ED699" w14:textId="77777777" w:rsidR="002B18F9" w:rsidRPr="00B92499" w:rsidRDefault="002B18F9" w:rsidP="002B18F9">
            <w:pPr>
              <w:jc w:val="center"/>
              <w:rPr>
                <w:rFonts w:ascii="Arial" w:hAnsi="Arial" w:cs="Arial"/>
                <w:color w:val="000000"/>
                <w:sz w:val="20"/>
                <w:szCs w:val="20"/>
              </w:rPr>
            </w:pPr>
            <w:r w:rsidRPr="00B92499">
              <w:rPr>
                <w:rFonts w:ascii="Arial" w:hAnsi="Arial" w:cs="Arial"/>
                <w:color w:val="000000"/>
                <w:sz w:val="20"/>
                <w:szCs w:val="20"/>
              </w:rPr>
              <w:t xml:space="preserve">               60.76 </w:t>
            </w:r>
          </w:p>
        </w:tc>
      </w:tr>
      <w:tr w:rsidR="002B18F9" w:rsidRPr="00B92499" w14:paraId="7D2A6831" w14:textId="77777777" w:rsidTr="002B18F9">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51EC632" w14:textId="77777777" w:rsidR="002B18F9" w:rsidRPr="00B92499" w:rsidRDefault="002B18F9" w:rsidP="002B18F9">
            <w:pPr>
              <w:jc w:val="center"/>
              <w:rPr>
                <w:rFonts w:ascii="Arial" w:hAnsi="Arial" w:cs="Arial"/>
                <w:color w:val="000000"/>
                <w:sz w:val="20"/>
                <w:szCs w:val="20"/>
              </w:rPr>
            </w:pPr>
            <w:r w:rsidRPr="00B92499">
              <w:rPr>
                <w:rFonts w:ascii="Arial" w:hAnsi="Arial" w:cs="Arial"/>
                <w:color w:val="000000"/>
                <w:sz w:val="20"/>
                <w:szCs w:val="20"/>
              </w:rPr>
              <w:t>IX</w:t>
            </w:r>
          </w:p>
        </w:tc>
        <w:tc>
          <w:tcPr>
            <w:tcW w:w="0" w:type="auto"/>
            <w:tcBorders>
              <w:top w:val="nil"/>
              <w:left w:val="nil"/>
              <w:bottom w:val="single" w:sz="4" w:space="0" w:color="auto"/>
              <w:right w:val="single" w:sz="4" w:space="0" w:color="auto"/>
            </w:tcBorders>
            <w:shd w:val="clear" w:color="auto" w:fill="auto"/>
            <w:vAlign w:val="center"/>
            <w:hideMark/>
          </w:tcPr>
          <w:p w14:paraId="48A64E8B" w14:textId="77777777" w:rsidR="002B18F9" w:rsidRPr="00B92499" w:rsidRDefault="002B18F9" w:rsidP="002B18F9">
            <w:pPr>
              <w:rPr>
                <w:rFonts w:ascii="Arial" w:hAnsi="Arial" w:cs="Arial"/>
                <w:color w:val="000000"/>
                <w:sz w:val="20"/>
                <w:szCs w:val="20"/>
              </w:rPr>
            </w:pPr>
            <w:r w:rsidRPr="00B92499">
              <w:rPr>
                <w:rFonts w:ascii="Arial" w:hAnsi="Arial" w:cs="Arial"/>
                <w:color w:val="000000"/>
                <w:sz w:val="20"/>
                <w:szCs w:val="20"/>
              </w:rPr>
              <w:t>Remuneraciones mensual bruta y neta.</w:t>
            </w:r>
          </w:p>
        </w:tc>
        <w:tc>
          <w:tcPr>
            <w:tcW w:w="770" w:type="dxa"/>
            <w:tcBorders>
              <w:top w:val="nil"/>
              <w:left w:val="nil"/>
              <w:bottom w:val="single" w:sz="4" w:space="0" w:color="auto"/>
              <w:right w:val="single" w:sz="4" w:space="0" w:color="auto"/>
            </w:tcBorders>
            <w:shd w:val="clear" w:color="auto" w:fill="auto"/>
            <w:vAlign w:val="center"/>
            <w:hideMark/>
          </w:tcPr>
          <w:p w14:paraId="2F20174B" w14:textId="77777777" w:rsidR="002B18F9" w:rsidRPr="00B92499" w:rsidRDefault="002B18F9" w:rsidP="002B18F9">
            <w:pPr>
              <w:jc w:val="center"/>
              <w:rPr>
                <w:rFonts w:ascii="Arial" w:hAnsi="Arial" w:cs="Arial"/>
                <w:color w:val="000000"/>
                <w:sz w:val="20"/>
                <w:szCs w:val="20"/>
              </w:rPr>
            </w:pPr>
            <w:r w:rsidRPr="00B92499">
              <w:rPr>
                <w:rFonts w:ascii="Arial" w:hAnsi="Arial" w:cs="Arial"/>
                <w:color w:val="000000"/>
                <w:sz w:val="20"/>
                <w:szCs w:val="20"/>
              </w:rPr>
              <w:t xml:space="preserve">               60.52 </w:t>
            </w:r>
          </w:p>
        </w:tc>
      </w:tr>
      <w:tr w:rsidR="002B18F9" w:rsidRPr="00B92499" w14:paraId="334013BC" w14:textId="77777777" w:rsidTr="002B18F9">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EEC18BC" w14:textId="77777777" w:rsidR="002B18F9" w:rsidRPr="00B92499" w:rsidRDefault="002B18F9" w:rsidP="002B18F9">
            <w:pPr>
              <w:jc w:val="center"/>
              <w:rPr>
                <w:rFonts w:ascii="Arial" w:hAnsi="Arial" w:cs="Arial"/>
                <w:color w:val="000000"/>
                <w:sz w:val="20"/>
                <w:szCs w:val="20"/>
              </w:rPr>
            </w:pPr>
            <w:r w:rsidRPr="00B92499">
              <w:rPr>
                <w:rFonts w:ascii="Arial" w:hAnsi="Arial" w:cs="Arial"/>
                <w:color w:val="000000"/>
                <w:sz w:val="20"/>
                <w:szCs w:val="20"/>
              </w:rPr>
              <w:t>XXVI</w:t>
            </w:r>
          </w:p>
        </w:tc>
        <w:tc>
          <w:tcPr>
            <w:tcW w:w="0" w:type="auto"/>
            <w:tcBorders>
              <w:top w:val="nil"/>
              <w:left w:val="nil"/>
              <w:bottom w:val="single" w:sz="4" w:space="0" w:color="auto"/>
              <w:right w:val="single" w:sz="4" w:space="0" w:color="auto"/>
            </w:tcBorders>
            <w:shd w:val="clear" w:color="auto" w:fill="auto"/>
            <w:vAlign w:val="center"/>
            <w:hideMark/>
          </w:tcPr>
          <w:p w14:paraId="227DC4BB" w14:textId="34935171" w:rsidR="002B18F9" w:rsidRPr="00B92499" w:rsidRDefault="002B18F9" w:rsidP="002B18F9">
            <w:pPr>
              <w:rPr>
                <w:rFonts w:ascii="Arial" w:hAnsi="Arial" w:cs="Arial"/>
                <w:color w:val="000000"/>
                <w:sz w:val="20"/>
                <w:szCs w:val="20"/>
              </w:rPr>
            </w:pPr>
            <w:r w:rsidRPr="00B92499">
              <w:rPr>
                <w:rFonts w:ascii="Arial" w:hAnsi="Arial" w:cs="Arial"/>
                <w:color w:val="000000"/>
                <w:sz w:val="20"/>
                <w:szCs w:val="20"/>
              </w:rPr>
              <w:t xml:space="preserve">Informes de resultados de </w:t>
            </w:r>
            <w:r w:rsidR="00C7683E" w:rsidRPr="00B92499">
              <w:rPr>
                <w:rFonts w:ascii="Arial" w:hAnsi="Arial" w:cs="Arial"/>
                <w:color w:val="000000"/>
                <w:sz w:val="20"/>
                <w:szCs w:val="20"/>
              </w:rPr>
              <w:t>auditorías</w:t>
            </w:r>
            <w:r w:rsidRPr="00B92499">
              <w:rPr>
                <w:rFonts w:ascii="Arial" w:hAnsi="Arial" w:cs="Arial"/>
                <w:color w:val="000000"/>
                <w:sz w:val="20"/>
                <w:szCs w:val="20"/>
              </w:rPr>
              <w:t>.</w:t>
            </w:r>
          </w:p>
        </w:tc>
        <w:tc>
          <w:tcPr>
            <w:tcW w:w="770" w:type="dxa"/>
            <w:tcBorders>
              <w:top w:val="nil"/>
              <w:left w:val="nil"/>
              <w:bottom w:val="single" w:sz="4" w:space="0" w:color="auto"/>
              <w:right w:val="single" w:sz="4" w:space="0" w:color="auto"/>
            </w:tcBorders>
            <w:shd w:val="clear" w:color="auto" w:fill="auto"/>
            <w:vAlign w:val="center"/>
            <w:hideMark/>
          </w:tcPr>
          <w:p w14:paraId="4DF10B01" w14:textId="77777777" w:rsidR="002B18F9" w:rsidRPr="00B92499" w:rsidRDefault="002B18F9" w:rsidP="002B18F9">
            <w:pPr>
              <w:jc w:val="center"/>
              <w:rPr>
                <w:rFonts w:ascii="Arial" w:hAnsi="Arial" w:cs="Arial"/>
                <w:color w:val="000000"/>
                <w:sz w:val="20"/>
                <w:szCs w:val="20"/>
              </w:rPr>
            </w:pPr>
            <w:r w:rsidRPr="00B92499">
              <w:rPr>
                <w:rFonts w:ascii="Arial" w:hAnsi="Arial" w:cs="Arial"/>
                <w:color w:val="000000"/>
                <w:sz w:val="20"/>
                <w:szCs w:val="20"/>
              </w:rPr>
              <w:t xml:space="preserve">               59.95 </w:t>
            </w:r>
          </w:p>
        </w:tc>
      </w:tr>
      <w:tr w:rsidR="002B18F9" w:rsidRPr="00B92499" w14:paraId="2FE81742" w14:textId="77777777" w:rsidTr="002B18F9">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C41DC21" w14:textId="77777777" w:rsidR="002B18F9" w:rsidRPr="00B92499" w:rsidRDefault="002B18F9" w:rsidP="002B18F9">
            <w:pPr>
              <w:jc w:val="center"/>
              <w:rPr>
                <w:rFonts w:ascii="Arial" w:hAnsi="Arial" w:cs="Arial"/>
                <w:color w:val="000000"/>
                <w:sz w:val="20"/>
                <w:szCs w:val="20"/>
              </w:rPr>
            </w:pPr>
            <w:r w:rsidRPr="00B92499">
              <w:rPr>
                <w:rFonts w:ascii="Arial" w:hAnsi="Arial" w:cs="Arial"/>
                <w:color w:val="000000"/>
                <w:sz w:val="20"/>
                <w:szCs w:val="20"/>
              </w:rPr>
              <w:lastRenderedPageBreak/>
              <w:t>XXXVII</w:t>
            </w:r>
          </w:p>
        </w:tc>
        <w:tc>
          <w:tcPr>
            <w:tcW w:w="0" w:type="auto"/>
            <w:tcBorders>
              <w:top w:val="nil"/>
              <w:left w:val="nil"/>
              <w:bottom w:val="single" w:sz="4" w:space="0" w:color="auto"/>
              <w:right w:val="single" w:sz="4" w:space="0" w:color="auto"/>
            </w:tcBorders>
            <w:shd w:val="clear" w:color="auto" w:fill="auto"/>
            <w:vAlign w:val="center"/>
            <w:hideMark/>
          </w:tcPr>
          <w:p w14:paraId="45A6A6BE" w14:textId="59D38027" w:rsidR="002B18F9" w:rsidRPr="00B92499" w:rsidRDefault="002B18F9" w:rsidP="002B18F9">
            <w:pPr>
              <w:rPr>
                <w:rFonts w:ascii="Arial" w:hAnsi="Arial" w:cs="Arial"/>
                <w:color w:val="000000"/>
                <w:sz w:val="20"/>
                <w:szCs w:val="20"/>
              </w:rPr>
            </w:pPr>
            <w:r w:rsidRPr="00B92499">
              <w:rPr>
                <w:rFonts w:ascii="Arial" w:hAnsi="Arial" w:cs="Arial"/>
                <w:color w:val="000000"/>
                <w:sz w:val="20"/>
                <w:szCs w:val="20"/>
              </w:rPr>
              <w:t xml:space="preserve">Relación del número de recomendaciones emitidas al </w:t>
            </w:r>
            <w:r w:rsidR="008710F6" w:rsidRPr="00B92499">
              <w:rPr>
                <w:rFonts w:ascii="Arial" w:hAnsi="Arial" w:cs="Arial"/>
                <w:color w:val="000000"/>
                <w:sz w:val="20"/>
                <w:szCs w:val="20"/>
              </w:rPr>
              <w:t>sujeto obligado</w:t>
            </w:r>
            <w:r w:rsidRPr="00B92499">
              <w:rPr>
                <w:rFonts w:ascii="Arial" w:hAnsi="Arial" w:cs="Arial"/>
                <w:color w:val="000000"/>
                <w:sz w:val="20"/>
                <w:szCs w:val="20"/>
              </w:rPr>
              <w:t xml:space="preserve"> la CDHCDMX.</w:t>
            </w:r>
          </w:p>
        </w:tc>
        <w:tc>
          <w:tcPr>
            <w:tcW w:w="770" w:type="dxa"/>
            <w:tcBorders>
              <w:top w:val="nil"/>
              <w:left w:val="nil"/>
              <w:bottom w:val="single" w:sz="4" w:space="0" w:color="auto"/>
              <w:right w:val="single" w:sz="4" w:space="0" w:color="auto"/>
            </w:tcBorders>
            <w:shd w:val="clear" w:color="auto" w:fill="auto"/>
            <w:vAlign w:val="center"/>
            <w:hideMark/>
          </w:tcPr>
          <w:p w14:paraId="2557AF2D" w14:textId="77777777" w:rsidR="002B18F9" w:rsidRPr="00B92499" w:rsidRDefault="002B18F9" w:rsidP="002B18F9">
            <w:pPr>
              <w:jc w:val="center"/>
              <w:rPr>
                <w:rFonts w:ascii="Arial" w:hAnsi="Arial" w:cs="Arial"/>
                <w:color w:val="000000"/>
                <w:sz w:val="20"/>
                <w:szCs w:val="20"/>
              </w:rPr>
            </w:pPr>
            <w:r w:rsidRPr="00B92499">
              <w:rPr>
                <w:rFonts w:ascii="Arial" w:hAnsi="Arial" w:cs="Arial"/>
                <w:color w:val="000000"/>
                <w:sz w:val="20"/>
                <w:szCs w:val="20"/>
              </w:rPr>
              <w:t xml:space="preserve">               59.75 </w:t>
            </w:r>
          </w:p>
        </w:tc>
      </w:tr>
      <w:tr w:rsidR="002B18F9" w:rsidRPr="00B92499" w14:paraId="4122F8AE" w14:textId="77777777" w:rsidTr="002B18F9">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5D10482" w14:textId="77777777" w:rsidR="002B18F9" w:rsidRPr="00B92499" w:rsidRDefault="002B18F9" w:rsidP="002B18F9">
            <w:pPr>
              <w:jc w:val="center"/>
              <w:rPr>
                <w:rFonts w:ascii="Arial" w:hAnsi="Arial" w:cs="Arial"/>
                <w:color w:val="000000"/>
                <w:sz w:val="20"/>
                <w:szCs w:val="20"/>
              </w:rPr>
            </w:pPr>
            <w:r w:rsidRPr="00B92499">
              <w:rPr>
                <w:rFonts w:ascii="Arial" w:hAnsi="Arial" w:cs="Arial"/>
                <w:color w:val="000000"/>
                <w:sz w:val="20"/>
                <w:szCs w:val="20"/>
              </w:rPr>
              <w:t>XLIII</w:t>
            </w:r>
          </w:p>
        </w:tc>
        <w:tc>
          <w:tcPr>
            <w:tcW w:w="0" w:type="auto"/>
            <w:tcBorders>
              <w:top w:val="nil"/>
              <w:left w:val="nil"/>
              <w:bottom w:val="single" w:sz="4" w:space="0" w:color="auto"/>
              <w:right w:val="single" w:sz="4" w:space="0" w:color="auto"/>
            </w:tcBorders>
            <w:shd w:val="clear" w:color="auto" w:fill="auto"/>
            <w:vAlign w:val="center"/>
            <w:hideMark/>
          </w:tcPr>
          <w:p w14:paraId="6EA6DEA4" w14:textId="77777777" w:rsidR="002B18F9" w:rsidRPr="00B92499" w:rsidRDefault="002B18F9" w:rsidP="002B18F9">
            <w:pPr>
              <w:rPr>
                <w:rFonts w:ascii="Arial" w:hAnsi="Arial" w:cs="Arial"/>
                <w:color w:val="000000"/>
                <w:sz w:val="20"/>
                <w:szCs w:val="20"/>
              </w:rPr>
            </w:pPr>
            <w:r w:rsidRPr="00B92499">
              <w:rPr>
                <w:rFonts w:ascii="Arial" w:hAnsi="Arial" w:cs="Arial"/>
                <w:color w:val="000000"/>
                <w:sz w:val="20"/>
                <w:szCs w:val="20"/>
              </w:rPr>
              <w:t>Actas y Resoluciones del Comité de Transparencia.</w:t>
            </w:r>
          </w:p>
        </w:tc>
        <w:tc>
          <w:tcPr>
            <w:tcW w:w="770" w:type="dxa"/>
            <w:tcBorders>
              <w:top w:val="nil"/>
              <w:left w:val="nil"/>
              <w:bottom w:val="single" w:sz="4" w:space="0" w:color="auto"/>
              <w:right w:val="single" w:sz="4" w:space="0" w:color="auto"/>
            </w:tcBorders>
            <w:shd w:val="clear" w:color="auto" w:fill="auto"/>
            <w:vAlign w:val="center"/>
            <w:hideMark/>
          </w:tcPr>
          <w:p w14:paraId="12B83DAE" w14:textId="77777777" w:rsidR="002B18F9" w:rsidRPr="00B92499" w:rsidRDefault="002B18F9" w:rsidP="002B18F9">
            <w:pPr>
              <w:jc w:val="center"/>
              <w:rPr>
                <w:rFonts w:ascii="Arial" w:hAnsi="Arial" w:cs="Arial"/>
                <w:color w:val="000000"/>
                <w:sz w:val="20"/>
                <w:szCs w:val="20"/>
              </w:rPr>
            </w:pPr>
            <w:r w:rsidRPr="00B92499">
              <w:rPr>
                <w:rFonts w:ascii="Arial" w:hAnsi="Arial" w:cs="Arial"/>
                <w:color w:val="000000"/>
                <w:sz w:val="20"/>
                <w:szCs w:val="20"/>
              </w:rPr>
              <w:t xml:space="preserve">               59.51 </w:t>
            </w:r>
          </w:p>
        </w:tc>
      </w:tr>
      <w:tr w:rsidR="002B18F9" w:rsidRPr="00B92499" w14:paraId="45B1A189" w14:textId="77777777" w:rsidTr="002B18F9">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5AAF516" w14:textId="77777777" w:rsidR="002B18F9" w:rsidRPr="00B92499" w:rsidRDefault="002B18F9" w:rsidP="002B18F9">
            <w:pPr>
              <w:jc w:val="center"/>
              <w:rPr>
                <w:rFonts w:ascii="Arial" w:hAnsi="Arial" w:cs="Arial"/>
                <w:color w:val="000000"/>
                <w:sz w:val="20"/>
                <w:szCs w:val="20"/>
              </w:rPr>
            </w:pPr>
            <w:r w:rsidRPr="00B92499">
              <w:rPr>
                <w:rFonts w:ascii="Arial" w:hAnsi="Arial" w:cs="Arial"/>
                <w:color w:val="000000"/>
                <w:sz w:val="20"/>
                <w:szCs w:val="20"/>
              </w:rPr>
              <w:t>XXVII</w:t>
            </w:r>
          </w:p>
        </w:tc>
        <w:tc>
          <w:tcPr>
            <w:tcW w:w="0" w:type="auto"/>
            <w:tcBorders>
              <w:top w:val="nil"/>
              <w:left w:val="nil"/>
              <w:bottom w:val="single" w:sz="4" w:space="0" w:color="auto"/>
              <w:right w:val="single" w:sz="4" w:space="0" w:color="auto"/>
            </w:tcBorders>
            <w:shd w:val="clear" w:color="auto" w:fill="auto"/>
            <w:vAlign w:val="center"/>
            <w:hideMark/>
          </w:tcPr>
          <w:p w14:paraId="3A8950F1" w14:textId="77777777" w:rsidR="002B18F9" w:rsidRPr="00B92499" w:rsidRDefault="002B18F9" w:rsidP="002B18F9">
            <w:pPr>
              <w:rPr>
                <w:rFonts w:ascii="Arial" w:hAnsi="Arial" w:cs="Arial"/>
                <w:color w:val="000000"/>
                <w:sz w:val="20"/>
                <w:szCs w:val="20"/>
              </w:rPr>
            </w:pPr>
            <w:r w:rsidRPr="00B92499">
              <w:rPr>
                <w:rFonts w:ascii="Arial" w:hAnsi="Arial" w:cs="Arial"/>
                <w:color w:val="000000"/>
                <w:sz w:val="20"/>
                <w:szCs w:val="20"/>
              </w:rPr>
              <w:t>Dictámenes de cuenta pública y estado financieros.</w:t>
            </w:r>
          </w:p>
        </w:tc>
        <w:tc>
          <w:tcPr>
            <w:tcW w:w="770" w:type="dxa"/>
            <w:tcBorders>
              <w:top w:val="nil"/>
              <w:left w:val="nil"/>
              <w:bottom w:val="single" w:sz="4" w:space="0" w:color="auto"/>
              <w:right w:val="single" w:sz="4" w:space="0" w:color="auto"/>
            </w:tcBorders>
            <w:shd w:val="clear" w:color="auto" w:fill="auto"/>
            <w:vAlign w:val="center"/>
            <w:hideMark/>
          </w:tcPr>
          <w:p w14:paraId="40F30272" w14:textId="77777777" w:rsidR="002B18F9" w:rsidRPr="00B92499" w:rsidRDefault="002B18F9" w:rsidP="002B18F9">
            <w:pPr>
              <w:jc w:val="center"/>
              <w:rPr>
                <w:rFonts w:ascii="Arial" w:hAnsi="Arial" w:cs="Arial"/>
                <w:color w:val="000000"/>
                <w:sz w:val="20"/>
                <w:szCs w:val="20"/>
              </w:rPr>
            </w:pPr>
            <w:r w:rsidRPr="00B92499">
              <w:rPr>
                <w:rFonts w:ascii="Arial" w:hAnsi="Arial" w:cs="Arial"/>
                <w:color w:val="000000"/>
                <w:sz w:val="20"/>
                <w:szCs w:val="20"/>
              </w:rPr>
              <w:t xml:space="preserve">               59.18 </w:t>
            </w:r>
          </w:p>
        </w:tc>
      </w:tr>
      <w:tr w:rsidR="002B18F9" w:rsidRPr="00B92499" w14:paraId="3761FCC2" w14:textId="77777777" w:rsidTr="002B18F9">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A8EE19B" w14:textId="77777777" w:rsidR="002B18F9" w:rsidRPr="00B92499" w:rsidRDefault="002B18F9" w:rsidP="002B18F9">
            <w:pPr>
              <w:jc w:val="center"/>
              <w:rPr>
                <w:rFonts w:ascii="Arial" w:hAnsi="Arial" w:cs="Arial"/>
                <w:color w:val="000000"/>
                <w:sz w:val="20"/>
                <w:szCs w:val="20"/>
              </w:rPr>
            </w:pPr>
            <w:r w:rsidRPr="00B92499">
              <w:rPr>
                <w:rFonts w:ascii="Arial" w:hAnsi="Arial" w:cs="Arial"/>
                <w:color w:val="000000"/>
                <w:sz w:val="20"/>
                <w:szCs w:val="20"/>
              </w:rPr>
              <w:t>XXV</w:t>
            </w:r>
          </w:p>
        </w:tc>
        <w:tc>
          <w:tcPr>
            <w:tcW w:w="0" w:type="auto"/>
            <w:tcBorders>
              <w:top w:val="nil"/>
              <w:left w:val="nil"/>
              <w:bottom w:val="single" w:sz="4" w:space="0" w:color="auto"/>
              <w:right w:val="single" w:sz="4" w:space="0" w:color="auto"/>
            </w:tcBorders>
            <w:shd w:val="clear" w:color="auto" w:fill="auto"/>
            <w:vAlign w:val="center"/>
            <w:hideMark/>
          </w:tcPr>
          <w:p w14:paraId="6671D32B" w14:textId="77777777" w:rsidR="002B18F9" w:rsidRPr="00B92499" w:rsidRDefault="002B18F9" w:rsidP="002B18F9">
            <w:pPr>
              <w:rPr>
                <w:rFonts w:ascii="Arial" w:hAnsi="Arial" w:cs="Arial"/>
                <w:color w:val="000000"/>
                <w:sz w:val="20"/>
                <w:szCs w:val="20"/>
              </w:rPr>
            </w:pPr>
            <w:r w:rsidRPr="00B92499">
              <w:rPr>
                <w:rFonts w:ascii="Arial" w:hAnsi="Arial" w:cs="Arial"/>
                <w:color w:val="000000"/>
                <w:sz w:val="20"/>
                <w:szCs w:val="20"/>
              </w:rPr>
              <w:t>Montos destinados a Comunicación Social y publicidad.</w:t>
            </w:r>
          </w:p>
        </w:tc>
        <w:tc>
          <w:tcPr>
            <w:tcW w:w="770" w:type="dxa"/>
            <w:tcBorders>
              <w:top w:val="nil"/>
              <w:left w:val="nil"/>
              <w:bottom w:val="single" w:sz="4" w:space="0" w:color="auto"/>
              <w:right w:val="single" w:sz="4" w:space="0" w:color="auto"/>
            </w:tcBorders>
            <w:shd w:val="clear" w:color="auto" w:fill="auto"/>
            <w:vAlign w:val="center"/>
            <w:hideMark/>
          </w:tcPr>
          <w:p w14:paraId="37BF0CFC" w14:textId="77777777" w:rsidR="002B18F9" w:rsidRPr="00B92499" w:rsidRDefault="002B18F9" w:rsidP="002B18F9">
            <w:pPr>
              <w:jc w:val="center"/>
              <w:rPr>
                <w:rFonts w:ascii="Arial" w:hAnsi="Arial" w:cs="Arial"/>
                <w:color w:val="000000"/>
                <w:sz w:val="20"/>
                <w:szCs w:val="20"/>
              </w:rPr>
            </w:pPr>
            <w:r w:rsidRPr="00B92499">
              <w:rPr>
                <w:rFonts w:ascii="Arial" w:hAnsi="Arial" w:cs="Arial"/>
                <w:color w:val="000000"/>
                <w:sz w:val="20"/>
                <w:szCs w:val="20"/>
              </w:rPr>
              <w:t xml:space="preserve">               58.92 </w:t>
            </w:r>
          </w:p>
        </w:tc>
      </w:tr>
      <w:tr w:rsidR="002B18F9" w:rsidRPr="00B92499" w14:paraId="12CD9921" w14:textId="77777777" w:rsidTr="002B18F9">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52A76D1" w14:textId="77777777" w:rsidR="002B18F9" w:rsidRPr="00B92499" w:rsidRDefault="002B18F9" w:rsidP="002B18F9">
            <w:pPr>
              <w:jc w:val="center"/>
              <w:rPr>
                <w:rFonts w:ascii="Arial" w:hAnsi="Arial" w:cs="Arial"/>
                <w:color w:val="000000"/>
                <w:sz w:val="20"/>
                <w:szCs w:val="20"/>
              </w:rPr>
            </w:pPr>
            <w:r w:rsidRPr="00B92499">
              <w:rPr>
                <w:rFonts w:ascii="Arial" w:hAnsi="Arial" w:cs="Arial"/>
                <w:color w:val="000000"/>
                <w:sz w:val="20"/>
                <w:szCs w:val="20"/>
              </w:rPr>
              <w:t>XXII</w:t>
            </w:r>
          </w:p>
        </w:tc>
        <w:tc>
          <w:tcPr>
            <w:tcW w:w="0" w:type="auto"/>
            <w:tcBorders>
              <w:top w:val="nil"/>
              <w:left w:val="nil"/>
              <w:bottom w:val="single" w:sz="4" w:space="0" w:color="auto"/>
              <w:right w:val="single" w:sz="4" w:space="0" w:color="auto"/>
            </w:tcBorders>
            <w:shd w:val="clear" w:color="auto" w:fill="auto"/>
            <w:vAlign w:val="center"/>
            <w:hideMark/>
          </w:tcPr>
          <w:p w14:paraId="091D0FB0" w14:textId="77777777" w:rsidR="002B18F9" w:rsidRPr="00B92499" w:rsidRDefault="002B18F9" w:rsidP="002B18F9">
            <w:pPr>
              <w:rPr>
                <w:rFonts w:ascii="Arial" w:hAnsi="Arial" w:cs="Arial"/>
                <w:color w:val="000000"/>
                <w:sz w:val="20"/>
                <w:szCs w:val="20"/>
              </w:rPr>
            </w:pPr>
            <w:r w:rsidRPr="00B92499">
              <w:rPr>
                <w:rFonts w:ascii="Arial" w:hAnsi="Arial" w:cs="Arial"/>
                <w:color w:val="000000"/>
                <w:sz w:val="20"/>
                <w:szCs w:val="20"/>
              </w:rPr>
              <w:t>Programas Operativos Anuales y de trabajo.</w:t>
            </w:r>
          </w:p>
        </w:tc>
        <w:tc>
          <w:tcPr>
            <w:tcW w:w="770" w:type="dxa"/>
            <w:tcBorders>
              <w:top w:val="nil"/>
              <w:left w:val="nil"/>
              <w:bottom w:val="single" w:sz="4" w:space="0" w:color="auto"/>
              <w:right w:val="single" w:sz="4" w:space="0" w:color="auto"/>
            </w:tcBorders>
            <w:shd w:val="clear" w:color="auto" w:fill="auto"/>
            <w:vAlign w:val="center"/>
            <w:hideMark/>
          </w:tcPr>
          <w:p w14:paraId="3AEF8BA9" w14:textId="77777777" w:rsidR="002B18F9" w:rsidRPr="00B92499" w:rsidRDefault="002B18F9" w:rsidP="002B18F9">
            <w:pPr>
              <w:jc w:val="center"/>
              <w:rPr>
                <w:rFonts w:ascii="Arial" w:hAnsi="Arial" w:cs="Arial"/>
                <w:color w:val="000000"/>
                <w:sz w:val="20"/>
                <w:szCs w:val="20"/>
              </w:rPr>
            </w:pPr>
            <w:r w:rsidRPr="00B92499">
              <w:rPr>
                <w:rFonts w:ascii="Arial" w:hAnsi="Arial" w:cs="Arial"/>
                <w:color w:val="000000"/>
                <w:sz w:val="20"/>
                <w:szCs w:val="20"/>
              </w:rPr>
              <w:t xml:space="preserve">               58.92 </w:t>
            </w:r>
          </w:p>
        </w:tc>
      </w:tr>
      <w:tr w:rsidR="002B18F9" w:rsidRPr="00B92499" w14:paraId="65D94854" w14:textId="77777777" w:rsidTr="002B18F9">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4784C72" w14:textId="77777777" w:rsidR="002B18F9" w:rsidRPr="00B92499" w:rsidRDefault="002B18F9" w:rsidP="002B18F9">
            <w:pPr>
              <w:jc w:val="center"/>
              <w:rPr>
                <w:rFonts w:ascii="Arial" w:hAnsi="Arial" w:cs="Arial"/>
                <w:color w:val="000000"/>
                <w:sz w:val="20"/>
                <w:szCs w:val="20"/>
              </w:rPr>
            </w:pPr>
            <w:r w:rsidRPr="00B92499">
              <w:rPr>
                <w:rFonts w:ascii="Arial" w:hAnsi="Arial" w:cs="Arial"/>
                <w:color w:val="000000"/>
                <w:sz w:val="20"/>
                <w:szCs w:val="20"/>
              </w:rPr>
              <w:t>VI</w:t>
            </w:r>
          </w:p>
        </w:tc>
        <w:tc>
          <w:tcPr>
            <w:tcW w:w="0" w:type="auto"/>
            <w:tcBorders>
              <w:top w:val="nil"/>
              <w:left w:val="nil"/>
              <w:bottom w:val="single" w:sz="4" w:space="0" w:color="auto"/>
              <w:right w:val="single" w:sz="4" w:space="0" w:color="auto"/>
            </w:tcBorders>
            <w:shd w:val="clear" w:color="auto" w:fill="auto"/>
            <w:vAlign w:val="center"/>
            <w:hideMark/>
          </w:tcPr>
          <w:p w14:paraId="461999DD" w14:textId="77777777" w:rsidR="002B18F9" w:rsidRPr="00B92499" w:rsidRDefault="002B18F9" w:rsidP="002B18F9">
            <w:pPr>
              <w:rPr>
                <w:rFonts w:ascii="Arial" w:hAnsi="Arial" w:cs="Arial"/>
                <w:color w:val="000000"/>
                <w:sz w:val="20"/>
                <w:szCs w:val="20"/>
              </w:rPr>
            </w:pPr>
            <w:r w:rsidRPr="00B92499">
              <w:rPr>
                <w:rFonts w:ascii="Arial" w:hAnsi="Arial" w:cs="Arial"/>
                <w:color w:val="000000"/>
                <w:sz w:val="20"/>
                <w:szCs w:val="20"/>
              </w:rPr>
              <w:t>Indicadores que permitan rendir cuentas.</w:t>
            </w:r>
          </w:p>
        </w:tc>
        <w:tc>
          <w:tcPr>
            <w:tcW w:w="770" w:type="dxa"/>
            <w:tcBorders>
              <w:top w:val="nil"/>
              <w:left w:val="nil"/>
              <w:bottom w:val="single" w:sz="4" w:space="0" w:color="auto"/>
              <w:right w:val="single" w:sz="4" w:space="0" w:color="auto"/>
            </w:tcBorders>
            <w:shd w:val="clear" w:color="auto" w:fill="auto"/>
            <w:vAlign w:val="center"/>
            <w:hideMark/>
          </w:tcPr>
          <w:p w14:paraId="5F309537" w14:textId="77777777" w:rsidR="002B18F9" w:rsidRPr="00B92499" w:rsidRDefault="002B18F9" w:rsidP="002B18F9">
            <w:pPr>
              <w:jc w:val="center"/>
              <w:rPr>
                <w:rFonts w:ascii="Arial" w:hAnsi="Arial" w:cs="Arial"/>
                <w:color w:val="000000"/>
                <w:sz w:val="20"/>
                <w:szCs w:val="20"/>
              </w:rPr>
            </w:pPr>
            <w:r w:rsidRPr="00B92499">
              <w:rPr>
                <w:rFonts w:ascii="Arial" w:hAnsi="Arial" w:cs="Arial"/>
                <w:color w:val="000000"/>
                <w:sz w:val="20"/>
                <w:szCs w:val="20"/>
              </w:rPr>
              <w:t xml:space="preserve">               58.39 </w:t>
            </w:r>
          </w:p>
        </w:tc>
      </w:tr>
      <w:tr w:rsidR="002B18F9" w:rsidRPr="00B92499" w14:paraId="3BD65587" w14:textId="77777777" w:rsidTr="002B18F9">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BB8A730" w14:textId="77777777" w:rsidR="002B18F9" w:rsidRPr="00B92499" w:rsidRDefault="002B18F9" w:rsidP="002B18F9">
            <w:pPr>
              <w:jc w:val="center"/>
              <w:rPr>
                <w:rFonts w:ascii="Arial" w:hAnsi="Arial" w:cs="Arial"/>
                <w:color w:val="000000"/>
                <w:sz w:val="20"/>
                <w:szCs w:val="20"/>
              </w:rPr>
            </w:pPr>
            <w:r w:rsidRPr="00B92499">
              <w:rPr>
                <w:rFonts w:ascii="Arial" w:hAnsi="Arial" w:cs="Arial"/>
                <w:color w:val="000000"/>
                <w:sz w:val="20"/>
                <w:szCs w:val="20"/>
              </w:rPr>
              <w:t>XXI</w:t>
            </w:r>
          </w:p>
        </w:tc>
        <w:tc>
          <w:tcPr>
            <w:tcW w:w="0" w:type="auto"/>
            <w:tcBorders>
              <w:top w:val="nil"/>
              <w:left w:val="nil"/>
              <w:bottom w:val="single" w:sz="4" w:space="0" w:color="auto"/>
              <w:right w:val="single" w:sz="4" w:space="0" w:color="auto"/>
            </w:tcBorders>
            <w:shd w:val="clear" w:color="auto" w:fill="auto"/>
            <w:vAlign w:val="center"/>
            <w:hideMark/>
          </w:tcPr>
          <w:p w14:paraId="55F2D31F" w14:textId="77777777" w:rsidR="002B18F9" w:rsidRPr="00B92499" w:rsidRDefault="002B18F9" w:rsidP="002B18F9">
            <w:pPr>
              <w:rPr>
                <w:rFonts w:ascii="Arial" w:hAnsi="Arial" w:cs="Arial"/>
                <w:color w:val="000000"/>
                <w:sz w:val="20"/>
                <w:szCs w:val="20"/>
              </w:rPr>
            </w:pPr>
            <w:r w:rsidRPr="00B92499">
              <w:rPr>
                <w:rFonts w:ascii="Arial" w:hAnsi="Arial" w:cs="Arial"/>
                <w:color w:val="000000"/>
                <w:sz w:val="20"/>
                <w:szCs w:val="20"/>
              </w:rPr>
              <w:t>La información financiera sobre el presupuesto asignado.</w:t>
            </w:r>
          </w:p>
        </w:tc>
        <w:tc>
          <w:tcPr>
            <w:tcW w:w="770" w:type="dxa"/>
            <w:tcBorders>
              <w:top w:val="nil"/>
              <w:left w:val="nil"/>
              <w:bottom w:val="single" w:sz="4" w:space="0" w:color="auto"/>
              <w:right w:val="single" w:sz="4" w:space="0" w:color="auto"/>
            </w:tcBorders>
            <w:shd w:val="clear" w:color="auto" w:fill="auto"/>
            <w:vAlign w:val="center"/>
            <w:hideMark/>
          </w:tcPr>
          <w:p w14:paraId="5F9A41AC" w14:textId="77777777" w:rsidR="002B18F9" w:rsidRPr="00B92499" w:rsidRDefault="002B18F9" w:rsidP="002B18F9">
            <w:pPr>
              <w:jc w:val="center"/>
              <w:rPr>
                <w:rFonts w:ascii="Arial" w:hAnsi="Arial" w:cs="Arial"/>
                <w:color w:val="000000"/>
                <w:sz w:val="20"/>
                <w:szCs w:val="20"/>
              </w:rPr>
            </w:pPr>
            <w:r w:rsidRPr="00B92499">
              <w:rPr>
                <w:rFonts w:ascii="Arial" w:hAnsi="Arial" w:cs="Arial"/>
                <w:color w:val="000000"/>
                <w:sz w:val="20"/>
                <w:szCs w:val="20"/>
              </w:rPr>
              <w:t xml:space="preserve">               58.09 </w:t>
            </w:r>
          </w:p>
        </w:tc>
      </w:tr>
      <w:tr w:rsidR="002B18F9" w:rsidRPr="00B92499" w14:paraId="25B880B9" w14:textId="77777777" w:rsidTr="002B18F9">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89BE10E" w14:textId="77777777" w:rsidR="002B18F9" w:rsidRPr="00B92499" w:rsidRDefault="002B18F9" w:rsidP="002B18F9">
            <w:pPr>
              <w:jc w:val="center"/>
              <w:rPr>
                <w:rFonts w:ascii="Arial" w:hAnsi="Arial" w:cs="Arial"/>
                <w:color w:val="000000"/>
                <w:sz w:val="20"/>
                <w:szCs w:val="20"/>
              </w:rPr>
            </w:pPr>
            <w:r w:rsidRPr="00B92499">
              <w:rPr>
                <w:rFonts w:ascii="Arial" w:hAnsi="Arial" w:cs="Arial"/>
                <w:color w:val="000000"/>
                <w:sz w:val="20"/>
                <w:szCs w:val="20"/>
              </w:rPr>
              <w:t>XIII</w:t>
            </w:r>
          </w:p>
        </w:tc>
        <w:tc>
          <w:tcPr>
            <w:tcW w:w="0" w:type="auto"/>
            <w:tcBorders>
              <w:top w:val="nil"/>
              <w:left w:val="nil"/>
              <w:bottom w:val="single" w:sz="4" w:space="0" w:color="auto"/>
              <w:right w:val="single" w:sz="4" w:space="0" w:color="auto"/>
            </w:tcBorders>
            <w:shd w:val="clear" w:color="auto" w:fill="auto"/>
            <w:vAlign w:val="center"/>
            <w:hideMark/>
          </w:tcPr>
          <w:p w14:paraId="7F1594B9" w14:textId="77777777" w:rsidR="002B18F9" w:rsidRPr="00B92499" w:rsidRDefault="002B18F9" w:rsidP="002B18F9">
            <w:pPr>
              <w:rPr>
                <w:rFonts w:ascii="Arial" w:hAnsi="Arial" w:cs="Arial"/>
                <w:color w:val="000000"/>
                <w:sz w:val="20"/>
                <w:szCs w:val="20"/>
              </w:rPr>
            </w:pPr>
            <w:r w:rsidRPr="00B92499">
              <w:rPr>
                <w:rFonts w:ascii="Arial" w:hAnsi="Arial" w:cs="Arial"/>
                <w:color w:val="000000"/>
                <w:sz w:val="20"/>
                <w:szCs w:val="20"/>
              </w:rPr>
              <w:t>Declaraciones 3de3.</w:t>
            </w:r>
          </w:p>
        </w:tc>
        <w:tc>
          <w:tcPr>
            <w:tcW w:w="770" w:type="dxa"/>
            <w:tcBorders>
              <w:top w:val="nil"/>
              <w:left w:val="nil"/>
              <w:bottom w:val="single" w:sz="4" w:space="0" w:color="auto"/>
              <w:right w:val="single" w:sz="4" w:space="0" w:color="auto"/>
            </w:tcBorders>
            <w:shd w:val="clear" w:color="auto" w:fill="auto"/>
            <w:vAlign w:val="center"/>
            <w:hideMark/>
          </w:tcPr>
          <w:p w14:paraId="79F777B6" w14:textId="77777777" w:rsidR="002B18F9" w:rsidRPr="00B92499" w:rsidRDefault="002B18F9" w:rsidP="002B18F9">
            <w:pPr>
              <w:jc w:val="center"/>
              <w:rPr>
                <w:rFonts w:ascii="Arial" w:hAnsi="Arial" w:cs="Arial"/>
                <w:color w:val="000000"/>
                <w:sz w:val="20"/>
                <w:szCs w:val="20"/>
              </w:rPr>
            </w:pPr>
            <w:r w:rsidRPr="00B92499">
              <w:rPr>
                <w:rFonts w:ascii="Arial" w:hAnsi="Arial" w:cs="Arial"/>
                <w:color w:val="000000"/>
                <w:sz w:val="20"/>
                <w:szCs w:val="20"/>
              </w:rPr>
              <w:t xml:space="preserve">               57.71 </w:t>
            </w:r>
          </w:p>
        </w:tc>
      </w:tr>
      <w:tr w:rsidR="002B18F9" w:rsidRPr="00B92499" w14:paraId="798375E4" w14:textId="77777777" w:rsidTr="002B18F9">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22EF992" w14:textId="77777777" w:rsidR="002B18F9" w:rsidRPr="00B92499" w:rsidRDefault="002B18F9" w:rsidP="002B18F9">
            <w:pPr>
              <w:jc w:val="center"/>
              <w:rPr>
                <w:rFonts w:ascii="Arial" w:hAnsi="Arial" w:cs="Arial"/>
                <w:color w:val="000000"/>
                <w:sz w:val="20"/>
                <w:szCs w:val="20"/>
              </w:rPr>
            </w:pPr>
            <w:r w:rsidRPr="00B92499">
              <w:rPr>
                <w:rFonts w:ascii="Arial" w:hAnsi="Arial" w:cs="Arial"/>
                <w:color w:val="000000"/>
                <w:sz w:val="20"/>
                <w:szCs w:val="20"/>
              </w:rPr>
              <w:t>XXIX</w:t>
            </w:r>
          </w:p>
        </w:tc>
        <w:tc>
          <w:tcPr>
            <w:tcW w:w="0" w:type="auto"/>
            <w:tcBorders>
              <w:top w:val="nil"/>
              <w:left w:val="nil"/>
              <w:bottom w:val="single" w:sz="4" w:space="0" w:color="auto"/>
              <w:right w:val="single" w:sz="4" w:space="0" w:color="auto"/>
            </w:tcBorders>
            <w:shd w:val="clear" w:color="auto" w:fill="auto"/>
            <w:vAlign w:val="center"/>
            <w:hideMark/>
          </w:tcPr>
          <w:p w14:paraId="4F293100" w14:textId="77777777" w:rsidR="002B18F9" w:rsidRPr="00B92499" w:rsidRDefault="002B18F9" w:rsidP="002B18F9">
            <w:pPr>
              <w:rPr>
                <w:rFonts w:ascii="Arial" w:hAnsi="Arial" w:cs="Arial"/>
                <w:color w:val="000000"/>
                <w:sz w:val="20"/>
                <w:szCs w:val="20"/>
              </w:rPr>
            </w:pPr>
            <w:r w:rsidRPr="00B92499">
              <w:rPr>
                <w:rFonts w:ascii="Arial" w:hAnsi="Arial" w:cs="Arial"/>
                <w:color w:val="000000"/>
                <w:sz w:val="20"/>
                <w:szCs w:val="20"/>
              </w:rPr>
              <w:t>Concesiones, contratos, convenios, permisos, licencias o autorizaciones otorgados.</w:t>
            </w:r>
          </w:p>
        </w:tc>
        <w:tc>
          <w:tcPr>
            <w:tcW w:w="770" w:type="dxa"/>
            <w:tcBorders>
              <w:top w:val="nil"/>
              <w:left w:val="nil"/>
              <w:bottom w:val="single" w:sz="4" w:space="0" w:color="auto"/>
              <w:right w:val="single" w:sz="4" w:space="0" w:color="auto"/>
            </w:tcBorders>
            <w:shd w:val="clear" w:color="auto" w:fill="auto"/>
            <w:vAlign w:val="center"/>
            <w:hideMark/>
          </w:tcPr>
          <w:p w14:paraId="7A49BA78" w14:textId="77777777" w:rsidR="002B18F9" w:rsidRPr="00B92499" w:rsidRDefault="002B18F9" w:rsidP="002B18F9">
            <w:pPr>
              <w:jc w:val="center"/>
              <w:rPr>
                <w:rFonts w:ascii="Arial" w:hAnsi="Arial" w:cs="Arial"/>
                <w:color w:val="000000"/>
                <w:sz w:val="20"/>
                <w:szCs w:val="20"/>
              </w:rPr>
            </w:pPr>
            <w:r w:rsidRPr="00B92499">
              <w:rPr>
                <w:rFonts w:ascii="Arial" w:hAnsi="Arial" w:cs="Arial"/>
                <w:color w:val="000000"/>
                <w:sz w:val="20"/>
                <w:szCs w:val="20"/>
              </w:rPr>
              <w:t xml:space="preserve">               56.77 </w:t>
            </w:r>
          </w:p>
        </w:tc>
      </w:tr>
      <w:tr w:rsidR="002B18F9" w:rsidRPr="00B92499" w14:paraId="2E22316D" w14:textId="77777777" w:rsidTr="002B18F9">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34EA609" w14:textId="77777777" w:rsidR="002B18F9" w:rsidRPr="00B92499" w:rsidRDefault="002B18F9" w:rsidP="002B18F9">
            <w:pPr>
              <w:jc w:val="center"/>
              <w:rPr>
                <w:rFonts w:ascii="Arial" w:hAnsi="Arial" w:cs="Arial"/>
                <w:color w:val="000000"/>
                <w:sz w:val="20"/>
                <w:szCs w:val="20"/>
              </w:rPr>
            </w:pPr>
            <w:r w:rsidRPr="00B92499">
              <w:rPr>
                <w:rFonts w:ascii="Arial" w:hAnsi="Arial" w:cs="Arial"/>
                <w:color w:val="000000"/>
                <w:sz w:val="20"/>
                <w:szCs w:val="20"/>
              </w:rPr>
              <w:t>XXXV</w:t>
            </w:r>
          </w:p>
        </w:tc>
        <w:tc>
          <w:tcPr>
            <w:tcW w:w="0" w:type="auto"/>
            <w:tcBorders>
              <w:top w:val="nil"/>
              <w:left w:val="nil"/>
              <w:bottom w:val="single" w:sz="4" w:space="0" w:color="auto"/>
              <w:right w:val="single" w:sz="4" w:space="0" w:color="auto"/>
            </w:tcBorders>
            <w:shd w:val="clear" w:color="auto" w:fill="auto"/>
            <w:vAlign w:val="center"/>
            <w:hideMark/>
          </w:tcPr>
          <w:p w14:paraId="3B448B00" w14:textId="77777777" w:rsidR="002B18F9" w:rsidRPr="00B92499" w:rsidRDefault="002B18F9" w:rsidP="002B18F9">
            <w:pPr>
              <w:rPr>
                <w:rFonts w:ascii="Arial" w:hAnsi="Arial" w:cs="Arial"/>
                <w:color w:val="000000"/>
                <w:sz w:val="20"/>
                <w:szCs w:val="20"/>
              </w:rPr>
            </w:pPr>
            <w:r w:rsidRPr="00B92499">
              <w:rPr>
                <w:rFonts w:ascii="Arial" w:hAnsi="Arial" w:cs="Arial"/>
                <w:color w:val="000000"/>
                <w:sz w:val="20"/>
                <w:szCs w:val="20"/>
              </w:rPr>
              <w:t>Convenios de coordinación de concertación con los sectores sociales y privado.</w:t>
            </w:r>
          </w:p>
        </w:tc>
        <w:tc>
          <w:tcPr>
            <w:tcW w:w="770" w:type="dxa"/>
            <w:tcBorders>
              <w:top w:val="nil"/>
              <w:left w:val="nil"/>
              <w:bottom w:val="single" w:sz="4" w:space="0" w:color="auto"/>
              <w:right w:val="single" w:sz="4" w:space="0" w:color="auto"/>
            </w:tcBorders>
            <w:shd w:val="clear" w:color="auto" w:fill="auto"/>
            <w:vAlign w:val="center"/>
            <w:hideMark/>
          </w:tcPr>
          <w:p w14:paraId="4F954FC6" w14:textId="77777777" w:rsidR="002B18F9" w:rsidRPr="00B92499" w:rsidRDefault="002B18F9" w:rsidP="002B18F9">
            <w:pPr>
              <w:jc w:val="center"/>
              <w:rPr>
                <w:rFonts w:ascii="Arial" w:hAnsi="Arial" w:cs="Arial"/>
                <w:color w:val="000000"/>
                <w:sz w:val="20"/>
                <w:szCs w:val="20"/>
              </w:rPr>
            </w:pPr>
            <w:r w:rsidRPr="00B92499">
              <w:rPr>
                <w:rFonts w:ascii="Arial" w:hAnsi="Arial" w:cs="Arial"/>
                <w:color w:val="000000"/>
                <w:sz w:val="20"/>
                <w:szCs w:val="20"/>
              </w:rPr>
              <w:t xml:space="preserve">               56.51 </w:t>
            </w:r>
          </w:p>
        </w:tc>
      </w:tr>
      <w:tr w:rsidR="002B18F9" w:rsidRPr="00B92499" w14:paraId="78AC583C" w14:textId="77777777" w:rsidTr="002B18F9">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0CEFBE9" w14:textId="77777777" w:rsidR="002B18F9" w:rsidRPr="00B92499" w:rsidRDefault="002B18F9" w:rsidP="002B18F9">
            <w:pPr>
              <w:jc w:val="center"/>
              <w:rPr>
                <w:rFonts w:ascii="Arial" w:hAnsi="Arial" w:cs="Arial"/>
                <w:color w:val="000000"/>
                <w:sz w:val="20"/>
                <w:szCs w:val="20"/>
              </w:rPr>
            </w:pPr>
            <w:r w:rsidRPr="00B92499">
              <w:rPr>
                <w:rFonts w:ascii="Arial" w:hAnsi="Arial" w:cs="Arial"/>
                <w:color w:val="000000"/>
                <w:sz w:val="20"/>
                <w:szCs w:val="20"/>
              </w:rPr>
              <w:t>XII</w:t>
            </w:r>
          </w:p>
        </w:tc>
        <w:tc>
          <w:tcPr>
            <w:tcW w:w="0" w:type="auto"/>
            <w:tcBorders>
              <w:top w:val="nil"/>
              <w:left w:val="nil"/>
              <w:bottom w:val="single" w:sz="4" w:space="0" w:color="auto"/>
              <w:right w:val="single" w:sz="4" w:space="0" w:color="auto"/>
            </w:tcBorders>
            <w:shd w:val="clear" w:color="auto" w:fill="auto"/>
            <w:vAlign w:val="center"/>
            <w:hideMark/>
          </w:tcPr>
          <w:p w14:paraId="4FA30744" w14:textId="77777777" w:rsidR="002B18F9" w:rsidRPr="00B92499" w:rsidRDefault="002B18F9" w:rsidP="002B18F9">
            <w:pPr>
              <w:rPr>
                <w:rFonts w:ascii="Arial" w:hAnsi="Arial" w:cs="Arial"/>
                <w:color w:val="000000"/>
                <w:sz w:val="20"/>
                <w:szCs w:val="20"/>
              </w:rPr>
            </w:pPr>
            <w:r w:rsidRPr="00B92499">
              <w:rPr>
                <w:rFonts w:ascii="Arial" w:hAnsi="Arial" w:cs="Arial"/>
                <w:color w:val="000000"/>
                <w:sz w:val="20"/>
                <w:szCs w:val="20"/>
              </w:rPr>
              <w:t>Servicios profesionales y honorarios.</w:t>
            </w:r>
          </w:p>
        </w:tc>
        <w:tc>
          <w:tcPr>
            <w:tcW w:w="770" w:type="dxa"/>
            <w:tcBorders>
              <w:top w:val="nil"/>
              <w:left w:val="nil"/>
              <w:bottom w:val="single" w:sz="4" w:space="0" w:color="auto"/>
              <w:right w:val="single" w:sz="4" w:space="0" w:color="auto"/>
            </w:tcBorders>
            <w:shd w:val="clear" w:color="auto" w:fill="auto"/>
            <w:vAlign w:val="center"/>
            <w:hideMark/>
          </w:tcPr>
          <w:p w14:paraId="3C5A8BA7" w14:textId="77777777" w:rsidR="002B18F9" w:rsidRPr="00B92499" w:rsidRDefault="002B18F9" w:rsidP="002B18F9">
            <w:pPr>
              <w:jc w:val="center"/>
              <w:rPr>
                <w:rFonts w:ascii="Arial" w:hAnsi="Arial" w:cs="Arial"/>
                <w:color w:val="000000"/>
                <w:sz w:val="20"/>
                <w:szCs w:val="20"/>
              </w:rPr>
            </w:pPr>
            <w:r w:rsidRPr="00B92499">
              <w:rPr>
                <w:rFonts w:ascii="Arial" w:hAnsi="Arial" w:cs="Arial"/>
                <w:color w:val="000000"/>
                <w:sz w:val="20"/>
                <w:szCs w:val="20"/>
              </w:rPr>
              <w:t xml:space="preserve">               55.54 </w:t>
            </w:r>
          </w:p>
        </w:tc>
      </w:tr>
      <w:tr w:rsidR="002B18F9" w:rsidRPr="00B92499" w14:paraId="4C1064EE" w14:textId="77777777" w:rsidTr="002B18F9">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6C1FC72" w14:textId="77777777" w:rsidR="002B18F9" w:rsidRPr="00B92499" w:rsidRDefault="002B18F9" w:rsidP="002B18F9">
            <w:pPr>
              <w:jc w:val="center"/>
              <w:rPr>
                <w:rFonts w:ascii="Arial" w:hAnsi="Arial" w:cs="Arial"/>
                <w:color w:val="000000"/>
                <w:sz w:val="20"/>
                <w:szCs w:val="20"/>
              </w:rPr>
            </w:pPr>
            <w:r w:rsidRPr="00B92499">
              <w:rPr>
                <w:rFonts w:ascii="Arial" w:hAnsi="Arial" w:cs="Arial"/>
                <w:color w:val="000000"/>
                <w:sz w:val="20"/>
                <w:szCs w:val="20"/>
              </w:rPr>
              <w:t>XVI</w:t>
            </w:r>
          </w:p>
        </w:tc>
        <w:tc>
          <w:tcPr>
            <w:tcW w:w="0" w:type="auto"/>
            <w:tcBorders>
              <w:top w:val="nil"/>
              <w:left w:val="nil"/>
              <w:bottom w:val="single" w:sz="4" w:space="0" w:color="auto"/>
              <w:right w:val="single" w:sz="4" w:space="0" w:color="auto"/>
            </w:tcBorders>
            <w:shd w:val="clear" w:color="auto" w:fill="auto"/>
            <w:vAlign w:val="center"/>
            <w:hideMark/>
          </w:tcPr>
          <w:p w14:paraId="5AFE64A0" w14:textId="77777777" w:rsidR="002B18F9" w:rsidRPr="00B92499" w:rsidRDefault="002B18F9" w:rsidP="002B18F9">
            <w:pPr>
              <w:rPr>
                <w:rFonts w:ascii="Arial" w:hAnsi="Arial" w:cs="Arial"/>
                <w:color w:val="000000"/>
                <w:sz w:val="20"/>
                <w:szCs w:val="20"/>
              </w:rPr>
            </w:pPr>
            <w:r w:rsidRPr="00B92499">
              <w:rPr>
                <w:rFonts w:ascii="Arial" w:hAnsi="Arial" w:cs="Arial"/>
                <w:color w:val="000000"/>
                <w:sz w:val="20"/>
                <w:szCs w:val="20"/>
              </w:rPr>
              <w:t>Condiciones generales de trabajo, contratos y convenios que regulen la relación laboral, recursos otorgados a sindicatos.</w:t>
            </w:r>
          </w:p>
        </w:tc>
        <w:tc>
          <w:tcPr>
            <w:tcW w:w="770" w:type="dxa"/>
            <w:tcBorders>
              <w:top w:val="nil"/>
              <w:left w:val="nil"/>
              <w:bottom w:val="single" w:sz="4" w:space="0" w:color="auto"/>
              <w:right w:val="single" w:sz="4" w:space="0" w:color="auto"/>
            </w:tcBorders>
            <w:shd w:val="clear" w:color="auto" w:fill="auto"/>
            <w:vAlign w:val="center"/>
            <w:hideMark/>
          </w:tcPr>
          <w:p w14:paraId="6C672557" w14:textId="77777777" w:rsidR="002B18F9" w:rsidRPr="00B92499" w:rsidRDefault="002B18F9" w:rsidP="002B18F9">
            <w:pPr>
              <w:jc w:val="center"/>
              <w:rPr>
                <w:rFonts w:ascii="Arial" w:hAnsi="Arial" w:cs="Arial"/>
                <w:color w:val="000000"/>
                <w:sz w:val="20"/>
                <w:szCs w:val="20"/>
              </w:rPr>
            </w:pPr>
            <w:r w:rsidRPr="00B92499">
              <w:rPr>
                <w:rFonts w:ascii="Arial" w:hAnsi="Arial" w:cs="Arial"/>
                <w:color w:val="000000"/>
                <w:sz w:val="20"/>
                <w:szCs w:val="20"/>
              </w:rPr>
              <w:t xml:space="preserve">               54.34 </w:t>
            </w:r>
          </w:p>
        </w:tc>
      </w:tr>
      <w:tr w:rsidR="002B18F9" w:rsidRPr="00B92499" w14:paraId="78688326" w14:textId="77777777" w:rsidTr="002B18F9">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BFCCEB6" w14:textId="77777777" w:rsidR="002B18F9" w:rsidRPr="00B92499" w:rsidRDefault="002B18F9" w:rsidP="002B18F9">
            <w:pPr>
              <w:jc w:val="center"/>
              <w:rPr>
                <w:rFonts w:ascii="Arial" w:hAnsi="Arial" w:cs="Arial"/>
                <w:color w:val="000000"/>
                <w:sz w:val="20"/>
                <w:szCs w:val="20"/>
              </w:rPr>
            </w:pPr>
            <w:r w:rsidRPr="00B92499">
              <w:rPr>
                <w:rFonts w:ascii="Arial" w:hAnsi="Arial" w:cs="Arial"/>
                <w:color w:val="000000"/>
                <w:sz w:val="20"/>
                <w:szCs w:val="20"/>
              </w:rPr>
              <w:t>XLIX</w:t>
            </w:r>
          </w:p>
        </w:tc>
        <w:tc>
          <w:tcPr>
            <w:tcW w:w="0" w:type="auto"/>
            <w:tcBorders>
              <w:top w:val="nil"/>
              <w:left w:val="nil"/>
              <w:bottom w:val="single" w:sz="4" w:space="0" w:color="auto"/>
              <w:right w:val="single" w:sz="4" w:space="0" w:color="auto"/>
            </w:tcBorders>
            <w:shd w:val="clear" w:color="auto" w:fill="auto"/>
            <w:vAlign w:val="center"/>
            <w:hideMark/>
          </w:tcPr>
          <w:p w14:paraId="1C92E433" w14:textId="77777777" w:rsidR="002B18F9" w:rsidRPr="00B92499" w:rsidRDefault="002B18F9" w:rsidP="002B18F9">
            <w:pPr>
              <w:rPr>
                <w:rFonts w:ascii="Arial" w:hAnsi="Arial" w:cs="Arial"/>
                <w:color w:val="000000"/>
                <w:sz w:val="20"/>
                <w:szCs w:val="20"/>
              </w:rPr>
            </w:pPr>
            <w:r w:rsidRPr="00B92499">
              <w:rPr>
                <w:rFonts w:ascii="Arial" w:hAnsi="Arial" w:cs="Arial"/>
                <w:color w:val="000000"/>
                <w:sz w:val="20"/>
                <w:szCs w:val="20"/>
              </w:rPr>
              <w:t xml:space="preserve">El catálogo de disposición y guía de archivo documental. </w:t>
            </w:r>
          </w:p>
        </w:tc>
        <w:tc>
          <w:tcPr>
            <w:tcW w:w="770" w:type="dxa"/>
            <w:tcBorders>
              <w:top w:val="nil"/>
              <w:left w:val="nil"/>
              <w:bottom w:val="single" w:sz="4" w:space="0" w:color="auto"/>
              <w:right w:val="single" w:sz="4" w:space="0" w:color="auto"/>
            </w:tcBorders>
            <w:shd w:val="clear" w:color="auto" w:fill="auto"/>
            <w:vAlign w:val="center"/>
            <w:hideMark/>
          </w:tcPr>
          <w:p w14:paraId="4A494853" w14:textId="77777777" w:rsidR="002B18F9" w:rsidRPr="00B92499" w:rsidRDefault="002B18F9" w:rsidP="002B18F9">
            <w:pPr>
              <w:jc w:val="center"/>
              <w:rPr>
                <w:rFonts w:ascii="Arial" w:hAnsi="Arial" w:cs="Arial"/>
                <w:color w:val="000000"/>
                <w:sz w:val="20"/>
                <w:szCs w:val="20"/>
              </w:rPr>
            </w:pPr>
            <w:r w:rsidRPr="00B92499">
              <w:rPr>
                <w:rFonts w:ascii="Arial" w:hAnsi="Arial" w:cs="Arial"/>
                <w:color w:val="000000"/>
                <w:sz w:val="20"/>
                <w:szCs w:val="20"/>
              </w:rPr>
              <w:t xml:space="preserve">               53.44 </w:t>
            </w:r>
          </w:p>
        </w:tc>
      </w:tr>
      <w:tr w:rsidR="002B18F9" w:rsidRPr="00B92499" w14:paraId="5E5DA274" w14:textId="77777777" w:rsidTr="002B18F9">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C7C3154" w14:textId="77777777" w:rsidR="002B18F9" w:rsidRPr="00B92499" w:rsidRDefault="002B18F9" w:rsidP="002B18F9">
            <w:pPr>
              <w:jc w:val="center"/>
              <w:rPr>
                <w:rFonts w:ascii="Arial" w:hAnsi="Arial" w:cs="Arial"/>
                <w:color w:val="000000"/>
                <w:sz w:val="20"/>
                <w:szCs w:val="20"/>
              </w:rPr>
            </w:pPr>
            <w:r w:rsidRPr="00B92499">
              <w:rPr>
                <w:rFonts w:ascii="Arial" w:hAnsi="Arial" w:cs="Arial"/>
                <w:color w:val="000000"/>
                <w:sz w:val="20"/>
                <w:szCs w:val="20"/>
              </w:rPr>
              <w:t>XX</w:t>
            </w:r>
          </w:p>
        </w:tc>
        <w:tc>
          <w:tcPr>
            <w:tcW w:w="0" w:type="auto"/>
            <w:tcBorders>
              <w:top w:val="nil"/>
              <w:left w:val="nil"/>
              <w:bottom w:val="single" w:sz="4" w:space="0" w:color="auto"/>
              <w:right w:val="single" w:sz="4" w:space="0" w:color="auto"/>
            </w:tcBorders>
            <w:shd w:val="clear" w:color="auto" w:fill="auto"/>
            <w:vAlign w:val="center"/>
            <w:hideMark/>
          </w:tcPr>
          <w:p w14:paraId="237D4C58" w14:textId="77777777" w:rsidR="002B18F9" w:rsidRPr="00B92499" w:rsidRDefault="002B18F9" w:rsidP="002B18F9">
            <w:pPr>
              <w:rPr>
                <w:rFonts w:ascii="Arial" w:hAnsi="Arial" w:cs="Arial"/>
                <w:color w:val="000000"/>
                <w:sz w:val="20"/>
                <w:szCs w:val="20"/>
              </w:rPr>
            </w:pPr>
            <w:r w:rsidRPr="00B92499">
              <w:rPr>
                <w:rFonts w:ascii="Arial" w:hAnsi="Arial" w:cs="Arial"/>
                <w:color w:val="000000"/>
                <w:sz w:val="20"/>
                <w:szCs w:val="20"/>
              </w:rPr>
              <w:t>Trámites que ofrecen y requisitos.</w:t>
            </w:r>
          </w:p>
        </w:tc>
        <w:tc>
          <w:tcPr>
            <w:tcW w:w="770" w:type="dxa"/>
            <w:tcBorders>
              <w:top w:val="nil"/>
              <w:left w:val="nil"/>
              <w:bottom w:val="single" w:sz="4" w:space="0" w:color="auto"/>
              <w:right w:val="single" w:sz="4" w:space="0" w:color="auto"/>
            </w:tcBorders>
            <w:shd w:val="clear" w:color="auto" w:fill="auto"/>
            <w:vAlign w:val="center"/>
            <w:hideMark/>
          </w:tcPr>
          <w:p w14:paraId="18E683DE" w14:textId="77777777" w:rsidR="002B18F9" w:rsidRPr="00B92499" w:rsidRDefault="002B18F9" w:rsidP="002B18F9">
            <w:pPr>
              <w:jc w:val="center"/>
              <w:rPr>
                <w:rFonts w:ascii="Arial" w:hAnsi="Arial" w:cs="Arial"/>
                <w:color w:val="000000"/>
                <w:sz w:val="20"/>
                <w:szCs w:val="20"/>
              </w:rPr>
            </w:pPr>
            <w:r w:rsidRPr="00B92499">
              <w:rPr>
                <w:rFonts w:ascii="Arial" w:hAnsi="Arial" w:cs="Arial"/>
                <w:color w:val="000000"/>
                <w:sz w:val="20"/>
                <w:szCs w:val="20"/>
              </w:rPr>
              <w:t xml:space="preserve">               53.44 </w:t>
            </w:r>
          </w:p>
        </w:tc>
      </w:tr>
      <w:tr w:rsidR="002B18F9" w:rsidRPr="00B92499" w14:paraId="71651505" w14:textId="77777777" w:rsidTr="002B18F9">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92E2EEE" w14:textId="77777777" w:rsidR="002B18F9" w:rsidRPr="00B92499" w:rsidRDefault="002B18F9" w:rsidP="002B18F9">
            <w:pPr>
              <w:jc w:val="center"/>
              <w:rPr>
                <w:rFonts w:ascii="Arial" w:hAnsi="Arial" w:cs="Arial"/>
                <w:color w:val="000000"/>
                <w:sz w:val="20"/>
                <w:szCs w:val="20"/>
              </w:rPr>
            </w:pPr>
            <w:r w:rsidRPr="00B92499">
              <w:rPr>
                <w:rFonts w:ascii="Arial" w:hAnsi="Arial" w:cs="Arial"/>
                <w:color w:val="000000"/>
                <w:sz w:val="20"/>
                <w:szCs w:val="20"/>
              </w:rPr>
              <w:t>XXXII</w:t>
            </w:r>
          </w:p>
        </w:tc>
        <w:tc>
          <w:tcPr>
            <w:tcW w:w="0" w:type="auto"/>
            <w:tcBorders>
              <w:top w:val="nil"/>
              <w:left w:val="nil"/>
              <w:bottom w:val="single" w:sz="4" w:space="0" w:color="auto"/>
              <w:right w:val="single" w:sz="4" w:space="0" w:color="auto"/>
            </w:tcBorders>
            <w:shd w:val="clear" w:color="auto" w:fill="auto"/>
            <w:vAlign w:val="center"/>
            <w:hideMark/>
          </w:tcPr>
          <w:p w14:paraId="0BCB44CB" w14:textId="77777777" w:rsidR="002B18F9" w:rsidRPr="00B92499" w:rsidRDefault="002B18F9" w:rsidP="002B18F9">
            <w:pPr>
              <w:rPr>
                <w:rFonts w:ascii="Arial" w:hAnsi="Arial" w:cs="Arial"/>
                <w:color w:val="000000"/>
                <w:sz w:val="20"/>
                <w:szCs w:val="20"/>
              </w:rPr>
            </w:pPr>
            <w:r w:rsidRPr="00B92499">
              <w:rPr>
                <w:rFonts w:ascii="Arial" w:hAnsi="Arial" w:cs="Arial"/>
                <w:color w:val="000000"/>
                <w:sz w:val="20"/>
                <w:szCs w:val="20"/>
              </w:rPr>
              <w:t>Estadísticas que generen.</w:t>
            </w:r>
          </w:p>
        </w:tc>
        <w:tc>
          <w:tcPr>
            <w:tcW w:w="770" w:type="dxa"/>
            <w:tcBorders>
              <w:top w:val="nil"/>
              <w:left w:val="nil"/>
              <w:bottom w:val="single" w:sz="4" w:space="0" w:color="auto"/>
              <w:right w:val="single" w:sz="4" w:space="0" w:color="auto"/>
            </w:tcBorders>
            <w:shd w:val="clear" w:color="auto" w:fill="auto"/>
            <w:vAlign w:val="center"/>
            <w:hideMark/>
          </w:tcPr>
          <w:p w14:paraId="101ADB8B" w14:textId="77777777" w:rsidR="002B18F9" w:rsidRPr="00B92499" w:rsidRDefault="002B18F9" w:rsidP="002B18F9">
            <w:pPr>
              <w:jc w:val="center"/>
              <w:rPr>
                <w:rFonts w:ascii="Arial" w:hAnsi="Arial" w:cs="Arial"/>
                <w:color w:val="000000"/>
                <w:sz w:val="20"/>
                <w:szCs w:val="20"/>
              </w:rPr>
            </w:pPr>
            <w:r w:rsidRPr="00B92499">
              <w:rPr>
                <w:rFonts w:ascii="Arial" w:hAnsi="Arial" w:cs="Arial"/>
                <w:color w:val="000000"/>
                <w:sz w:val="20"/>
                <w:szCs w:val="20"/>
              </w:rPr>
              <w:t xml:space="preserve">               53.23 </w:t>
            </w:r>
          </w:p>
        </w:tc>
      </w:tr>
      <w:tr w:rsidR="002B18F9" w:rsidRPr="00B92499" w14:paraId="67645F63" w14:textId="77777777" w:rsidTr="002B18F9">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DE4637E" w14:textId="77777777" w:rsidR="002B18F9" w:rsidRPr="00B92499" w:rsidRDefault="002B18F9" w:rsidP="002B18F9">
            <w:pPr>
              <w:jc w:val="center"/>
              <w:rPr>
                <w:rFonts w:ascii="Arial" w:hAnsi="Arial" w:cs="Arial"/>
                <w:color w:val="000000"/>
                <w:sz w:val="20"/>
                <w:szCs w:val="20"/>
              </w:rPr>
            </w:pPr>
            <w:r w:rsidRPr="00B92499">
              <w:rPr>
                <w:rFonts w:ascii="Arial" w:hAnsi="Arial" w:cs="Arial"/>
                <w:color w:val="000000"/>
                <w:sz w:val="20"/>
                <w:szCs w:val="20"/>
              </w:rPr>
              <w:t>LII</w:t>
            </w:r>
          </w:p>
        </w:tc>
        <w:tc>
          <w:tcPr>
            <w:tcW w:w="0" w:type="auto"/>
            <w:tcBorders>
              <w:top w:val="nil"/>
              <w:left w:val="nil"/>
              <w:bottom w:val="single" w:sz="4" w:space="0" w:color="auto"/>
              <w:right w:val="single" w:sz="4" w:space="0" w:color="auto"/>
            </w:tcBorders>
            <w:shd w:val="clear" w:color="auto" w:fill="auto"/>
            <w:vAlign w:val="center"/>
            <w:hideMark/>
          </w:tcPr>
          <w:p w14:paraId="4DC9AA38" w14:textId="77777777" w:rsidR="002B18F9" w:rsidRPr="00B92499" w:rsidRDefault="002B18F9" w:rsidP="002B18F9">
            <w:pPr>
              <w:rPr>
                <w:rFonts w:ascii="Arial" w:hAnsi="Arial" w:cs="Arial"/>
                <w:color w:val="000000"/>
                <w:sz w:val="20"/>
                <w:szCs w:val="20"/>
              </w:rPr>
            </w:pPr>
            <w:r w:rsidRPr="00B92499">
              <w:rPr>
                <w:rFonts w:ascii="Arial" w:hAnsi="Arial" w:cs="Arial"/>
                <w:color w:val="000000"/>
                <w:sz w:val="20"/>
                <w:szCs w:val="20"/>
              </w:rPr>
              <w:t xml:space="preserve">Cualquier otra información que sea de utilidad o se considere relevante. </w:t>
            </w:r>
          </w:p>
        </w:tc>
        <w:tc>
          <w:tcPr>
            <w:tcW w:w="770" w:type="dxa"/>
            <w:tcBorders>
              <w:top w:val="nil"/>
              <w:left w:val="nil"/>
              <w:bottom w:val="single" w:sz="4" w:space="0" w:color="auto"/>
              <w:right w:val="single" w:sz="4" w:space="0" w:color="auto"/>
            </w:tcBorders>
            <w:shd w:val="clear" w:color="auto" w:fill="auto"/>
            <w:vAlign w:val="center"/>
            <w:hideMark/>
          </w:tcPr>
          <w:p w14:paraId="4C941131" w14:textId="77777777" w:rsidR="002B18F9" w:rsidRPr="00B92499" w:rsidRDefault="002B18F9" w:rsidP="002B18F9">
            <w:pPr>
              <w:jc w:val="center"/>
              <w:rPr>
                <w:rFonts w:ascii="Arial" w:hAnsi="Arial" w:cs="Arial"/>
                <w:color w:val="000000"/>
                <w:sz w:val="20"/>
                <w:szCs w:val="20"/>
              </w:rPr>
            </w:pPr>
            <w:r w:rsidRPr="00B92499">
              <w:rPr>
                <w:rFonts w:ascii="Arial" w:hAnsi="Arial" w:cs="Arial"/>
                <w:color w:val="000000"/>
                <w:sz w:val="20"/>
                <w:szCs w:val="20"/>
              </w:rPr>
              <w:t xml:space="preserve">               50.16 </w:t>
            </w:r>
          </w:p>
        </w:tc>
      </w:tr>
      <w:tr w:rsidR="002B18F9" w:rsidRPr="00B92499" w14:paraId="3421F848" w14:textId="77777777" w:rsidTr="002B18F9">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0AC49F6" w14:textId="77777777" w:rsidR="002B18F9" w:rsidRPr="00B92499" w:rsidRDefault="002B18F9" w:rsidP="002B18F9">
            <w:pPr>
              <w:jc w:val="center"/>
              <w:rPr>
                <w:rFonts w:ascii="Arial" w:hAnsi="Arial" w:cs="Arial"/>
                <w:color w:val="000000"/>
                <w:sz w:val="20"/>
                <w:szCs w:val="20"/>
              </w:rPr>
            </w:pPr>
            <w:r w:rsidRPr="00B92499">
              <w:rPr>
                <w:rFonts w:ascii="Arial" w:hAnsi="Arial" w:cs="Arial"/>
                <w:color w:val="000000"/>
                <w:sz w:val="20"/>
                <w:szCs w:val="20"/>
              </w:rPr>
              <w:t>XXXIII</w:t>
            </w:r>
          </w:p>
        </w:tc>
        <w:tc>
          <w:tcPr>
            <w:tcW w:w="0" w:type="auto"/>
            <w:tcBorders>
              <w:top w:val="nil"/>
              <w:left w:val="nil"/>
              <w:bottom w:val="single" w:sz="4" w:space="0" w:color="auto"/>
              <w:right w:val="single" w:sz="4" w:space="0" w:color="auto"/>
            </w:tcBorders>
            <w:shd w:val="clear" w:color="auto" w:fill="auto"/>
            <w:vAlign w:val="center"/>
            <w:hideMark/>
          </w:tcPr>
          <w:p w14:paraId="3C9E128C" w14:textId="77777777" w:rsidR="002B18F9" w:rsidRPr="00B92499" w:rsidRDefault="002B18F9" w:rsidP="002B18F9">
            <w:pPr>
              <w:rPr>
                <w:rFonts w:ascii="Arial" w:hAnsi="Arial" w:cs="Arial"/>
                <w:color w:val="000000"/>
                <w:sz w:val="20"/>
                <w:szCs w:val="20"/>
              </w:rPr>
            </w:pPr>
            <w:r w:rsidRPr="00B92499">
              <w:rPr>
                <w:rFonts w:ascii="Arial" w:hAnsi="Arial" w:cs="Arial"/>
                <w:color w:val="000000"/>
                <w:sz w:val="20"/>
                <w:szCs w:val="20"/>
              </w:rPr>
              <w:t xml:space="preserve">Informe de avances programáticos o presupuestales. </w:t>
            </w:r>
          </w:p>
        </w:tc>
        <w:tc>
          <w:tcPr>
            <w:tcW w:w="770" w:type="dxa"/>
            <w:tcBorders>
              <w:top w:val="nil"/>
              <w:left w:val="nil"/>
              <w:bottom w:val="single" w:sz="4" w:space="0" w:color="auto"/>
              <w:right w:val="single" w:sz="4" w:space="0" w:color="auto"/>
            </w:tcBorders>
            <w:shd w:val="clear" w:color="auto" w:fill="auto"/>
            <w:vAlign w:val="center"/>
            <w:hideMark/>
          </w:tcPr>
          <w:p w14:paraId="173A56D5" w14:textId="77777777" w:rsidR="002B18F9" w:rsidRPr="00B92499" w:rsidRDefault="002B18F9" w:rsidP="002B18F9">
            <w:pPr>
              <w:jc w:val="center"/>
              <w:rPr>
                <w:rFonts w:ascii="Arial" w:hAnsi="Arial" w:cs="Arial"/>
                <w:color w:val="000000"/>
                <w:sz w:val="20"/>
                <w:szCs w:val="20"/>
              </w:rPr>
            </w:pPr>
            <w:r w:rsidRPr="00B92499">
              <w:rPr>
                <w:rFonts w:ascii="Arial" w:hAnsi="Arial" w:cs="Arial"/>
                <w:color w:val="000000"/>
                <w:sz w:val="20"/>
                <w:szCs w:val="20"/>
              </w:rPr>
              <w:t xml:space="preserve">               49.79 </w:t>
            </w:r>
          </w:p>
        </w:tc>
      </w:tr>
      <w:tr w:rsidR="002B18F9" w:rsidRPr="00B92499" w14:paraId="5AA9A3B1" w14:textId="77777777" w:rsidTr="002B18F9">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63E9FE6" w14:textId="77777777" w:rsidR="002B18F9" w:rsidRPr="00B92499" w:rsidRDefault="002B18F9" w:rsidP="002B18F9">
            <w:pPr>
              <w:jc w:val="center"/>
              <w:rPr>
                <w:rFonts w:ascii="Arial" w:hAnsi="Arial" w:cs="Arial"/>
                <w:color w:val="000000"/>
                <w:sz w:val="20"/>
                <w:szCs w:val="20"/>
              </w:rPr>
            </w:pPr>
            <w:r w:rsidRPr="00B92499">
              <w:rPr>
                <w:rFonts w:ascii="Arial" w:hAnsi="Arial" w:cs="Arial"/>
                <w:color w:val="000000"/>
                <w:sz w:val="20"/>
                <w:szCs w:val="20"/>
              </w:rPr>
              <w:t>XLVII</w:t>
            </w:r>
          </w:p>
        </w:tc>
        <w:tc>
          <w:tcPr>
            <w:tcW w:w="0" w:type="auto"/>
            <w:tcBorders>
              <w:top w:val="nil"/>
              <w:left w:val="nil"/>
              <w:bottom w:val="single" w:sz="4" w:space="0" w:color="auto"/>
              <w:right w:val="single" w:sz="4" w:space="0" w:color="auto"/>
            </w:tcBorders>
            <w:shd w:val="clear" w:color="auto" w:fill="auto"/>
            <w:vAlign w:val="center"/>
            <w:hideMark/>
          </w:tcPr>
          <w:p w14:paraId="7B8907CD" w14:textId="77777777" w:rsidR="002B18F9" w:rsidRPr="00B92499" w:rsidRDefault="002B18F9" w:rsidP="002B18F9">
            <w:pPr>
              <w:rPr>
                <w:rFonts w:ascii="Arial" w:hAnsi="Arial" w:cs="Arial"/>
                <w:color w:val="000000"/>
                <w:sz w:val="20"/>
                <w:szCs w:val="20"/>
              </w:rPr>
            </w:pPr>
            <w:r w:rsidRPr="00B92499">
              <w:rPr>
                <w:rFonts w:ascii="Arial" w:hAnsi="Arial" w:cs="Arial"/>
                <w:color w:val="000000"/>
                <w:sz w:val="20"/>
                <w:szCs w:val="20"/>
              </w:rPr>
              <w:t>Los ingresos recibidos por cualquier concepto.</w:t>
            </w:r>
          </w:p>
        </w:tc>
        <w:tc>
          <w:tcPr>
            <w:tcW w:w="770" w:type="dxa"/>
            <w:tcBorders>
              <w:top w:val="nil"/>
              <w:left w:val="nil"/>
              <w:bottom w:val="single" w:sz="4" w:space="0" w:color="auto"/>
              <w:right w:val="single" w:sz="4" w:space="0" w:color="auto"/>
            </w:tcBorders>
            <w:shd w:val="clear" w:color="auto" w:fill="auto"/>
            <w:vAlign w:val="center"/>
            <w:hideMark/>
          </w:tcPr>
          <w:p w14:paraId="52FD4E17" w14:textId="77777777" w:rsidR="002B18F9" w:rsidRPr="00B92499" w:rsidRDefault="002B18F9" w:rsidP="002B18F9">
            <w:pPr>
              <w:jc w:val="center"/>
              <w:rPr>
                <w:rFonts w:ascii="Arial" w:hAnsi="Arial" w:cs="Arial"/>
                <w:color w:val="000000"/>
                <w:sz w:val="20"/>
                <w:szCs w:val="20"/>
              </w:rPr>
            </w:pPr>
            <w:r w:rsidRPr="00B92499">
              <w:rPr>
                <w:rFonts w:ascii="Arial" w:hAnsi="Arial" w:cs="Arial"/>
                <w:color w:val="000000"/>
                <w:sz w:val="20"/>
                <w:szCs w:val="20"/>
              </w:rPr>
              <w:t xml:space="preserve">               47.45 </w:t>
            </w:r>
          </w:p>
        </w:tc>
      </w:tr>
      <w:tr w:rsidR="002B18F9" w:rsidRPr="00B92499" w14:paraId="78E4AAE5" w14:textId="77777777" w:rsidTr="002B18F9">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8F9A740" w14:textId="77777777" w:rsidR="002B18F9" w:rsidRPr="00B92499" w:rsidRDefault="002B18F9" w:rsidP="002B18F9">
            <w:pPr>
              <w:jc w:val="center"/>
              <w:rPr>
                <w:rFonts w:ascii="Arial" w:hAnsi="Arial" w:cs="Arial"/>
                <w:color w:val="000000"/>
                <w:sz w:val="20"/>
                <w:szCs w:val="20"/>
              </w:rPr>
            </w:pPr>
            <w:r w:rsidRPr="00B92499">
              <w:rPr>
                <w:rFonts w:ascii="Arial" w:hAnsi="Arial" w:cs="Arial"/>
                <w:color w:val="000000"/>
                <w:sz w:val="20"/>
                <w:szCs w:val="20"/>
              </w:rPr>
              <w:t>XXXIX</w:t>
            </w:r>
          </w:p>
        </w:tc>
        <w:tc>
          <w:tcPr>
            <w:tcW w:w="0" w:type="auto"/>
            <w:tcBorders>
              <w:top w:val="nil"/>
              <w:left w:val="nil"/>
              <w:bottom w:val="single" w:sz="4" w:space="0" w:color="auto"/>
              <w:right w:val="single" w:sz="4" w:space="0" w:color="auto"/>
            </w:tcBorders>
            <w:shd w:val="clear" w:color="auto" w:fill="auto"/>
            <w:vAlign w:val="center"/>
            <w:hideMark/>
          </w:tcPr>
          <w:p w14:paraId="5C9215F2" w14:textId="77777777" w:rsidR="002B18F9" w:rsidRPr="00B92499" w:rsidRDefault="002B18F9" w:rsidP="002B18F9">
            <w:pPr>
              <w:rPr>
                <w:rFonts w:ascii="Arial" w:hAnsi="Arial" w:cs="Arial"/>
                <w:color w:val="000000"/>
                <w:sz w:val="20"/>
                <w:szCs w:val="20"/>
              </w:rPr>
            </w:pPr>
            <w:r w:rsidRPr="00B92499">
              <w:rPr>
                <w:rFonts w:ascii="Arial" w:hAnsi="Arial" w:cs="Arial"/>
                <w:color w:val="000000"/>
                <w:sz w:val="20"/>
                <w:szCs w:val="20"/>
              </w:rPr>
              <w:t>Resoluciones y laudos que se emitan en procesos seguidos en forma de juicio.</w:t>
            </w:r>
          </w:p>
        </w:tc>
        <w:tc>
          <w:tcPr>
            <w:tcW w:w="770" w:type="dxa"/>
            <w:tcBorders>
              <w:top w:val="nil"/>
              <w:left w:val="nil"/>
              <w:bottom w:val="single" w:sz="4" w:space="0" w:color="auto"/>
              <w:right w:val="single" w:sz="4" w:space="0" w:color="auto"/>
            </w:tcBorders>
            <w:shd w:val="clear" w:color="auto" w:fill="auto"/>
            <w:vAlign w:val="center"/>
            <w:hideMark/>
          </w:tcPr>
          <w:p w14:paraId="6B60BAA1" w14:textId="77777777" w:rsidR="002B18F9" w:rsidRPr="00B92499" w:rsidRDefault="002B18F9" w:rsidP="002B18F9">
            <w:pPr>
              <w:jc w:val="center"/>
              <w:rPr>
                <w:rFonts w:ascii="Arial" w:hAnsi="Arial" w:cs="Arial"/>
                <w:color w:val="000000"/>
                <w:sz w:val="20"/>
                <w:szCs w:val="20"/>
              </w:rPr>
            </w:pPr>
            <w:r w:rsidRPr="00B92499">
              <w:rPr>
                <w:rFonts w:ascii="Arial" w:hAnsi="Arial" w:cs="Arial"/>
                <w:color w:val="000000"/>
                <w:sz w:val="20"/>
                <w:szCs w:val="20"/>
              </w:rPr>
              <w:t xml:space="preserve">               46.69 </w:t>
            </w:r>
          </w:p>
        </w:tc>
      </w:tr>
      <w:tr w:rsidR="002B18F9" w:rsidRPr="00B92499" w14:paraId="5DCD83CA" w14:textId="77777777" w:rsidTr="002B18F9">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77D0F7F" w14:textId="77777777" w:rsidR="002B18F9" w:rsidRPr="00B92499" w:rsidRDefault="002B18F9" w:rsidP="002B18F9">
            <w:pPr>
              <w:jc w:val="center"/>
              <w:rPr>
                <w:rFonts w:ascii="Arial" w:hAnsi="Arial" w:cs="Arial"/>
                <w:color w:val="000000"/>
                <w:sz w:val="20"/>
                <w:szCs w:val="20"/>
              </w:rPr>
            </w:pPr>
            <w:r w:rsidRPr="00B92499">
              <w:rPr>
                <w:rFonts w:ascii="Arial" w:hAnsi="Arial" w:cs="Arial"/>
                <w:color w:val="000000"/>
                <w:sz w:val="20"/>
                <w:szCs w:val="20"/>
              </w:rPr>
              <w:t>L</w:t>
            </w:r>
          </w:p>
        </w:tc>
        <w:tc>
          <w:tcPr>
            <w:tcW w:w="0" w:type="auto"/>
            <w:tcBorders>
              <w:top w:val="nil"/>
              <w:left w:val="nil"/>
              <w:bottom w:val="single" w:sz="4" w:space="0" w:color="auto"/>
              <w:right w:val="single" w:sz="4" w:space="0" w:color="auto"/>
            </w:tcBorders>
            <w:shd w:val="clear" w:color="auto" w:fill="auto"/>
            <w:vAlign w:val="center"/>
            <w:hideMark/>
          </w:tcPr>
          <w:p w14:paraId="13C8622B" w14:textId="77777777" w:rsidR="002B18F9" w:rsidRPr="00B92499" w:rsidRDefault="002B18F9" w:rsidP="002B18F9">
            <w:pPr>
              <w:rPr>
                <w:rFonts w:ascii="Arial" w:hAnsi="Arial" w:cs="Arial"/>
                <w:color w:val="000000"/>
                <w:sz w:val="20"/>
                <w:szCs w:val="20"/>
              </w:rPr>
            </w:pPr>
            <w:r w:rsidRPr="00B92499">
              <w:rPr>
                <w:rFonts w:ascii="Arial" w:hAnsi="Arial" w:cs="Arial"/>
                <w:color w:val="000000"/>
                <w:sz w:val="20"/>
                <w:szCs w:val="20"/>
              </w:rPr>
              <w:t xml:space="preserve">La calendarización, minutas y actas de las reuniones públicas de los consejos, colegiados, gabinetes, sesiones plenarias, comités, comisiones y sesiones de trabajo. </w:t>
            </w:r>
          </w:p>
        </w:tc>
        <w:tc>
          <w:tcPr>
            <w:tcW w:w="770" w:type="dxa"/>
            <w:tcBorders>
              <w:top w:val="nil"/>
              <w:left w:val="nil"/>
              <w:bottom w:val="single" w:sz="4" w:space="0" w:color="auto"/>
              <w:right w:val="single" w:sz="4" w:space="0" w:color="auto"/>
            </w:tcBorders>
            <w:shd w:val="clear" w:color="auto" w:fill="auto"/>
            <w:vAlign w:val="center"/>
            <w:hideMark/>
          </w:tcPr>
          <w:p w14:paraId="096AB5CF" w14:textId="77777777" w:rsidR="002B18F9" w:rsidRPr="00B92499" w:rsidRDefault="002B18F9" w:rsidP="002B18F9">
            <w:pPr>
              <w:jc w:val="center"/>
              <w:rPr>
                <w:rFonts w:ascii="Arial" w:hAnsi="Arial" w:cs="Arial"/>
                <w:color w:val="000000"/>
                <w:sz w:val="20"/>
                <w:szCs w:val="20"/>
              </w:rPr>
            </w:pPr>
            <w:r w:rsidRPr="00B92499">
              <w:rPr>
                <w:rFonts w:ascii="Arial" w:hAnsi="Arial" w:cs="Arial"/>
                <w:color w:val="000000"/>
                <w:sz w:val="20"/>
                <w:szCs w:val="20"/>
              </w:rPr>
              <w:t xml:space="preserve">               46.22 </w:t>
            </w:r>
          </w:p>
        </w:tc>
      </w:tr>
    </w:tbl>
    <w:p w14:paraId="3045C210" w14:textId="77777777" w:rsidR="002B18F9" w:rsidRPr="00B92499" w:rsidRDefault="002B18F9" w:rsidP="002B18F9">
      <w:pPr>
        <w:spacing w:line="360" w:lineRule="auto"/>
        <w:jc w:val="both"/>
        <w:rPr>
          <w:rFonts w:ascii="Arial" w:hAnsi="Arial" w:cs="Arial"/>
        </w:rPr>
      </w:pPr>
    </w:p>
    <w:p w14:paraId="7F32A5F1" w14:textId="12A83D89" w:rsidR="002B18F9" w:rsidRPr="00B92499" w:rsidRDefault="002B18F9" w:rsidP="009F64B5">
      <w:pPr>
        <w:pStyle w:val="Ttulo3"/>
        <w:numPr>
          <w:ilvl w:val="2"/>
          <w:numId w:val="8"/>
        </w:numPr>
        <w:contextualSpacing/>
        <w:rPr>
          <w:rFonts w:ascii="Arial" w:hAnsi="Arial" w:cs="Arial"/>
          <w:b/>
          <w:color w:val="auto"/>
        </w:rPr>
      </w:pPr>
      <w:bookmarkStart w:id="24" w:name="_Toc23252980"/>
      <w:r w:rsidRPr="00B92499">
        <w:rPr>
          <w:rFonts w:ascii="Arial" w:hAnsi="Arial" w:cs="Arial"/>
          <w:b/>
          <w:color w:val="auto"/>
        </w:rPr>
        <w:t xml:space="preserve">Análisis del </w:t>
      </w:r>
      <w:r w:rsidR="008F67E4" w:rsidRPr="00B92499">
        <w:rPr>
          <w:rFonts w:ascii="Arial" w:hAnsi="Arial" w:cs="Arial"/>
          <w:b/>
          <w:color w:val="auto"/>
        </w:rPr>
        <w:t>artículo</w:t>
      </w:r>
      <w:r w:rsidRPr="00B92499">
        <w:rPr>
          <w:rFonts w:ascii="Arial" w:hAnsi="Arial" w:cs="Arial"/>
          <w:b/>
          <w:color w:val="auto"/>
        </w:rPr>
        <w:t xml:space="preserve"> 123 y sus respectivas fracciones</w:t>
      </w:r>
      <w:bookmarkEnd w:id="24"/>
    </w:p>
    <w:p w14:paraId="55150F5A" w14:textId="77777777" w:rsidR="002B18F9" w:rsidRPr="00B92499" w:rsidRDefault="002B18F9" w:rsidP="002B18F9">
      <w:pPr>
        <w:rPr>
          <w:rFonts w:ascii="Arial" w:hAnsi="Arial" w:cs="Arial"/>
        </w:rPr>
      </w:pPr>
    </w:p>
    <w:p w14:paraId="23FAD2D4" w14:textId="596E6D48" w:rsidR="002B18F9" w:rsidRPr="00B92499" w:rsidRDefault="002B18F9" w:rsidP="002B18F9">
      <w:pPr>
        <w:spacing w:before="100" w:beforeAutospacing="1" w:after="100" w:afterAutospacing="1" w:line="360" w:lineRule="auto"/>
        <w:contextualSpacing/>
        <w:jc w:val="both"/>
        <w:rPr>
          <w:rFonts w:ascii="Arial" w:hAnsi="Arial" w:cs="Arial"/>
        </w:rPr>
      </w:pPr>
      <w:r w:rsidRPr="00B92499">
        <w:rPr>
          <w:rFonts w:ascii="Arial" w:hAnsi="Arial" w:cs="Arial"/>
        </w:rPr>
        <w:t xml:space="preserve">Los Órganos Desconcentrados alcanzaron un ICP en este </w:t>
      </w:r>
      <w:r w:rsidR="008F67E4" w:rsidRPr="00B92499">
        <w:rPr>
          <w:rFonts w:ascii="Arial" w:hAnsi="Arial" w:cs="Arial"/>
        </w:rPr>
        <w:t>artículo</w:t>
      </w:r>
      <w:r w:rsidRPr="00B92499">
        <w:rPr>
          <w:rFonts w:ascii="Arial" w:hAnsi="Arial" w:cs="Arial"/>
        </w:rPr>
        <w:t xml:space="preserve"> de 68.31%, por lo que se encuentra dentro del área de cumplimiento parcial. En atención a lo anterior, un </w:t>
      </w:r>
      <w:r w:rsidR="008710F6" w:rsidRPr="00B92499">
        <w:rPr>
          <w:rFonts w:ascii="Arial" w:hAnsi="Arial" w:cs="Arial"/>
        </w:rPr>
        <w:t>sujeto obligado</w:t>
      </w:r>
      <w:r w:rsidRPr="00B92499">
        <w:rPr>
          <w:rFonts w:ascii="Arial" w:hAnsi="Arial" w:cs="Arial"/>
        </w:rPr>
        <w:t xml:space="preserve"> cumplió totalmente,</w:t>
      </w:r>
      <w:r w:rsidR="000D67A7" w:rsidRPr="00B92499">
        <w:rPr>
          <w:rFonts w:ascii="Arial" w:hAnsi="Arial" w:cs="Arial"/>
        </w:rPr>
        <w:t xml:space="preserve"> 4 </w:t>
      </w:r>
      <w:r w:rsidRPr="00B92499">
        <w:rPr>
          <w:rFonts w:ascii="Arial" w:hAnsi="Arial" w:cs="Arial"/>
        </w:rPr>
        <w:t xml:space="preserve">cumplieron parcialmente con un ICP entre 72.61% y 83.14%, </w:t>
      </w:r>
      <w:r w:rsidR="000D67A7" w:rsidRPr="00B92499">
        <w:rPr>
          <w:rFonts w:ascii="Arial" w:hAnsi="Arial" w:cs="Arial"/>
        </w:rPr>
        <w:t>2</w:t>
      </w:r>
      <w:r w:rsidRPr="00B92499">
        <w:rPr>
          <w:rFonts w:ascii="Arial" w:hAnsi="Arial" w:cs="Arial"/>
        </w:rPr>
        <w:t xml:space="preserve"> </w:t>
      </w:r>
      <w:r w:rsidR="008710F6" w:rsidRPr="00B92499">
        <w:rPr>
          <w:rFonts w:ascii="Arial" w:hAnsi="Arial" w:cs="Arial"/>
        </w:rPr>
        <w:t>sujeto</w:t>
      </w:r>
      <w:r w:rsidRPr="00B92499">
        <w:rPr>
          <w:rFonts w:ascii="Arial" w:hAnsi="Arial" w:cs="Arial"/>
        </w:rPr>
        <w:t xml:space="preserve">s incumplieron parcialmente ubicándose entre </w:t>
      </w:r>
      <w:r w:rsidRPr="00B92499">
        <w:rPr>
          <w:rFonts w:ascii="Arial" w:hAnsi="Arial" w:cs="Arial"/>
        </w:rPr>
        <w:lastRenderedPageBreak/>
        <w:t>el 17.50% y 47.53% y al Fondo Público de Atención al Ciclista y al Peatón no le es aplicable este artículo.</w:t>
      </w:r>
    </w:p>
    <w:p w14:paraId="6876CE67" w14:textId="77777777" w:rsidR="002B18F9" w:rsidRPr="00B92499" w:rsidRDefault="002B18F9" w:rsidP="002B18F9">
      <w:pPr>
        <w:spacing w:before="100" w:beforeAutospacing="1" w:after="100" w:afterAutospacing="1" w:line="360" w:lineRule="auto"/>
        <w:contextualSpacing/>
        <w:jc w:val="both"/>
        <w:rPr>
          <w:rFonts w:ascii="Arial" w:hAnsi="Arial" w:cs="Arial"/>
        </w:rPr>
      </w:pPr>
    </w:p>
    <w:p w14:paraId="30D938E2" w14:textId="6FCD773E" w:rsidR="002B18F9" w:rsidRPr="00B92499" w:rsidRDefault="002B18F9" w:rsidP="002B18F9">
      <w:pPr>
        <w:spacing w:before="100" w:beforeAutospacing="1" w:after="100" w:afterAutospacing="1" w:line="360" w:lineRule="auto"/>
        <w:contextualSpacing/>
        <w:jc w:val="both"/>
        <w:rPr>
          <w:rFonts w:ascii="Arial" w:hAnsi="Arial" w:cs="Arial"/>
        </w:rPr>
      </w:pPr>
      <w:r w:rsidRPr="00B92499">
        <w:rPr>
          <w:rFonts w:ascii="Arial" w:hAnsi="Arial" w:cs="Arial"/>
        </w:rPr>
        <w:t>De igual forma, respecto de las 26 fracciones que integran este artículo,</w:t>
      </w:r>
      <w:r w:rsidR="000D67A7" w:rsidRPr="00B92499">
        <w:rPr>
          <w:rFonts w:ascii="Arial" w:hAnsi="Arial" w:cs="Arial"/>
        </w:rPr>
        <w:t xml:space="preserve"> 3 </w:t>
      </w:r>
      <w:r w:rsidRPr="00B92499">
        <w:rPr>
          <w:rFonts w:ascii="Arial" w:hAnsi="Arial" w:cs="Arial"/>
        </w:rPr>
        <w:t>se encuentran entre 46.43% y 57.14%; 22 se encuen</w:t>
      </w:r>
      <w:r w:rsidR="000D67A7" w:rsidRPr="00B92499">
        <w:rPr>
          <w:rFonts w:ascii="Arial" w:hAnsi="Arial" w:cs="Arial"/>
        </w:rPr>
        <w:t>tran entre 60.48% y 92.86% y 1</w:t>
      </w:r>
      <w:r w:rsidRPr="00B92499">
        <w:rPr>
          <w:rFonts w:ascii="Arial" w:hAnsi="Arial" w:cs="Arial"/>
        </w:rPr>
        <w:t xml:space="preserve"> con cumplimiento total. En esta línea, las</w:t>
      </w:r>
      <w:r w:rsidR="000D67A7" w:rsidRPr="00B92499">
        <w:rPr>
          <w:rFonts w:ascii="Arial" w:hAnsi="Arial" w:cs="Arial"/>
        </w:rPr>
        <w:t xml:space="preserve"> 3 </w:t>
      </w:r>
      <w:r w:rsidRPr="00B92499">
        <w:rPr>
          <w:rFonts w:ascii="Arial" w:hAnsi="Arial" w:cs="Arial"/>
        </w:rPr>
        <w:t xml:space="preserve">fracciones que tienen una mayor área de oportunidad son las siguientes: </w:t>
      </w:r>
    </w:p>
    <w:p w14:paraId="18680C6C" w14:textId="77777777" w:rsidR="002B18F9" w:rsidRPr="00B92499" w:rsidRDefault="002B18F9" w:rsidP="002B18F9">
      <w:pPr>
        <w:pStyle w:val="Prrafodelista"/>
        <w:numPr>
          <w:ilvl w:val="0"/>
          <w:numId w:val="4"/>
        </w:numPr>
        <w:spacing w:before="100" w:beforeAutospacing="1" w:after="100" w:afterAutospacing="1" w:line="360" w:lineRule="auto"/>
        <w:jc w:val="both"/>
        <w:rPr>
          <w:rFonts w:ascii="Arial" w:hAnsi="Arial" w:cs="Arial"/>
          <w:sz w:val="24"/>
          <w:szCs w:val="24"/>
          <w:lang w:val="es-ES_tradnl"/>
        </w:rPr>
      </w:pPr>
      <w:r w:rsidRPr="00B92499">
        <w:rPr>
          <w:rFonts w:ascii="Arial" w:hAnsi="Arial" w:cs="Arial"/>
          <w:sz w:val="24"/>
          <w:szCs w:val="24"/>
          <w:lang w:val="es-ES_tradnl"/>
        </w:rPr>
        <w:t>Fracción XIII, con un ICP de 46.43% la cual consiste en la publicación los convenios de coordinación con la Federación, Entidades Federativas y Municipios y de concertación con los sectores social y privado. El área de oportunidad de este ámbito respecto de esta fracción es publicar y actualizar la información correspondiente, así como conservar la información de los ejercicios anteriores o en el caso de no generar la misma, fundar y motivar la no generación a través de una nota.</w:t>
      </w:r>
    </w:p>
    <w:p w14:paraId="6AB1484C" w14:textId="77777777" w:rsidR="002B18F9" w:rsidRPr="00B92499" w:rsidRDefault="002B18F9" w:rsidP="002B18F9">
      <w:pPr>
        <w:pStyle w:val="Prrafodelista"/>
        <w:numPr>
          <w:ilvl w:val="0"/>
          <w:numId w:val="4"/>
        </w:numPr>
        <w:spacing w:before="100" w:beforeAutospacing="1" w:after="100" w:afterAutospacing="1" w:line="360" w:lineRule="auto"/>
        <w:jc w:val="both"/>
        <w:rPr>
          <w:rFonts w:ascii="Arial" w:hAnsi="Arial" w:cs="Arial"/>
          <w:sz w:val="24"/>
          <w:szCs w:val="24"/>
          <w:lang w:val="es-ES_tradnl"/>
        </w:rPr>
      </w:pPr>
      <w:r w:rsidRPr="00B92499">
        <w:rPr>
          <w:rFonts w:ascii="Arial" w:hAnsi="Arial" w:cs="Arial"/>
          <w:sz w:val="24"/>
          <w:szCs w:val="24"/>
          <w:lang w:val="es-ES_tradnl"/>
        </w:rPr>
        <w:t>Fracción XVII, con un ICP de 57.14% la cual consiste en la publicación de los recursos remanentes de los ejercicios fiscales anteriores, así como su aplicación específica. El área de oportunidad de este ámbito respecto de esta fracción es publicar y actualizar la información correspondiente, así como conservar la información de los ejercicios anteriores.</w:t>
      </w:r>
    </w:p>
    <w:p w14:paraId="2E2F8D3D" w14:textId="50DC250A" w:rsidR="002B18F9" w:rsidRPr="00B92499" w:rsidRDefault="002B18F9" w:rsidP="002B18F9">
      <w:pPr>
        <w:pStyle w:val="Prrafodelista"/>
        <w:numPr>
          <w:ilvl w:val="0"/>
          <w:numId w:val="4"/>
        </w:numPr>
        <w:spacing w:before="100" w:beforeAutospacing="1" w:after="100" w:afterAutospacing="1" w:line="360" w:lineRule="auto"/>
        <w:jc w:val="both"/>
        <w:rPr>
          <w:rFonts w:ascii="Arial" w:hAnsi="Arial" w:cs="Arial"/>
          <w:sz w:val="24"/>
          <w:szCs w:val="24"/>
          <w:lang w:val="es-ES_tradnl"/>
        </w:rPr>
      </w:pPr>
      <w:r w:rsidRPr="00B92499">
        <w:rPr>
          <w:rFonts w:ascii="Arial" w:hAnsi="Arial" w:cs="Arial"/>
          <w:sz w:val="24"/>
          <w:szCs w:val="24"/>
          <w:lang w:val="es-ES_tradnl"/>
        </w:rPr>
        <w:t>Fracción XIV, con un ICP de 57.14% en la cual se mandata la publicación de la información que se</w:t>
      </w:r>
      <w:r w:rsidR="009F734B" w:rsidRPr="00B92499">
        <w:rPr>
          <w:rFonts w:ascii="Arial" w:hAnsi="Arial" w:cs="Arial"/>
          <w:sz w:val="24"/>
          <w:szCs w:val="24"/>
          <w:lang w:val="es-ES_tradnl"/>
        </w:rPr>
        <w:t>a</w:t>
      </w:r>
      <w:r w:rsidRPr="00B92499">
        <w:rPr>
          <w:rFonts w:ascii="Arial" w:hAnsi="Arial" w:cs="Arial"/>
          <w:sz w:val="24"/>
          <w:szCs w:val="24"/>
          <w:lang w:val="es-ES_tradnl"/>
        </w:rPr>
        <w:t xml:space="preserve"> de utilidad o resulte relevante para el conocimiento y evaluación de las funciones y políticas públicas. El área de oportunidad de este ámbito respecto de esta fracción es publicar y actualizar la información correspondiente, así como conservar la información de los ejercicios anteriores o en el caso de no generar la misma, fundar y motivar la no generación a través de una nota.</w:t>
      </w:r>
    </w:p>
    <w:p w14:paraId="714A19C6" w14:textId="77777777" w:rsidR="002B18F9" w:rsidRPr="00B92499" w:rsidRDefault="002B18F9" w:rsidP="002B18F9">
      <w:pPr>
        <w:spacing w:before="100" w:beforeAutospacing="1" w:after="100" w:afterAutospacing="1" w:line="360" w:lineRule="auto"/>
        <w:contextualSpacing/>
        <w:jc w:val="both"/>
        <w:rPr>
          <w:rFonts w:ascii="Arial" w:hAnsi="Arial" w:cs="Arial"/>
        </w:rPr>
      </w:pPr>
      <w:r w:rsidRPr="00B92499">
        <w:rPr>
          <w:rFonts w:ascii="Arial" w:hAnsi="Arial" w:cs="Arial"/>
        </w:rPr>
        <w:t>De igual forma, la única fracción con un ICP de 100% es la que se detalla a continuación:</w:t>
      </w:r>
    </w:p>
    <w:p w14:paraId="42CBBF1C" w14:textId="77777777" w:rsidR="002B18F9" w:rsidRPr="00B92499" w:rsidRDefault="002B18F9" w:rsidP="002B18F9">
      <w:pPr>
        <w:pStyle w:val="Prrafodelista"/>
        <w:numPr>
          <w:ilvl w:val="0"/>
          <w:numId w:val="3"/>
        </w:numPr>
        <w:spacing w:before="100" w:beforeAutospacing="1" w:after="100" w:afterAutospacing="1" w:line="360" w:lineRule="auto"/>
        <w:jc w:val="both"/>
        <w:rPr>
          <w:rFonts w:ascii="Arial" w:hAnsi="Arial" w:cs="Arial"/>
          <w:sz w:val="24"/>
          <w:szCs w:val="24"/>
          <w:lang w:val="es-ES_tradnl"/>
        </w:rPr>
      </w:pPr>
      <w:r w:rsidRPr="00B92499">
        <w:rPr>
          <w:rFonts w:ascii="Arial" w:hAnsi="Arial" w:cs="Arial"/>
          <w:sz w:val="24"/>
          <w:szCs w:val="24"/>
          <w:lang w:val="es-ES_tradnl"/>
        </w:rPr>
        <w:lastRenderedPageBreak/>
        <w:t xml:space="preserve">Fracción XIX, consistente en la publicación de la georreferenciación e imagen de todas las obras públicas. </w:t>
      </w:r>
    </w:p>
    <w:p w14:paraId="1D6F6A85" w14:textId="01E3CF3A" w:rsidR="002B18F9" w:rsidRPr="00B92499" w:rsidRDefault="002B18F9" w:rsidP="002B18F9">
      <w:pPr>
        <w:spacing w:before="100" w:beforeAutospacing="1" w:after="100" w:afterAutospacing="1" w:line="360" w:lineRule="auto"/>
        <w:jc w:val="both"/>
        <w:rPr>
          <w:rFonts w:ascii="Arial" w:hAnsi="Arial" w:cs="Arial"/>
        </w:rPr>
      </w:pPr>
      <w:r w:rsidRPr="00B92499">
        <w:rPr>
          <w:rFonts w:ascii="Arial" w:hAnsi="Arial" w:cs="Arial"/>
        </w:rPr>
        <w:t>Con el objetivo de mostrar con mayor detalle el ICP de cada fracción del artículo 123</w:t>
      </w:r>
      <w:r w:rsidR="009F734B" w:rsidRPr="00B92499">
        <w:rPr>
          <w:rFonts w:ascii="Arial" w:hAnsi="Arial" w:cs="Arial"/>
        </w:rPr>
        <w:t>,</w:t>
      </w:r>
      <w:r w:rsidRPr="00B92499">
        <w:rPr>
          <w:rFonts w:ascii="Arial" w:hAnsi="Arial" w:cs="Arial"/>
        </w:rPr>
        <w:t xml:space="preserve"> es presentada la siguiente tabla ordenada de forma descendente.</w:t>
      </w:r>
    </w:p>
    <w:tbl>
      <w:tblPr>
        <w:tblW w:w="8929" w:type="dxa"/>
        <w:tblCellMar>
          <w:left w:w="70" w:type="dxa"/>
          <w:right w:w="70" w:type="dxa"/>
        </w:tblCellMar>
        <w:tblLook w:val="04A0" w:firstRow="1" w:lastRow="0" w:firstColumn="1" w:lastColumn="0" w:noHBand="0" w:noVBand="1"/>
      </w:tblPr>
      <w:tblGrid>
        <w:gridCol w:w="974"/>
        <w:gridCol w:w="7256"/>
        <w:gridCol w:w="699"/>
      </w:tblGrid>
      <w:tr w:rsidR="002B18F9" w:rsidRPr="00B92499" w14:paraId="41041BCA" w14:textId="77777777" w:rsidTr="002B18F9">
        <w:trPr>
          <w:trHeight w:val="20"/>
          <w:tblHeader/>
        </w:trPr>
        <w:tc>
          <w:tcPr>
            <w:tcW w:w="8929" w:type="dxa"/>
            <w:gridSpan w:val="3"/>
            <w:tcBorders>
              <w:top w:val="single" w:sz="4" w:space="0" w:color="auto"/>
              <w:left w:val="single" w:sz="4" w:space="0" w:color="auto"/>
              <w:bottom w:val="single" w:sz="4" w:space="0" w:color="auto"/>
              <w:right w:val="single" w:sz="4" w:space="0" w:color="auto"/>
            </w:tcBorders>
            <w:shd w:val="clear" w:color="auto" w:fill="00B0F0"/>
            <w:noWrap/>
            <w:vAlign w:val="center"/>
            <w:hideMark/>
          </w:tcPr>
          <w:p w14:paraId="56561F85" w14:textId="0881F575" w:rsidR="002B18F9" w:rsidRPr="00B92499" w:rsidRDefault="002B18F9" w:rsidP="002B18F9">
            <w:pPr>
              <w:jc w:val="center"/>
              <w:rPr>
                <w:rFonts w:ascii="Arial" w:hAnsi="Arial" w:cs="Arial"/>
                <w:b/>
                <w:bCs/>
                <w:color w:val="000000"/>
                <w:sz w:val="20"/>
                <w:szCs w:val="20"/>
              </w:rPr>
            </w:pPr>
            <w:r w:rsidRPr="00B92499">
              <w:rPr>
                <w:rFonts w:ascii="Arial" w:hAnsi="Arial" w:cs="Arial"/>
                <w:b/>
                <w:bCs/>
                <w:color w:val="000000"/>
                <w:sz w:val="20"/>
                <w:szCs w:val="20"/>
              </w:rPr>
              <w:t xml:space="preserve">Artículo 123 de las </w:t>
            </w:r>
            <w:r w:rsidR="008710F6" w:rsidRPr="00B92499">
              <w:rPr>
                <w:rFonts w:ascii="Arial" w:hAnsi="Arial" w:cs="Arial"/>
                <w:b/>
                <w:bCs/>
                <w:color w:val="000000"/>
                <w:sz w:val="20"/>
                <w:szCs w:val="20"/>
              </w:rPr>
              <w:t>obligaciones de transparencia</w:t>
            </w:r>
            <w:r w:rsidRPr="00B92499">
              <w:rPr>
                <w:rFonts w:ascii="Arial" w:hAnsi="Arial" w:cs="Arial"/>
                <w:b/>
                <w:bCs/>
                <w:color w:val="000000"/>
                <w:sz w:val="20"/>
                <w:szCs w:val="20"/>
              </w:rPr>
              <w:t xml:space="preserve"> específicas</w:t>
            </w:r>
          </w:p>
        </w:tc>
      </w:tr>
      <w:tr w:rsidR="002B18F9" w:rsidRPr="00B92499" w14:paraId="4D994645" w14:textId="77777777" w:rsidTr="002B18F9">
        <w:trPr>
          <w:trHeight w:val="20"/>
          <w:tblHeader/>
        </w:trPr>
        <w:tc>
          <w:tcPr>
            <w:tcW w:w="0" w:type="auto"/>
            <w:tcBorders>
              <w:top w:val="nil"/>
              <w:left w:val="single" w:sz="4" w:space="0" w:color="auto"/>
              <w:bottom w:val="single" w:sz="4" w:space="0" w:color="auto"/>
              <w:right w:val="single" w:sz="4" w:space="0" w:color="auto"/>
            </w:tcBorders>
            <w:shd w:val="clear" w:color="auto" w:fill="00B0F0"/>
            <w:noWrap/>
            <w:vAlign w:val="center"/>
            <w:hideMark/>
          </w:tcPr>
          <w:p w14:paraId="55AAF27E" w14:textId="77777777" w:rsidR="002B18F9" w:rsidRPr="00B92499" w:rsidRDefault="002B18F9" w:rsidP="002B18F9">
            <w:pPr>
              <w:jc w:val="center"/>
              <w:rPr>
                <w:rFonts w:ascii="Arial" w:hAnsi="Arial" w:cs="Arial"/>
                <w:b/>
                <w:bCs/>
                <w:color w:val="000000"/>
                <w:sz w:val="20"/>
                <w:szCs w:val="20"/>
              </w:rPr>
            </w:pPr>
            <w:r w:rsidRPr="00B92499">
              <w:rPr>
                <w:rFonts w:ascii="Arial" w:hAnsi="Arial" w:cs="Arial"/>
                <w:b/>
                <w:bCs/>
                <w:color w:val="000000"/>
                <w:sz w:val="20"/>
                <w:szCs w:val="20"/>
              </w:rPr>
              <w:t>Fracción</w:t>
            </w:r>
          </w:p>
        </w:tc>
        <w:tc>
          <w:tcPr>
            <w:tcW w:w="0" w:type="auto"/>
            <w:tcBorders>
              <w:top w:val="nil"/>
              <w:left w:val="nil"/>
              <w:bottom w:val="single" w:sz="4" w:space="0" w:color="auto"/>
              <w:right w:val="single" w:sz="4" w:space="0" w:color="auto"/>
            </w:tcBorders>
            <w:shd w:val="clear" w:color="auto" w:fill="00B0F0"/>
            <w:noWrap/>
            <w:vAlign w:val="center"/>
            <w:hideMark/>
          </w:tcPr>
          <w:p w14:paraId="1A25AB03" w14:textId="77777777" w:rsidR="002B18F9" w:rsidRPr="00B92499" w:rsidRDefault="002B18F9" w:rsidP="002B18F9">
            <w:pPr>
              <w:jc w:val="center"/>
              <w:rPr>
                <w:rFonts w:ascii="Arial" w:hAnsi="Arial" w:cs="Arial"/>
                <w:b/>
                <w:bCs/>
                <w:color w:val="000000"/>
                <w:sz w:val="20"/>
                <w:szCs w:val="20"/>
              </w:rPr>
            </w:pPr>
            <w:r w:rsidRPr="00B92499">
              <w:rPr>
                <w:rFonts w:ascii="Arial" w:hAnsi="Arial" w:cs="Arial"/>
                <w:b/>
                <w:bCs/>
                <w:color w:val="000000"/>
                <w:sz w:val="20"/>
                <w:szCs w:val="20"/>
              </w:rPr>
              <w:t>Resumen de la Fracción</w:t>
            </w:r>
          </w:p>
        </w:tc>
        <w:tc>
          <w:tcPr>
            <w:tcW w:w="755" w:type="dxa"/>
            <w:tcBorders>
              <w:top w:val="nil"/>
              <w:left w:val="nil"/>
              <w:bottom w:val="single" w:sz="4" w:space="0" w:color="auto"/>
              <w:right w:val="single" w:sz="4" w:space="0" w:color="auto"/>
            </w:tcBorders>
            <w:shd w:val="clear" w:color="auto" w:fill="00B0F0"/>
            <w:vAlign w:val="center"/>
            <w:hideMark/>
          </w:tcPr>
          <w:p w14:paraId="321E4066" w14:textId="77777777" w:rsidR="002B18F9" w:rsidRPr="00B92499" w:rsidRDefault="002B18F9" w:rsidP="002B18F9">
            <w:pPr>
              <w:jc w:val="center"/>
              <w:rPr>
                <w:rFonts w:ascii="Arial" w:hAnsi="Arial" w:cs="Arial"/>
                <w:b/>
                <w:bCs/>
                <w:color w:val="000000"/>
                <w:sz w:val="20"/>
                <w:szCs w:val="20"/>
              </w:rPr>
            </w:pPr>
            <w:r w:rsidRPr="00B92499">
              <w:rPr>
                <w:rFonts w:ascii="Arial" w:hAnsi="Arial" w:cs="Arial"/>
                <w:b/>
                <w:bCs/>
                <w:color w:val="000000"/>
                <w:sz w:val="20"/>
                <w:szCs w:val="20"/>
              </w:rPr>
              <w:t>ICP</w:t>
            </w:r>
          </w:p>
        </w:tc>
      </w:tr>
      <w:tr w:rsidR="002B18F9" w:rsidRPr="00B92499" w14:paraId="1476CFB4" w14:textId="77777777" w:rsidTr="002B18F9">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C29AE45" w14:textId="77777777" w:rsidR="002B18F9" w:rsidRPr="00B92499" w:rsidRDefault="002B18F9" w:rsidP="002B18F9">
            <w:pPr>
              <w:jc w:val="center"/>
              <w:rPr>
                <w:rFonts w:ascii="Arial" w:hAnsi="Arial" w:cs="Arial"/>
                <w:color w:val="000000"/>
                <w:sz w:val="20"/>
                <w:szCs w:val="20"/>
              </w:rPr>
            </w:pPr>
            <w:r w:rsidRPr="00B92499">
              <w:rPr>
                <w:rFonts w:ascii="Arial" w:hAnsi="Arial" w:cs="Arial"/>
                <w:color w:val="000000"/>
                <w:sz w:val="20"/>
                <w:szCs w:val="20"/>
              </w:rPr>
              <w:t>XIX</w:t>
            </w:r>
          </w:p>
        </w:tc>
        <w:tc>
          <w:tcPr>
            <w:tcW w:w="0" w:type="auto"/>
            <w:tcBorders>
              <w:top w:val="nil"/>
              <w:left w:val="nil"/>
              <w:bottom w:val="single" w:sz="4" w:space="0" w:color="auto"/>
              <w:right w:val="single" w:sz="4" w:space="0" w:color="auto"/>
            </w:tcBorders>
            <w:shd w:val="clear" w:color="auto" w:fill="auto"/>
            <w:vAlign w:val="center"/>
            <w:hideMark/>
          </w:tcPr>
          <w:p w14:paraId="360F4171" w14:textId="77777777" w:rsidR="002B18F9" w:rsidRPr="00B92499" w:rsidRDefault="002B18F9" w:rsidP="002B18F9">
            <w:pPr>
              <w:jc w:val="both"/>
              <w:rPr>
                <w:rFonts w:ascii="Arial" w:hAnsi="Arial" w:cs="Arial"/>
                <w:color w:val="000000"/>
                <w:sz w:val="20"/>
                <w:szCs w:val="20"/>
              </w:rPr>
            </w:pPr>
            <w:r w:rsidRPr="00B92499">
              <w:rPr>
                <w:rFonts w:ascii="Arial" w:hAnsi="Arial" w:cs="Arial"/>
                <w:color w:val="000000"/>
                <w:sz w:val="20"/>
                <w:szCs w:val="20"/>
              </w:rPr>
              <w:t>La georreferenciación e imagen de todas las obras públicas.</w:t>
            </w:r>
          </w:p>
        </w:tc>
        <w:tc>
          <w:tcPr>
            <w:tcW w:w="755" w:type="dxa"/>
            <w:tcBorders>
              <w:top w:val="nil"/>
              <w:left w:val="nil"/>
              <w:bottom w:val="single" w:sz="4" w:space="0" w:color="auto"/>
              <w:right w:val="single" w:sz="4" w:space="0" w:color="auto"/>
            </w:tcBorders>
            <w:shd w:val="clear" w:color="auto" w:fill="auto"/>
            <w:vAlign w:val="center"/>
            <w:hideMark/>
          </w:tcPr>
          <w:p w14:paraId="024E649F" w14:textId="4C4A84F2" w:rsidR="002B18F9" w:rsidRPr="00B92499" w:rsidRDefault="002B18F9" w:rsidP="00FE4968">
            <w:pPr>
              <w:jc w:val="center"/>
              <w:rPr>
                <w:rFonts w:ascii="Arial" w:hAnsi="Arial" w:cs="Arial"/>
                <w:color w:val="000000"/>
                <w:sz w:val="20"/>
                <w:szCs w:val="20"/>
              </w:rPr>
            </w:pPr>
            <w:r w:rsidRPr="00B92499">
              <w:rPr>
                <w:rFonts w:ascii="Arial" w:hAnsi="Arial" w:cs="Arial"/>
                <w:color w:val="000000"/>
                <w:sz w:val="20"/>
                <w:szCs w:val="20"/>
              </w:rPr>
              <w:t xml:space="preserve">            100 </w:t>
            </w:r>
          </w:p>
        </w:tc>
      </w:tr>
      <w:tr w:rsidR="002B18F9" w:rsidRPr="00B92499" w14:paraId="2762441C" w14:textId="77777777" w:rsidTr="002B18F9">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D0AD8C1" w14:textId="77777777" w:rsidR="002B18F9" w:rsidRPr="00B92499" w:rsidRDefault="002B18F9" w:rsidP="002B18F9">
            <w:pPr>
              <w:jc w:val="center"/>
              <w:rPr>
                <w:rFonts w:ascii="Arial" w:hAnsi="Arial" w:cs="Arial"/>
                <w:color w:val="000000"/>
                <w:sz w:val="20"/>
                <w:szCs w:val="20"/>
              </w:rPr>
            </w:pPr>
            <w:r w:rsidRPr="00B92499">
              <w:rPr>
                <w:rFonts w:ascii="Arial" w:hAnsi="Arial" w:cs="Arial"/>
                <w:color w:val="000000"/>
                <w:sz w:val="20"/>
                <w:szCs w:val="20"/>
              </w:rPr>
              <w:t>XVI</w:t>
            </w:r>
          </w:p>
        </w:tc>
        <w:tc>
          <w:tcPr>
            <w:tcW w:w="0" w:type="auto"/>
            <w:tcBorders>
              <w:top w:val="nil"/>
              <w:left w:val="nil"/>
              <w:bottom w:val="single" w:sz="4" w:space="0" w:color="auto"/>
              <w:right w:val="single" w:sz="4" w:space="0" w:color="auto"/>
            </w:tcBorders>
            <w:shd w:val="clear" w:color="auto" w:fill="auto"/>
            <w:vAlign w:val="center"/>
            <w:hideMark/>
          </w:tcPr>
          <w:p w14:paraId="142A1C9D" w14:textId="77777777" w:rsidR="002B18F9" w:rsidRPr="00B92499" w:rsidRDefault="002B18F9" w:rsidP="002B18F9">
            <w:pPr>
              <w:jc w:val="both"/>
              <w:rPr>
                <w:rFonts w:ascii="Arial" w:hAnsi="Arial" w:cs="Arial"/>
                <w:color w:val="000000"/>
                <w:sz w:val="20"/>
                <w:szCs w:val="20"/>
              </w:rPr>
            </w:pPr>
            <w:r w:rsidRPr="00B92499">
              <w:rPr>
                <w:rFonts w:ascii="Arial" w:hAnsi="Arial" w:cs="Arial"/>
                <w:color w:val="000000"/>
                <w:sz w:val="20"/>
                <w:szCs w:val="20"/>
              </w:rPr>
              <w:t>Relación de constancias, certificados, permisos, licencias, autorizaciones, certificaciones de uso de suelo, registro de manifestaciones y dictámenes de las obras que se llevan a cabo en cada una de las demarcaciones territoriales.</w:t>
            </w:r>
          </w:p>
        </w:tc>
        <w:tc>
          <w:tcPr>
            <w:tcW w:w="755" w:type="dxa"/>
            <w:tcBorders>
              <w:top w:val="nil"/>
              <w:left w:val="nil"/>
              <w:bottom w:val="single" w:sz="4" w:space="0" w:color="auto"/>
              <w:right w:val="single" w:sz="4" w:space="0" w:color="auto"/>
            </w:tcBorders>
            <w:shd w:val="clear" w:color="auto" w:fill="auto"/>
            <w:vAlign w:val="center"/>
            <w:hideMark/>
          </w:tcPr>
          <w:p w14:paraId="2E9864DD" w14:textId="77777777" w:rsidR="002B18F9" w:rsidRPr="00B92499" w:rsidRDefault="002B18F9" w:rsidP="002B18F9">
            <w:pPr>
              <w:jc w:val="center"/>
              <w:rPr>
                <w:rFonts w:ascii="Arial" w:hAnsi="Arial" w:cs="Arial"/>
                <w:color w:val="000000"/>
                <w:sz w:val="20"/>
                <w:szCs w:val="20"/>
              </w:rPr>
            </w:pPr>
            <w:r w:rsidRPr="00B92499">
              <w:rPr>
                <w:rFonts w:ascii="Arial" w:hAnsi="Arial" w:cs="Arial"/>
                <w:color w:val="000000"/>
                <w:sz w:val="20"/>
                <w:szCs w:val="20"/>
              </w:rPr>
              <w:t xml:space="preserve">               92.86 </w:t>
            </w:r>
          </w:p>
        </w:tc>
      </w:tr>
      <w:tr w:rsidR="002B18F9" w:rsidRPr="00B92499" w14:paraId="23011015" w14:textId="77777777" w:rsidTr="002B18F9">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FDBA722" w14:textId="77777777" w:rsidR="002B18F9" w:rsidRPr="00B92499" w:rsidRDefault="002B18F9" w:rsidP="002B18F9">
            <w:pPr>
              <w:jc w:val="center"/>
              <w:rPr>
                <w:rFonts w:ascii="Arial" w:hAnsi="Arial" w:cs="Arial"/>
                <w:color w:val="000000"/>
                <w:sz w:val="20"/>
                <w:szCs w:val="20"/>
              </w:rPr>
            </w:pPr>
            <w:r w:rsidRPr="00B92499">
              <w:rPr>
                <w:rFonts w:ascii="Arial" w:hAnsi="Arial" w:cs="Arial"/>
                <w:color w:val="000000"/>
                <w:sz w:val="20"/>
                <w:szCs w:val="20"/>
              </w:rPr>
              <w:t>I</w:t>
            </w:r>
          </w:p>
        </w:tc>
        <w:tc>
          <w:tcPr>
            <w:tcW w:w="0" w:type="auto"/>
            <w:tcBorders>
              <w:top w:val="nil"/>
              <w:left w:val="nil"/>
              <w:bottom w:val="single" w:sz="4" w:space="0" w:color="auto"/>
              <w:right w:val="single" w:sz="4" w:space="0" w:color="auto"/>
            </w:tcBorders>
            <w:shd w:val="clear" w:color="auto" w:fill="auto"/>
            <w:vAlign w:val="center"/>
            <w:hideMark/>
          </w:tcPr>
          <w:p w14:paraId="28A7AFB3" w14:textId="77777777" w:rsidR="002B18F9" w:rsidRPr="00B92499" w:rsidRDefault="002B18F9" w:rsidP="002B18F9">
            <w:pPr>
              <w:jc w:val="both"/>
              <w:rPr>
                <w:rFonts w:ascii="Arial" w:hAnsi="Arial" w:cs="Arial"/>
                <w:color w:val="000000"/>
                <w:sz w:val="20"/>
                <w:szCs w:val="20"/>
              </w:rPr>
            </w:pPr>
            <w:r w:rsidRPr="00B92499">
              <w:rPr>
                <w:rFonts w:ascii="Arial" w:hAnsi="Arial" w:cs="Arial"/>
                <w:color w:val="000000"/>
                <w:sz w:val="20"/>
                <w:szCs w:val="20"/>
              </w:rPr>
              <w:t>Las iniciativas de leyes o decretos y demás disposiciones generales o particulares en materia administrativa.</w:t>
            </w:r>
          </w:p>
        </w:tc>
        <w:tc>
          <w:tcPr>
            <w:tcW w:w="755" w:type="dxa"/>
            <w:tcBorders>
              <w:top w:val="nil"/>
              <w:left w:val="nil"/>
              <w:bottom w:val="single" w:sz="4" w:space="0" w:color="auto"/>
              <w:right w:val="single" w:sz="4" w:space="0" w:color="auto"/>
            </w:tcBorders>
            <w:shd w:val="clear" w:color="auto" w:fill="auto"/>
            <w:vAlign w:val="center"/>
            <w:hideMark/>
          </w:tcPr>
          <w:p w14:paraId="440C32AE" w14:textId="77777777" w:rsidR="002B18F9" w:rsidRPr="00B92499" w:rsidRDefault="002B18F9" w:rsidP="002B18F9">
            <w:pPr>
              <w:jc w:val="center"/>
              <w:rPr>
                <w:rFonts w:ascii="Arial" w:hAnsi="Arial" w:cs="Arial"/>
                <w:color w:val="000000"/>
                <w:sz w:val="20"/>
                <w:szCs w:val="20"/>
              </w:rPr>
            </w:pPr>
            <w:r w:rsidRPr="00B92499">
              <w:rPr>
                <w:rFonts w:ascii="Arial" w:hAnsi="Arial" w:cs="Arial"/>
                <w:color w:val="000000"/>
                <w:sz w:val="20"/>
                <w:szCs w:val="20"/>
              </w:rPr>
              <w:t xml:space="preserve">               92.80 </w:t>
            </w:r>
          </w:p>
        </w:tc>
      </w:tr>
      <w:tr w:rsidR="002B18F9" w:rsidRPr="00B92499" w14:paraId="5C301DFE" w14:textId="77777777" w:rsidTr="002B18F9">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AD2CB6B" w14:textId="77777777" w:rsidR="002B18F9" w:rsidRPr="00B92499" w:rsidRDefault="002B18F9" w:rsidP="002B18F9">
            <w:pPr>
              <w:jc w:val="center"/>
              <w:rPr>
                <w:rFonts w:ascii="Arial" w:hAnsi="Arial" w:cs="Arial"/>
                <w:color w:val="000000"/>
                <w:sz w:val="20"/>
                <w:szCs w:val="20"/>
              </w:rPr>
            </w:pPr>
            <w:r w:rsidRPr="00B92499">
              <w:rPr>
                <w:rFonts w:ascii="Arial" w:hAnsi="Arial" w:cs="Arial"/>
                <w:color w:val="000000"/>
                <w:sz w:val="20"/>
                <w:szCs w:val="20"/>
              </w:rPr>
              <w:t>III</w:t>
            </w:r>
          </w:p>
        </w:tc>
        <w:tc>
          <w:tcPr>
            <w:tcW w:w="0" w:type="auto"/>
            <w:tcBorders>
              <w:top w:val="nil"/>
              <w:left w:val="nil"/>
              <w:bottom w:val="single" w:sz="4" w:space="0" w:color="auto"/>
              <w:right w:val="single" w:sz="4" w:space="0" w:color="auto"/>
            </w:tcBorders>
            <w:shd w:val="clear" w:color="auto" w:fill="auto"/>
            <w:vAlign w:val="center"/>
            <w:hideMark/>
          </w:tcPr>
          <w:p w14:paraId="03D2C741" w14:textId="77777777" w:rsidR="002B18F9" w:rsidRPr="00B92499" w:rsidRDefault="002B18F9" w:rsidP="002B18F9">
            <w:pPr>
              <w:jc w:val="both"/>
              <w:rPr>
                <w:rFonts w:ascii="Arial" w:hAnsi="Arial" w:cs="Arial"/>
                <w:color w:val="000000"/>
                <w:sz w:val="20"/>
                <w:szCs w:val="20"/>
              </w:rPr>
            </w:pPr>
            <w:r w:rsidRPr="00B92499">
              <w:rPr>
                <w:rFonts w:ascii="Arial" w:hAnsi="Arial" w:cs="Arial"/>
                <w:color w:val="000000"/>
                <w:sz w:val="20"/>
                <w:szCs w:val="20"/>
              </w:rPr>
              <w:t>El presupuesto de egresos y las fórmulas de distribución de los recursos otorgados.</w:t>
            </w:r>
          </w:p>
        </w:tc>
        <w:tc>
          <w:tcPr>
            <w:tcW w:w="755" w:type="dxa"/>
            <w:tcBorders>
              <w:top w:val="nil"/>
              <w:left w:val="nil"/>
              <w:bottom w:val="single" w:sz="4" w:space="0" w:color="auto"/>
              <w:right w:val="single" w:sz="4" w:space="0" w:color="auto"/>
            </w:tcBorders>
            <w:shd w:val="clear" w:color="auto" w:fill="auto"/>
            <w:vAlign w:val="center"/>
            <w:hideMark/>
          </w:tcPr>
          <w:p w14:paraId="4832B3FF" w14:textId="77777777" w:rsidR="002B18F9" w:rsidRPr="00B92499" w:rsidRDefault="002B18F9" w:rsidP="002B18F9">
            <w:pPr>
              <w:jc w:val="center"/>
              <w:rPr>
                <w:rFonts w:ascii="Arial" w:hAnsi="Arial" w:cs="Arial"/>
                <w:color w:val="000000"/>
                <w:sz w:val="20"/>
                <w:szCs w:val="20"/>
              </w:rPr>
            </w:pPr>
            <w:r w:rsidRPr="00B92499">
              <w:rPr>
                <w:rFonts w:ascii="Arial" w:hAnsi="Arial" w:cs="Arial"/>
                <w:color w:val="000000"/>
                <w:sz w:val="20"/>
                <w:szCs w:val="20"/>
              </w:rPr>
              <w:t xml:space="preserve">               82.50 </w:t>
            </w:r>
          </w:p>
        </w:tc>
      </w:tr>
      <w:tr w:rsidR="002B18F9" w:rsidRPr="00B92499" w14:paraId="19F2C068" w14:textId="77777777" w:rsidTr="002B18F9">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CFB89BE" w14:textId="77777777" w:rsidR="002B18F9" w:rsidRPr="00B92499" w:rsidRDefault="002B18F9" w:rsidP="002B18F9">
            <w:pPr>
              <w:jc w:val="center"/>
              <w:rPr>
                <w:rFonts w:ascii="Arial" w:hAnsi="Arial" w:cs="Arial"/>
                <w:color w:val="000000"/>
                <w:sz w:val="20"/>
                <w:szCs w:val="20"/>
              </w:rPr>
            </w:pPr>
            <w:r w:rsidRPr="00B92499">
              <w:rPr>
                <w:rFonts w:ascii="Arial" w:hAnsi="Arial" w:cs="Arial"/>
                <w:color w:val="000000"/>
                <w:sz w:val="20"/>
                <w:szCs w:val="20"/>
              </w:rPr>
              <w:t>XX</w:t>
            </w:r>
          </w:p>
        </w:tc>
        <w:tc>
          <w:tcPr>
            <w:tcW w:w="0" w:type="auto"/>
            <w:tcBorders>
              <w:top w:val="nil"/>
              <w:left w:val="nil"/>
              <w:bottom w:val="single" w:sz="4" w:space="0" w:color="auto"/>
              <w:right w:val="single" w:sz="4" w:space="0" w:color="auto"/>
            </w:tcBorders>
            <w:shd w:val="clear" w:color="auto" w:fill="auto"/>
            <w:vAlign w:val="center"/>
            <w:hideMark/>
          </w:tcPr>
          <w:p w14:paraId="18E00A27" w14:textId="77777777" w:rsidR="002B18F9" w:rsidRPr="00B92499" w:rsidRDefault="002B18F9" w:rsidP="002B18F9">
            <w:pPr>
              <w:jc w:val="both"/>
              <w:rPr>
                <w:rFonts w:ascii="Arial" w:hAnsi="Arial" w:cs="Arial"/>
                <w:color w:val="000000"/>
                <w:sz w:val="20"/>
                <w:szCs w:val="20"/>
              </w:rPr>
            </w:pPr>
            <w:r w:rsidRPr="00B92499">
              <w:rPr>
                <w:rFonts w:ascii="Arial" w:hAnsi="Arial" w:cs="Arial"/>
                <w:color w:val="000000"/>
                <w:sz w:val="20"/>
                <w:szCs w:val="20"/>
              </w:rPr>
              <w:t>Un listado de las oficinas del Registro Civil en la Ciudad de México, incluyendo su ubicación, el currículum y antigüedad en el cargo de los oficiales o titulares y las estadísticas de los trámites que realice.</w:t>
            </w:r>
          </w:p>
        </w:tc>
        <w:tc>
          <w:tcPr>
            <w:tcW w:w="755" w:type="dxa"/>
            <w:tcBorders>
              <w:top w:val="nil"/>
              <w:left w:val="nil"/>
              <w:bottom w:val="single" w:sz="4" w:space="0" w:color="auto"/>
              <w:right w:val="single" w:sz="4" w:space="0" w:color="auto"/>
            </w:tcBorders>
            <w:shd w:val="clear" w:color="auto" w:fill="auto"/>
            <w:vAlign w:val="center"/>
            <w:hideMark/>
          </w:tcPr>
          <w:p w14:paraId="65F2429F" w14:textId="77777777" w:rsidR="002B18F9" w:rsidRPr="00B92499" w:rsidRDefault="002B18F9" w:rsidP="002B18F9">
            <w:pPr>
              <w:jc w:val="center"/>
              <w:rPr>
                <w:rFonts w:ascii="Arial" w:hAnsi="Arial" w:cs="Arial"/>
                <w:color w:val="000000"/>
                <w:sz w:val="20"/>
                <w:szCs w:val="20"/>
              </w:rPr>
            </w:pPr>
            <w:r w:rsidRPr="00B92499">
              <w:rPr>
                <w:rFonts w:ascii="Arial" w:hAnsi="Arial" w:cs="Arial"/>
                <w:color w:val="000000"/>
                <w:sz w:val="20"/>
                <w:szCs w:val="20"/>
              </w:rPr>
              <w:t xml:space="preserve">               71.96 </w:t>
            </w:r>
          </w:p>
        </w:tc>
      </w:tr>
      <w:tr w:rsidR="002B18F9" w:rsidRPr="00B92499" w14:paraId="331490A3" w14:textId="77777777" w:rsidTr="002B18F9">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0CC05D0" w14:textId="77777777" w:rsidR="002B18F9" w:rsidRPr="00B92499" w:rsidRDefault="002B18F9" w:rsidP="002B18F9">
            <w:pPr>
              <w:jc w:val="center"/>
              <w:rPr>
                <w:rFonts w:ascii="Arial" w:hAnsi="Arial" w:cs="Arial"/>
                <w:color w:val="000000"/>
                <w:sz w:val="20"/>
                <w:szCs w:val="20"/>
              </w:rPr>
            </w:pPr>
            <w:r w:rsidRPr="00B92499">
              <w:rPr>
                <w:rFonts w:ascii="Arial" w:hAnsi="Arial" w:cs="Arial"/>
                <w:color w:val="000000"/>
                <w:sz w:val="20"/>
                <w:szCs w:val="20"/>
              </w:rPr>
              <w:t>VII</w:t>
            </w:r>
          </w:p>
        </w:tc>
        <w:tc>
          <w:tcPr>
            <w:tcW w:w="0" w:type="auto"/>
            <w:tcBorders>
              <w:top w:val="nil"/>
              <w:left w:val="nil"/>
              <w:bottom w:val="single" w:sz="4" w:space="0" w:color="auto"/>
              <w:right w:val="single" w:sz="4" w:space="0" w:color="auto"/>
            </w:tcBorders>
            <w:shd w:val="clear" w:color="auto" w:fill="auto"/>
            <w:vAlign w:val="center"/>
            <w:hideMark/>
          </w:tcPr>
          <w:p w14:paraId="7E07C098" w14:textId="77777777" w:rsidR="002B18F9" w:rsidRPr="00B92499" w:rsidRDefault="002B18F9" w:rsidP="002B18F9">
            <w:pPr>
              <w:jc w:val="both"/>
              <w:rPr>
                <w:rFonts w:ascii="Arial" w:hAnsi="Arial" w:cs="Arial"/>
                <w:color w:val="000000"/>
                <w:sz w:val="20"/>
                <w:szCs w:val="20"/>
              </w:rPr>
            </w:pPr>
            <w:r w:rsidRPr="00B92499">
              <w:rPr>
                <w:rFonts w:ascii="Arial" w:hAnsi="Arial" w:cs="Arial"/>
                <w:color w:val="000000"/>
                <w:sz w:val="20"/>
                <w:szCs w:val="20"/>
              </w:rPr>
              <w:t>La información detallada que contengan los planes de desarrollo urbano, ordenamiento territorial y ecológico, los tipos y usos de suelo, licencias de uso y construcción otorgadas por el Gobierno de la Ciudad de México.</w:t>
            </w:r>
          </w:p>
        </w:tc>
        <w:tc>
          <w:tcPr>
            <w:tcW w:w="755" w:type="dxa"/>
            <w:tcBorders>
              <w:top w:val="nil"/>
              <w:left w:val="nil"/>
              <w:bottom w:val="single" w:sz="4" w:space="0" w:color="auto"/>
              <w:right w:val="single" w:sz="4" w:space="0" w:color="auto"/>
            </w:tcBorders>
            <w:shd w:val="clear" w:color="auto" w:fill="auto"/>
            <w:vAlign w:val="center"/>
            <w:hideMark/>
          </w:tcPr>
          <w:p w14:paraId="0A7484BA" w14:textId="77777777" w:rsidR="002B18F9" w:rsidRPr="00B92499" w:rsidRDefault="002B18F9" w:rsidP="002B18F9">
            <w:pPr>
              <w:jc w:val="center"/>
              <w:rPr>
                <w:rFonts w:ascii="Arial" w:hAnsi="Arial" w:cs="Arial"/>
                <w:color w:val="000000"/>
                <w:sz w:val="20"/>
                <w:szCs w:val="20"/>
              </w:rPr>
            </w:pPr>
            <w:r w:rsidRPr="00B92499">
              <w:rPr>
                <w:rFonts w:ascii="Arial" w:hAnsi="Arial" w:cs="Arial"/>
                <w:color w:val="000000"/>
                <w:sz w:val="20"/>
                <w:szCs w:val="20"/>
              </w:rPr>
              <w:t xml:space="preserve">               71.79 </w:t>
            </w:r>
          </w:p>
        </w:tc>
      </w:tr>
      <w:tr w:rsidR="002B18F9" w:rsidRPr="00B92499" w14:paraId="6E5812B9" w14:textId="77777777" w:rsidTr="002B18F9">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6FD987A" w14:textId="77777777" w:rsidR="002B18F9" w:rsidRPr="00B92499" w:rsidRDefault="002B18F9" w:rsidP="002B18F9">
            <w:pPr>
              <w:jc w:val="center"/>
              <w:rPr>
                <w:rFonts w:ascii="Arial" w:hAnsi="Arial" w:cs="Arial"/>
                <w:color w:val="000000"/>
                <w:sz w:val="20"/>
                <w:szCs w:val="20"/>
              </w:rPr>
            </w:pPr>
            <w:r w:rsidRPr="00B92499">
              <w:rPr>
                <w:rFonts w:ascii="Arial" w:hAnsi="Arial" w:cs="Arial"/>
                <w:color w:val="000000"/>
                <w:sz w:val="20"/>
                <w:szCs w:val="20"/>
              </w:rPr>
              <w:t>IV</w:t>
            </w:r>
          </w:p>
        </w:tc>
        <w:tc>
          <w:tcPr>
            <w:tcW w:w="0" w:type="auto"/>
            <w:tcBorders>
              <w:top w:val="nil"/>
              <w:left w:val="nil"/>
              <w:bottom w:val="single" w:sz="4" w:space="0" w:color="auto"/>
              <w:right w:val="single" w:sz="4" w:space="0" w:color="auto"/>
            </w:tcBorders>
            <w:shd w:val="clear" w:color="auto" w:fill="auto"/>
            <w:vAlign w:val="center"/>
            <w:hideMark/>
          </w:tcPr>
          <w:p w14:paraId="39CF634D" w14:textId="77777777" w:rsidR="002B18F9" w:rsidRPr="00B92499" w:rsidRDefault="002B18F9" w:rsidP="002B18F9">
            <w:pPr>
              <w:jc w:val="both"/>
              <w:rPr>
                <w:rFonts w:ascii="Arial" w:hAnsi="Arial" w:cs="Arial"/>
                <w:color w:val="000000"/>
                <w:sz w:val="20"/>
                <w:szCs w:val="20"/>
              </w:rPr>
            </w:pPr>
            <w:r w:rsidRPr="00B92499">
              <w:rPr>
                <w:rFonts w:ascii="Arial" w:hAnsi="Arial" w:cs="Arial"/>
                <w:color w:val="000000"/>
                <w:sz w:val="20"/>
                <w:szCs w:val="20"/>
              </w:rPr>
              <w:t>El listado de expropiaciones decretadas y ejecutadas.</w:t>
            </w:r>
          </w:p>
        </w:tc>
        <w:tc>
          <w:tcPr>
            <w:tcW w:w="755" w:type="dxa"/>
            <w:tcBorders>
              <w:top w:val="nil"/>
              <w:left w:val="nil"/>
              <w:bottom w:val="single" w:sz="4" w:space="0" w:color="auto"/>
              <w:right w:val="single" w:sz="4" w:space="0" w:color="auto"/>
            </w:tcBorders>
            <w:shd w:val="clear" w:color="auto" w:fill="auto"/>
            <w:vAlign w:val="center"/>
            <w:hideMark/>
          </w:tcPr>
          <w:p w14:paraId="642158C9" w14:textId="77777777" w:rsidR="002B18F9" w:rsidRPr="00B92499" w:rsidRDefault="002B18F9" w:rsidP="002B18F9">
            <w:pPr>
              <w:jc w:val="center"/>
              <w:rPr>
                <w:rFonts w:ascii="Arial" w:hAnsi="Arial" w:cs="Arial"/>
                <w:color w:val="000000"/>
                <w:sz w:val="20"/>
                <w:szCs w:val="20"/>
              </w:rPr>
            </w:pPr>
            <w:r w:rsidRPr="00B92499">
              <w:rPr>
                <w:rFonts w:ascii="Arial" w:hAnsi="Arial" w:cs="Arial"/>
                <w:color w:val="000000"/>
                <w:sz w:val="20"/>
                <w:szCs w:val="20"/>
              </w:rPr>
              <w:t xml:space="preserve">               68.57 </w:t>
            </w:r>
          </w:p>
        </w:tc>
      </w:tr>
      <w:tr w:rsidR="002B18F9" w:rsidRPr="00B92499" w14:paraId="52118CE0" w14:textId="77777777" w:rsidTr="002B18F9">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3D33F23" w14:textId="77777777" w:rsidR="002B18F9" w:rsidRPr="00B92499" w:rsidRDefault="002B18F9" w:rsidP="002B18F9">
            <w:pPr>
              <w:jc w:val="center"/>
              <w:rPr>
                <w:rFonts w:ascii="Arial" w:hAnsi="Arial" w:cs="Arial"/>
                <w:color w:val="000000"/>
                <w:sz w:val="20"/>
                <w:szCs w:val="20"/>
              </w:rPr>
            </w:pPr>
            <w:r w:rsidRPr="00B92499">
              <w:rPr>
                <w:rFonts w:ascii="Arial" w:hAnsi="Arial" w:cs="Arial"/>
                <w:color w:val="000000"/>
                <w:sz w:val="20"/>
                <w:szCs w:val="20"/>
              </w:rPr>
              <w:t>XXI</w:t>
            </w:r>
          </w:p>
        </w:tc>
        <w:tc>
          <w:tcPr>
            <w:tcW w:w="0" w:type="auto"/>
            <w:tcBorders>
              <w:top w:val="nil"/>
              <w:left w:val="nil"/>
              <w:bottom w:val="single" w:sz="4" w:space="0" w:color="auto"/>
              <w:right w:val="single" w:sz="4" w:space="0" w:color="auto"/>
            </w:tcBorders>
            <w:shd w:val="clear" w:color="auto" w:fill="auto"/>
            <w:vAlign w:val="center"/>
            <w:hideMark/>
          </w:tcPr>
          <w:p w14:paraId="1A2A0C57" w14:textId="77777777" w:rsidR="002B18F9" w:rsidRPr="00B92499" w:rsidRDefault="002B18F9" w:rsidP="002B18F9">
            <w:pPr>
              <w:jc w:val="both"/>
              <w:rPr>
                <w:rFonts w:ascii="Arial" w:hAnsi="Arial" w:cs="Arial"/>
                <w:color w:val="000000"/>
                <w:sz w:val="20"/>
                <w:szCs w:val="20"/>
              </w:rPr>
            </w:pPr>
            <w:r w:rsidRPr="00B92499">
              <w:rPr>
                <w:rFonts w:ascii="Arial" w:hAnsi="Arial" w:cs="Arial"/>
                <w:color w:val="000000"/>
                <w:sz w:val="20"/>
                <w:szCs w:val="20"/>
              </w:rPr>
              <w:t>Un listado de los títulos y las empresas concesionarias que participan en la gestión del agua.</w:t>
            </w:r>
          </w:p>
        </w:tc>
        <w:tc>
          <w:tcPr>
            <w:tcW w:w="755" w:type="dxa"/>
            <w:tcBorders>
              <w:top w:val="nil"/>
              <w:left w:val="nil"/>
              <w:bottom w:val="single" w:sz="4" w:space="0" w:color="auto"/>
              <w:right w:val="single" w:sz="4" w:space="0" w:color="auto"/>
            </w:tcBorders>
            <w:shd w:val="clear" w:color="auto" w:fill="auto"/>
            <w:vAlign w:val="center"/>
            <w:hideMark/>
          </w:tcPr>
          <w:p w14:paraId="5A282B4A" w14:textId="77777777" w:rsidR="002B18F9" w:rsidRPr="00B92499" w:rsidRDefault="002B18F9" w:rsidP="002B18F9">
            <w:pPr>
              <w:jc w:val="center"/>
              <w:rPr>
                <w:rFonts w:ascii="Arial" w:hAnsi="Arial" w:cs="Arial"/>
                <w:color w:val="000000"/>
                <w:sz w:val="20"/>
                <w:szCs w:val="20"/>
              </w:rPr>
            </w:pPr>
            <w:r w:rsidRPr="00B92499">
              <w:rPr>
                <w:rFonts w:ascii="Arial" w:hAnsi="Arial" w:cs="Arial"/>
                <w:color w:val="000000"/>
                <w:sz w:val="20"/>
                <w:szCs w:val="20"/>
              </w:rPr>
              <w:t xml:space="preserve">               68.04 </w:t>
            </w:r>
          </w:p>
        </w:tc>
      </w:tr>
      <w:tr w:rsidR="002B18F9" w:rsidRPr="00B92499" w14:paraId="613E1BB6" w14:textId="77777777" w:rsidTr="002B18F9">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65642CC" w14:textId="77777777" w:rsidR="002B18F9" w:rsidRPr="00B92499" w:rsidRDefault="002B18F9" w:rsidP="002B18F9">
            <w:pPr>
              <w:jc w:val="center"/>
              <w:rPr>
                <w:rFonts w:ascii="Arial" w:hAnsi="Arial" w:cs="Arial"/>
                <w:color w:val="000000"/>
                <w:sz w:val="20"/>
                <w:szCs w:val="20"/>
              </w:rPr>
            </w:pPr>
            <w:r w:rsidRPr="00B92499">
              <w:rPr>
                <w:rFonts w:ascii="Arial" w:hAnsi="Arial" w:cs="Arial"/>
                <w:color w:val="000000"/>
                <w:sz w:val="20"/>
                <w:szCs w:val="20"/>
              </w:rPr>
              <w:t>XXV</w:t>
            </w:r>
          </w:p>
        </w:tc>
        <w:tc>
          <w:tcPr>
            <w:tcW w:w="0" w:type="auto"/>
            <w:tcBorders>
              <w:top w:val="nil"/>
              <w:left w:val="nil"/>
              <w:bottom w:val="single" w:sz="4" w:space="0" w:color="auto"/>
              <w:right w:val="single" w:sz="4" w:space="0" w:color="auto"/>
            </w:tcBorders>
            <w:shd w:val="clear" w:color="auto" w:fill="auto"/>
            <w:vAlign w:val="center"/>
            <w:hideMark/>
          </w:tcPr>
          <w:p w14:paraId="364D4249" w14:textId="77777777" w:rsidR="002B18F9" w:rsidRPr="00B92499" w:rsidRDefault="002B18F9" w:rsidP="002B18F9">
            <w:pPr>
              <w:jc w:val="both"/>
              <w:rPr>
                <w:rFonts w:ascii="Arial" w:hAnsi="Arial" w:cs="Arial"/>
                <w:color w:val="000000"/>
                <w:sz w:val="20"/>
                <w:szCs w:val="20"/>
              </w:rPr>
            </w:pPr>
            <w:r w:rsidRPr="00B92499">
              <w:rPr>
                <w:rFonts w:ascii="Arial" w:hAnsi="Arial" w:cs="Arial"/>
                <w:color w:val="000000"/>
                <w:sz w:val="20"/>
                <w:szCs w:val="20"/>
              </w:rPr>
              <w:t>Las manifestaciones de impacto ambiental.</w:t>
            </w:r>
          </w:p>
        </w:tc>
        <w:tc>
          <w:tcPr>
            <w:tcW w:w="755" w:type="dxa"/>
            <w:tcBorders>
              <w:top w:val="nil"/>
              <w:left w:val="nil"/>
              <w:bottom w:val="single" w:sz="4" w:space="0" w:color="auto"/>
              <w:right w:val="single" w:sz="4" w:space="0" w:color="auto"/>
            </w:tcBorders>
            <w:shd w:val="clear" w:color="auto" w:fill="auto"/>
            <w:vAlign w:val="center"/>
            <w:hideMark/>
          </w:tcPr>
          <w:p w14:paraId="4CF4AA82" w14:textId="77777777" w:rsidR="002B18F9" w:rsidRPr="00B92499" w:rsidRDefault="002B18F9" w:rsidP="002B18F9">
            <w:pPr>
              <w:jc w:val="center"/>
              <w:rPr>
                <w:rFonts w:ascii="Arial" w:hAnsi="Arial" w:cs="Arial"/>
                <w:color w:val="000000"/>
                <w:sz w:val="20"/>
                <w:szCs w:val="20"/>
              </w:rPr>
            </w:pPr>
            <w:r w:rsidRPr="00B92499">
              <w:rPr>
                <w:rFonts w:ascii="Arial" w:hAnsi="Arial" w:cs="Arial"/>
                <w:color w:val="000000"/>
                <w:sz w:val="20"/>
                <w:szCs w:val="20"/>
              </w:rPr>
              <w:t xml:space="preserve">               68.04 </w:t>
            </w:r>
          </w:p>
        </w:tc>
      </w:tr>
      <w:tr w:rsidR="002B18F9" w:rsidRPr="00B92499" w14:paraId="1CE12375" w14:textId="77777777" w:rsidTr="002B18F9">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6B9F0D5" w14:textId="77777777" w:rsidR="002B18F9" w:rsidRPr="00B92499" w:rsidRDefault="002B18F9" w:rsidP="002B18F9">
            <w:pPr>
              <w:jc w:val="center"/>
              <w:rPr>
                <w:rFonts w:ascii="Arial" w:hAnsi="Arial" w:cs="Arial"/>
                <w:color w:val="000000"/>
                <w:sz w:val="20"/>
                <w:szCs w:val="20"/>
              </w:rPr>
            </w:pPr>
            <w:r w:rsidRPr="00B92499">
              <w:rPr>
                <w:rFonts w:ascii="Arial" w:hAnsi="Arial" w:cs="Arial"/>
                <w:color w:val="000000"/>
                <w:sz w:val="20"/>
                <w:szCs w:val="20"/>
              </w:rPr>
              <w:t>XXVI</w:t>
            </w:r>
          </w:p>
        </w:tc>
        <w:tc>
          <w:tcPr>
            <w:tcW w:w="0" w:type="auto"/>
            <w:tcBorders>
              <w:top w:val="nil"/>
              <w:left w:val="nil"/>
              <w:bottom w:val="single" w:sz="4" w:space="0" w:color="auto"/>
              <w:right w:val="single" w:sz="4" w:space="0" w:color="auto"/>
            </w:tcBorders>
            <w:shd w:val="clear" w:color="auto" w:fill="auto"/>
            <w:vAlign w:val="center"/>
            <w:hideMark/>
          </w:tcPr>
          <w:p w14:paraId="4658DB71" w14:textId="77777777" w:rsidR="002B18F9" w:rsidRPr="00B92499" w:rsidRDefault="002B18F9" w:rsidP="002B18F9">
            <w:pPr>
              <w:jc w:val="both"/>
              <w:rPr>
                <w:rFonts w:ascii="Arial" w:hAnsi="Arial" w:cs="Arial"/>
                <w:color w:val="000000"/>
                <w:sz w:val="20"/>
                <w:szCs w:val="20"/>
              </w:rPr>
            </w:pPr>
            <w:r w:rsidRPr="00B92499">
              <w:rPr>
                <w:rFonts w:ascii="Arial" w:hAnsi="Arial" w:cs="Arial"/>
                <w:color w:val="000000"/>
                <w:sz w:val="20"/>
                <w:szCs w:val="20"/>
              </w:rPr>
              <w:t>Los resultados de estudios de calidad del aire.</w:t>
            </w:r>
          </w:p>
        </w:tc>
        <w:tc>
          <w:tcPr>
            <w:tcW w:w="755" w:type="dxa"/>
            <w:tcBorders>
              <w:top w:val="nil"/>
              <w:left w:val="nil"/>
              <w:bottom w:val="single" w:sz="4" w:space="0" w:color="auto"/>
              <w:right w:val="single" w:sz="4" w:space="0" w:color="auto"/>
            </w:tcBorders>
            <w:shd w:val="clear" w:color="auto" w:fill="auto"/>
            <w:vAlign w:val="center"/>
            <w:hideMark/>
          </w:tcPr>
          <w:p w14:paraId="59E76381" w14:textId="77777777" w:rsidR="002B18F9" w:rsidRPr="00B92499" w:rsidRDefault="002B18F9" w:rsidP="002B18F9">
            <w:pPr>
              <w:jc w:val="center"/>
              <w:rPr>
                <w:rFonts w:ascii="Arial" w:hAnsi="Arial" w:cs="Arial"/>
                <w:color w:val="000000"/>
                <w:sz w:val="20"/>
                <w:szCs w:val="20"/>
              </w:rPr>
            </w:pPr>
            <w:r w:rsidRPr="00B92499">
              <w:rPr>
                <w:rFonts w:ascii="Arial" w:hAnsi="Arial" w:cs="Arial"/>
                <w:color w:val="000000"/>
                <w:sz w:val="20"/>
                <w:szCs w:val="20"/>
              </w:rPr>
              <w:t xml:space="preserve">               68.04 </w:t>
            </w:r>
          </w:p>
        </w:tc>
      </w:tr>
      <w:tr w:rsidR="002B18F9" w:rsidRPr="00B92499" w14:paraId="73F645BA" w14:textId="77777777" w:rsidTr="002B18F9">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419FFF2" w14:textId="77777777" w:rsidR="002B18F9" w:rsidRPr="00B92499" w:rsidRDefault="002B18F9" w:rsidP="002B18F9">
            <w:pPr>
              <w:jc w:val="center"/>
              <w:rPr>
                <w:rFonts w:ascii="Arial" w:hAnsi="Arial" w:cs="Arial"/>
                <w:color w:val="000000"/>
                <w:sz w:val="20"/>
                <w:szCs w:val="20"/>
              </w:rPr>
            </w:pPr>
            <w:r w:rsidRPr="00B92499">
              <w:rPr>
                <w:rFonts w:ascii="Arial" w:hAnsi="Arial" w:cs="Arial"/>
                <w:color w:val="000000"/>
                <w:sz w:val="20"/>
                <w:szCs w:val="20"/>
              </w:rPr>
              <w:t>VI</w:t>
            </w:r>
          </w:p>
        </w:tc>
        <w:tc>
          <w:tcPr>
            <w:tcW w:w="0" w:type="auto"/>
            <w:tcBorders>
              <w:top w:val="nil"/>
              <w:left w:val="nil"/>
              <w:bottom w:val="single" w:sz="4" w:space="0" w:color="auto"/>
              <w:right w:val="single" w:sz="4" w:space="0" w:color="auto"/>
            </w:tcBorders>
            <w:shd w:val="clear" w:color="auto" w:fill="auto"/>
            <w:vAlign w:val="center"/>
            <w:hideMark/>
          </w:tcPr>
          <w:p w14:paraId="747CA27B" w14:textId="77777777" w:rsidR="002B18F9" w:rsidRPr="00B92499" w:rsidRDefault="002B18F9" w:rsidP="002B18F9">
            <w:pPr>
              <w:jc w:val="both"/>
              <w:rPr>
                <w:rFonts w:ascii="Arial" w:hAnsi="Arial" w:cs="Arial"/>
                <w:color w:val="000000"/>
                <w:sz w:val="20"/>
                <w:szCs w:val="20"/>
              </w:rPr>
            </w:pPr>
            <w:r w:rsidRPr="00B92499">
              <w:rPr>
                <w:rFonts w:ascii="Arial" w:hAnsi="Arial" w:cs="Arial"/>
                <w:color w:val="000000"/>
                <w:sz w:val="20"/>
                <w:szCs w:val="20"/>
              </w:rPr>
              <w:t>El listado de patentes de corredores y notarios públicos otorgadas, en términos de la Ley respectiva.</w:t>
            </w:r>
          </w:p>
        </w:tc>
        <w:tc>
          <w:tcPr>
            <w:tcW w:w="755" w:type="dxa"/>
            <w:tcBorders>
              <w:top w:val="nil"/>
              <w:left w:val="nil"/>
              <w:bottom w:val="single" w:sz="4" w:space="0" w:color="auto"/>
              <w:right w:val="single" w:sz="4" w:space="0" w:color="auto"/>
            </w:tcBorders>
            <w:shd w:val="clear" w:color="auto" w:fill="auto"/>
            <w:vAlign w:val="center"/>
            <w:hideMark/>
          </w:tcPr>
          <w:p w14:paraId="6C723208" w14:textId="77777777" w:rsidR="002B18F9" w:rsidRPr="00B92499" w:rsidRDefault="002B18F9" w:rsidP="002B18F9">
            <w:pPr>
              <w:jc w:val="center"/>
              <w:rPr>
                <w:rFonts w:ascii="Arial" w:hAnsi="Arial" w:cs="Arial"/>
                <w:color w:val="000000"/>
                <w:sz w:val="20"/>
                <w:szCs w:val="20"/>
              </w:rPr>
            </w:pPr>
            <w:r w:rsidRPr="00B92499">
              <w:rPr>
                <w:rFonts w:ascii="Arial" w:hAnsi="Arial" w:cs="Arial"/>
                <w:color w:val="000000"/>
                <w:sz w:val="20"/>
                <w:szCs w:val="20"/>
              </w:rPr>
              <w:t xml:space="preserve">               67.86 </w:t>
            </w:r>
          </w:p>
        </w:tc>
      </w:tr>
      <w:tr w:rsidR="002B18F9" w:rsidRPr="00B92499" w14:paraId="1AF8D587" w14:textId="77777777" w:rsidTr="002B18F9">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9DDF545" w14:textId="77777777" w:rsidR="002B18F9" w:rsidRPr="00B92499" w:rsidRDefault="002B18F9" w:rsidP="002B18F9">
            <w:pPr>
              <w:jc w:val="center"/>
              <w:rPr>
                <w:rFonts w:ascii="Arial" w:hAnsi="Arial" w:cs="Arial"/>
                <w:color w:val="000000"/>
                <w:sz w:val="20"/>
                <w:szCs w:val="20"/>
              </w:rPr>
            </w:pPr>
            <w:r w:rsidRPr="00B92499">
              <w:rPr>
                <w:rFonts w:ascii="Arial" w:hAnsi="Arial" w:cs="Arial"/>
                <w:color w:val="000000"/>
                <w:sz w:val="20"/>
                <w:szCs w:val="20"/>
              </w:rPr>
              <w:t>IX</w:t>
            </w:r>
          </w:p>
        </w:tc>
        <w:tc>
          <w:tcPr>
            <w:tcW w:w="0" w:type="auto"/>
            <w:tcBorders>
              <w:top w:val="nil"/>
              <w:left w:val="nil"/>
              <w:bottom w:val="single" w:sz="4" w:space="0" w:color="auto"/>
              <w:right w:val="single" w:sz="4" w:space="0" w:color="auto"/>
            </w:tcBorders>
            <w:shd w:val="clear" w:color="auto" w:fill="auto"/>
            <w:vAlign w:val="center"/>
            <w:hideMark/>
          </w:tcPr>
          <w:p w14:paraId="631725EA" w14:textId="77777777" w:rsidR="002B18F9" w:rsidRPr="00B92499" w:rsidRDefault="002B18F9" w:rsidP="002B18F9">
            <w:pPr>
              <w:jc w:val="both"/>
              <w:rPr>
                <w:rFonts w:ascii="Arial" w:hAnsi="Arial" w:cs="Arial"/>
                <w:color w:val="000000"/>
                <w:sz w:val="20"/>
                <w:szCs w:val="20"/>
              </w:rPr>
            </w:pPr>
            <w:r w:rsidRPr="00B92499">
              <w:rPr>
                <w:rFonts w:ascii="Arial" w:hAnsi="Arial" w:cs="Arial"/>
                <w:color w:val="000000"/>
                <w:sz w:val="20"/>
                <w:szCs w:val="20"/>
              </w:rPr>
              <w:t>Estadísticas e índices delictivos, así como los indicadores de la procuración de justicia.</w:t>
            </w:r>
          </w:p>
        </w:tc>
        <w:tc>
          <w:tcPr>
            <w:tcW w:w="755" w:type="dxa"/>
            <w:tcBorders>
              <w:top w:val="nil"/>
              <w:left w:val="nil"/>
              <w:bottom w:val="single" w:sz="4" w:space="0" w:color="auto"/>
              <w:right w:val="single" w:sz="4" w:space="0" w:color="auto"/>
            </w:tcBorders>
            <w:shd w:val="clear" w:color="auto" w:fill="auto"/>
            <w:vAlign w:val="center"/>
            <w:hideMark/>
          </w:tcPr>
          <w:p w14:paraId="0A1677A6" w14:textId="77777777" w:rsidR="002B18F9" w:rsidRPr="00B92499" w:rsidRDefault="002B18F9" w:rsidP="002B18F9">
            <w:pPr>
              <w:jc w:val="center"/>
              <w:rPr>
                <w:rFonts w:ascii="Arial" w:hAnsi="Arial" w:cs="Arial"/>
                <w:color w:val="000000"/>
                <w:sz w:val="20"/>
                <w:szCs w:val="20"/>
              </w:rPr>
            </w:pPr>
            <w:r w:rsidRPr="00B92499">
              <w:rPr>
                <w:rFonts w:ascii="Arial" w:hAnsi="Arial" w:cs="Arial"/>
                <w:color w:val="000000"/>
                <w:sz w:val="20"/>
                <w:szCs w:val="20"/>
              </w:rPr>
              <w:t xml:space="preserve">               67.86 </w:t>
            </w:r>
          </w:p>
        </w:tc>
      </w:tr>
      <w:tr w:rsidR="002B18F9" w:rsidRPr="00B92499" w14:paraId="12334F31" w14:textId="77777777" w:rsidTr="002B18F9">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72454B0" w14:textId="77777777" w:rsidR="002B18F9" w:rsidRPr="00B92499" w:rsidRDefault="002B18F9" w:rsidP="002B18F9">
            <w:pPr>
              <w:jc w:val="center"/>
              <w:rPr>
                <w:rFonts w:ascii="Arial" w:hAnsi="Arial" w:cs="Arial"/>
                <w:color w:val="000000"/>
                <w:sz w:val="20"/>
                <w:szCs w:val="20"/>
              </w:rPr>
            </w:pPr>
            <w:r w:rsidRPr="00B92499">
              <w:rPr>
                <w:rFonts w:ascii="Arial" w:hAnsi="Arial" w:cs="Arial"/>
                <w:color w:val="000000"/>
                <w:sz w:val="20"/>
                <w:szCs w:val="20"/>
              </w:rPr>
              <w:t>X</w:t>
            </w:r>
          </w:p>
        </w:tc>
        <w:tc>
          <w:tcPr>
            <w:tcW w:w="0" w:type="auto"/>
            <w:tcBorders>
              <w:top w:val="nil"/>
              <w:left w:val="nil"/>
              <w:bottom w:val="single" w:sz="4" w:space="0" w:color="auto"/>
              <w:right w:val="single" w:sz="4" w:space="0" w:color="auto"/>
            </w:tcBorders>
            <w:shd w:val="clear" w:color="auto" w:fill="auto"/>
            <w:vAlign w:val="center"/>
            <w:hideMark/>
          </w:tcPr>
          <w:p w14:paraId="27D1CA11" w14:textId="77777777" w:rsidR="002B18F9" w:rsidRPr="00B92499" w:rsidRDefault="002B18F9" w:rsidP="002B18F9">
            <w:pPr>
              <w:jc w:val="both"/>
              <w:rPr>
                <w:rFonts w:ascii="Arial" w:hAnsi="Arial" w:cs="Arial"/>
                <w:color w:val="000000"/>
                <w:sz w:val="20"/>
                <w:szCs w:val="20"/>
              </w:rPr>
            </w:pPr>
            <w:r w:rsidRPr="00B92499">
              <w:rPr>
                <w:rFonts w:ascii="Arial" w:hAnsi="Arial" w:cs="Arial"/>
                <w:color w:val="000000"/>
                <w:sz w:val="20"/>
                <w:szCs w:val="20"/>
              </w:rPr>
              <w:t>En materia de investigación de los delitos, estadísticas sobre el número de averiguaciones previas o carpetas de investigación.</w:t>
            </w:r>
          </w:p>
        </w:tc>
        <w:tc>
          <w:tcPr>
            <w:tcW w:w="755" w:type="dxa"/>
            <w:tcBorders>
              <w:top w:val="nil"/>
              <w:left w:val="nil"/>
              <w:bottom w:val="single" w:sz="4" w:space="0" w:color="auto"/>
              <w:right w:val="single" w:sz="4" w:space="0" w:color="auto"/>
            </w:tcBorders>
            <w:shd w:val="clear" w:color="auto" w:fill="auto"/>
            <w:vAlign w:val="center"/>
            <w:hideMark/>
          </w:tcPr>
          <w:p w14:paraId="3641B7C2" w14:textId="77777777" w:rsidR="002B18F9" w:rsidRPr="00B92499" w:rsidRDefault="002B18F9" w:rsidP="002B18F9">
            <w:pPr>
              <w:jc w:val="center"/>
              <w:rPr>
                <w:rFonts w:ascii="Arial" w:hAnsi="Arial" w:cs="Arial"/>
                <w:color w:val="000000"/>
                <w:sz w:val="20"/>
                <w:szCs w:val="20"/>
              </w:rPr>
            </w:pPr>
            <w:r w:rsidRPr="00B92499">
              <w:rPr>
                <w:rFonts w:ascii="Arial" w:hAnsi="Arial" w:cs="Arial"/>
                <w:color w:val="000000"/>
                <w:sz w:val="20"/>
                <w:szCs w:val="20"/>
              </w:rPr>
              <w:t xml:space="preserve">               67.86 </w:t>
            </w:r>
          </w:p>
        </w:tc>
      </w:tr>
      <w:tr w:rsidR="002B18F9" w:rsidRPr="00B92499" w14:paraId="7F2E5A02" w14:textId="77777777" w:rsidTr="002B18F9">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571C9BD" w14:textId="77777777" w:rsidR="002B18F9" w:rsidRPr="00B92499" w:rsidRDefault="002B18F9" w:rsidP="002B18F9">
            <w:pPr>
              <w:jc w:val="center"/>
              <w:rPr>
                <w:rFonts w:ascii="Arial" w:hAnsi="Arial" w:cs="Arial"/>
                <w:color w:val="000000"/>
                <w:sz w:val="20"/>
                <w:szCs w:val="20"/>
              </w:rPr>
            </w:pPr>
            <w:r w:rsidRPr="00B92499">
              <w:rPr>
                <w:rFonts w:ascii="Arial" w:hAnsi="Arial" w:cs="Arial"/>
                <w:color w:val="000000"/>
                <w:sz w:val="20"/>
                <w:szCs w:val="20"/>
              </w:rPr>
              <w:t>XII</w:t>
            </w:r>
          </w:p>
        </w:tc>
        <w:tc>
          <w:tcPr>
            <w:tcW w:w="0" w:type="auto"/>
            <w:tcBorders>
              <w:top w:val="nil"/>
              <w:left w:val="nil"/>
              <w:bottom w:val="single" w:sz="4" w:space="0" w:color="auto"/>
              <w:right w:val="single" w:sz="4" w:space="0" w:color="auto"/>
            </w:tcBorders>
            <w:shd w:val="clear" w:color="auto" w:fill="auto"/>
            <w:vAlign w:val="center"/>
            <w:hideMark/>
          </w:tcPr>
          <w:p w14:paraId="095547AE" w14:textId="77777777" w:rsidR="002B18F9" w:rsidRPr="00B92499" w:rsidRDefault="002B18F9" w:rsidP="002B18F9">
            <w:pPr>
              <w:jc w:val="both"/>
              <w:rPr>
                <w:rFonts w:ascii="Arial" w:hAnsi="Arial" w:cs="Arial"/>
                <w:color w:val="000000"/>
                <w:sz w:val="20"/>
                <w:szCs w:val="20"/>
              </w:rPr>
            </w:pPr>
            <w:r w:rsidRPr="00B92499">
              <w:rPr>
                <w:rFonts w:ascii="Arial" w:hAnsi="Arial" w:cs="Arial"/>
                <w:color w:val="000000"/>
                <w:sz w:val="20"/>
                <w:szCs w:val="20"/>
              </w:rPr>
              <w:t>Los reglamentos de las leyes expedidos en ejercicio de sus atribuciones.</w:t>
            </w:r>
          </w:p>
        </w:tc>
        <w:tc>
          <w:tcPr>
            <w:tcW w:w="755" w:type="dxa"/>
            <w:tcBorders>
              <w:top w:val="nil"/>
              <w:left w:val="nil"/>
              <w:bottom w:val="single" w:sz="4" w:space="0" w:color="auto"/>
              <w:right w:val="single" w:sz="4" w:space="0" w:color="auto"/>
            </w:tcBorders>
            <w:shd w:val="clear" w:color="auto" w:fill="auto"/>
            <w:vAlign w:val="center"/>
            <w:hideMark/>
          </w:tcPr>
          <w:p w14:paraId="27ABA6E5" w14:textId="77777777" w:rsidR="002B18F9" w:rsidRPr="00B92499" w:rsidRDefault="002B18F9" w:rsidP="002B18F9">
            <w:pPr>
              <w:jc w:val="center"/>
              <w:rPr>
                <w:rFonts w:ascii="Arial" w:hAnsi="Arial" w:cs="Arial"/>
                <w:color w:val="000000"/>
                <w:sz w:val="20"/>
                <w:szCs w:val="20"/>
              </w:rPr>
            </w:pPr>
            <w:r w:rsidRPr="00B92499">
              <w:rPr>
                <w:rFonts w:ascii="Arial" w:hAnsi="Arial" w:cs="Arial"/>
                <w:color w:val="000000"/>
                <w:sz w:val="20"/>
                <w:szCs w:val="20"/>
              </w:rPr>
              <w:t xml:space="preserve">               67.86 </w:t>
            </w:r>
          </w:p>
        </w:tc>
      </w:tr>
      <w:tr w:rsidR="002B18F9" w:rsidRPr="00B92499" w14:paraId="54DB0B77" w14:textId="77777777" w:rsidTr="002B18F9">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03FEF1F" w14:textId="77777777" w:rsidR="002B18F9" w:rsidRPr="00B92499" w:rsidRDefault="002B18F9" w:rsidP="002B18F9">
            <w:pPr>
              <w:jc w:val="center"/>
              <w:rPr>
                <w:rFonts w:ascii="Arial" w:hAnsi="Arial" w:cs="Arial"/>
                <w:color w:val="000000"/>
                <w:sz w:val="20"/>
                <w:szCs w:val="20"/>
              </w:rPr>
            </w:pPr>
            <w:r w:rsidRPr="00B92499">
              <w:rPr>
                <w:rFonts w:ascii="Arial" w:hAnsi="Arial" w:cs="Arial"/>
                <w:color w:val="000000"/>
                <w:sz w:val="20"/>
                <w:szCs w:val="20"/>
              </w:rPr>
              <w:t>II</w:t>
            </w:r>
          </w:p>
        </w:tc>
        <w:tc>
          <w:tcPr>
            <w:tcW w:w="0" w:type="auto"/>
            <w:tcBorders>
              <w:top w:val="nil"/>
              <w:left w:val="nil"/>
              <w:bottom w:val="single" w:sz="4" w:space="0" w:color="auto"/>
              <w:right w:val="single" w:sz="4" w:space="0" w:color="auto"/>
            </w:tcBorders>
            <w:shd w:val="clear" w:color="auto" w:fill="auto"/>
            <w:vAlign w:val="center"/>
            <w:hideMark/>
          </w:tcPr>
          <w:p w14:paraId="1FC53D6C" w14:textId="77777777" w:rsidR="002B18F9" w:rsidRPr="00B92499" w:rsidRDefault="002B18F9" w:rsidP="002B18F9">
            <w:pPr>
              <w:jc w:val="both"/>
              <w:rPr>
                <w:rFonts w:ascii="Arial" w:hAnsi="Arial" w:cs="Arial"/>
                <w:color w:val="000000"/>
                <w:sz w:val="20"/>
                <w:szCs w:val="20"/>
              </w:rPr>
            </w:pPr>
            <w:r w:rsidRPr="00B92499">
              <w:rPr>
                <w:rFonts w:ascii="Arial" w:hAnsi="Arial" w:cs="Arial"/>
                <w:color w:val="000000"/>
                <w:sz w:val="20"/>
                <w:szCs w:val="20"/>
              </w:rPr>
              <w:t>El Programa General de Desarrollo de la Ciudad de México vinculado con los programas operativos anuales y los respectivos indicadores de gestión que permitan conocer las metas, así como los avances físico y financiero. Sobre los indicadores de gestión se deberá difundir, además, el método de evaluación con una justificación de los resultados obtenidos y el monto de los recursos públicos asignados para su cumplimiento.</w:t>
            </w:r>
          </w:p>
        </w:tc>
        <w:tc>
          <w:tcPr>
            <w:tcW w:w="755" w:type="dxa"/>
            <w:tcBorders>
              <w:top w:val="nil"/>
              <w:left w:val="nil"/>
              <w:bottom w:val="single" w:sz="4" w:space="0" w:color="auto"/>
              <w:right w:val="single" w:sz="4" w:space="0" w:color="auto"/>
            </w:tcBorders>
            <w:shd w:val="clear" w:color="auto" w:fill="auto"/>
            <w:vAlign w:val="center"/>
            <w:hideMark/>
          </w:tcPr>
          <w:p w14:paraId="6CD224CF" w14:textId="77777777" w:rsidR="002B18F9" w:rsidRPr="00B92499" w:rsidRDefault="002B18F9" w:rsidP="002B18F9">
            <w:pPr>
              <w:jc w:val="center"/>
              <w:rPr>
                <w:rFonts w:ascii="Arial" w:hAnsi="Arial" w:cs="Arial"/>
                <w:color w:val="000000"/>
                <w:sz w:val="20"/>
                <w:szCs w:val="20"/>
              </w:rPr>
            </w:pPr>
            <w:r w:rsidRPr="00B92499">
              <w:rPr>
                <w:rFonts w:ascii="Arial" w:hAnsi="Arial" w:cs="Arial"/>
                <w:color w:val="000000"/>
                <w:sz w:val="20"/>
                <w:szCs w:val="20"/>
              </w:rPr>
              <w:t xml:space="preserve">               66.55 </w:t>
            </w:r>
          </w:p>
        </w:tc>
      </w:tr>
      <w:tr w:rsidR="002B18F9" w:rsidRPr="00B92499" w14:paraId="493C525B" w14:textId="77777777" w:rsidTr="002B18F9">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253AE37" w14:textId="77777777" w:rsidR="002B18F9" w:rsidRPr="00B92499" w:rsidRDefault="002B18F9" w:rsidP="002B18F9">
            <w:pPr>
              <w:jc w:val="center"/>
              <w:rPr>
                <w:rFonts w:ascii="Arial" w:hAnsi="Arial" w:cs="Arial"/>
                <w:color w:val="000000"/>
                <w:sz w:val="20"/>
                <w:szCs w:val="20"/>
              </w:rPr>
            </w:pPr>
            <w:r w:rsidRPr="00B92499">
              <w:rPr>
                <w:rFonts w:ascii="Arial" w:hAnsi="Arial" w:cs="Arial"/>
                <w:color w:val="000000"/>
                <w:sz w:val="20"/>
                <w:szCs w:val="20"/>
              </w:rPr>
              <w:t>XVIII</w:t>
            </w:r>
          </w:p>
        </w:tc>
        <w:tc>
          <w:tcPr>
            <w:tcW w:w="0" w:type="auto"/>
            <w:tcBorders>
              <w:top w:val="nil"/>
              <w:left w:val="nil"/>
              <w:bottom w:val="single" w:sz="4" w:space="0" w:color="auto"/>
              <w:right w:val="single" w:sz="4" w:space="0" w:color="auto"/>
            </w:tcBorders>
            <w:shd w:val="clear" w:color="auto" w:fill="auto"/>
            <w:vAlign w:val="center"/>
            <w:hideMark/>
          </w:tcPr>
          <w:p w14:paraId="0F4F79F5" w14:textId="77777777" w:rsidR="002B18F9" w:rsidRPr="00B92499" w:rsidRDefault="002B18F9" w:rsidP="002B18F9">
            <w:pPr>
              <w:jc w:val="both"/>
              <w:rPr>
                <w:rFonts w:ascii="Arial" w:hAnsi="Arial" w:cs="Arial"/>
                <w:color w:val="000000"/>
                <w:sz w:val="20"/>
                <w:szCs w:val="20"/>
              </w:rPr>
            </w:pPr>
            <w:r w:rsidRPr="00B92499">
              <w:rPr>
                <w:rFonts w:ascii="Arial" w:hAnsi="Arial" w:cs="Arial"/>
                <w:color w:val="000000"/>
                <w:sz w:val="20"/>
                <w:szCs w:val="20"/>
              </w:rPr>
              <w:t>Los usos de suelo a través de mapas y planos georreferenciados.</w:t>
            </w:r>
          </w:p>
        </w:tc>
        <w:tc>
          <w:tcPr>
            <w:tcW w:w="755" w:type="dxa"/>
            <w:tcBorders>
              <w:top w:val="nil"/>
              <w:left w:val="nil"/>
              <w:bottom w:val="single" w:sz="4" w:space="0" w:color="auto"/>
              <w:right w:val="single" w:sz="4" w:space="0" w:color="auto"/>
            </w:tcBorders>
            <w:shd w:val="clear" w:color="auto" w:fill="auto"/>
            <w:vAlign w:val="center"/>
            <w:hideMark/>
          </w:tcPr>
          <w:p w14:paraId="770656C9" w14:textId="77777777" w:rsidR="002B18F9" w:rsidRPr="00B92499" w:rsidRDefault="002B18F9" w:rsidP="002B18F9">
            <w:pPr>
              <w:jc w:val="center"/>
              <w:rPr>
                <w:rFonts w:ascii="Arial" w:hAnsi="Arial" w:cs="Arial"/>
                <w:color w:val="000000"/>
                <w:sz w:val="20"/>
                <w:szCs w:val="20"/>
              </w:rPr>
            </w:pPr>
            <w:r w:rsidRPr="00B92499">
              <w:rPr>
                <w:rFonts w:ascii="Arial" w:hAnsi="Arial" w:cs="Arial"/>
                <w:color w:val="000000"/>
                <w:sz w:val="20"/>
                <w:szCs w:val="20"/>
              </w:rPr>
              <w:t xml:space="preserve">               64.29 </w:t>
            </w:r>
          </w:p>
        </w:tc>
      </w:tr>
      <w:tr w:rsidR="002B18F9" w:rsidRPr="00B92499" w14:paraId="153CFD23" w14:textId="77777777" w:rsidTr="002B18F9">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A305848" w14:textId="77777777" w:rsidR="002B18F9" w:rsidRPr="00B92499" w:rsidRDefault="002B18F9" w:rsidP="002B18F9">
            <w:pPr>
              <w:jc w:val="center"/>
              <w:rPr>
                <w:rFonts w:ascii="Arial" w:hAnsi="Arial" w:cs="Arial"/>
                <w:color w:val="000000"/>
                <w:sz w:val="20"/>
                <w:szCs w:val="20"/>
              </w:rPr>
            </w:pPr>
            <w:r w:rsidRPr="00B92499">
              <w:rPr>
                <w:rFonts w:ascii="Arial" w:hAnsi="Arial" w:cs="Arial"/>
                <w:color w:val="000000"/>
                <w:sz w:val="20"/>
                <w:szCs w:val="20"/>
              </w:rPr>
              <w:t>XXIII</w:t>
            </w:r>
          </w:p>
        </w:tc>
        <w:tc>
          <w:tcPr>
            <w:tcW w:w="0" w:type="auto"/>
            <w:tcBorders>
              <w:top w:val="nil"/>
              <w:left w:val="nil"/>
              <w:bottom w:val="single" w:sz="4" w:space="0" w:color="auto"/>
              <w:right w:val="single" w:sz="4" w:space="0" w:color="auto"/>
            </w:tcBorders>
            <w:shd w:val="clear" w:color="auto" w:fill="auto"/>
            <w:vAlign w:val="center"/>
            <w:hideMark/>
          </w:tcPr>
          <w:p w14:paraId="1BB7993A" w14:textId="77777777" w:rsidR="002B18F9" w:rsidRPr="00B92499" w:rsidRDefault="002B18F9" w:rsidP="002B18F9">
            <w:pPr>
              <w:jc w:val="both"/>
              <w:rPr>
                <w:rFonts w:ascii="Arial" w:hAnsi="Arial" w:cs="Arial"/>
                <w:color w:val="000000"/>
                <w:sz w:val="20"/>
                <w:szCs w:val="20"/>
              </w:rPr>
            </w:pPr>
            <w:r w:rsidRPr="00B92499">
              <w:rPr>
                <w:rFonts w:ascii="Arial" w:hAnsi="Arial" w:cs="Arial"/>
                <w:color w:val="000000"/>
                <w:sz w:val="20"/>
                <w:szCs w:val="20"/>
              </w:rPr>
              <w:t>Información sobre las tarifas del suministro de agua potable según los diferentes usos doméstico, no doméstico y mixto por Colonia y Delegación.</w:t>
            </w:r>
          </w:p>
        </w:tc>
        <w:tc>
          <w:tcPr>
            <w:tcW w:w="755" w:type="dxa"/>
            <w:tcBorders>
              <w:top w:val="nil"/>
              <w:left w:val="nil"/>
              <w:bottom w:val="single" w:sz="4" w:space="0" w:color="auto"/>
              <w:right w:val="single" w:sz="4" w:space="0" w:color="auto"/>
            </w:tcBorders>
            <w:shd w:val="clear" w:color="auto" w:fill="auto"/>
            <w:vAlign w:val="center"/>
            <w:hideMark/>
          </w:tcPr>
          <w:p w14:paraId="6D7DFC17" w14:textId="77777777" w:rsidR="002B18F9" w:rsidRPr="00B92499" w:rsidRDefault="002B18F9" w:rsidP="002B18F9">
            <w:pPr>
              <w:jc w:val="center"/>
              <w:rPr>
                <w:rFonts w:ascii="Arial" w:hAnsi="Arial" w:cs="Arial"/>
                <w:color w:val="000000"/>
                <w:sz w:val="20"/>
                <w:szCs w:val="20"/>
              </w:rPr>
            </w:pPr>
            <w:r w:rsidRPr="00B92499">
              <w:rPr>
                <w:rFonts w:ascii="Arial" w:hAnsi="Arial" w:cs="Arial"/>
                <w:color w:val="000000"/>
                <w:sz w:val="20"/>
                <w:szCs w:val="20"/>
              </w:rPr>
              <w:t xml:space="preserve">               62.32 </w:t>
            </w:r>
          </w:p>
        </w:tc>
      </w:tr>
      <w:tr w:rsidR="002B18F9" w:rsidRPr="00B92499" w14:paraId="04FBAE70" w14:textId="77777777" w:rsidTr="002B18F9">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FC7E814" w14:textId="77777777" w:rsidR="002B18F9" w:rsidRPr="00B92499" w:rsidRDefault="002B18F9" w:rsidP="002B18F9">
            <w:pPr>
              <w:jc w:val="center"/>
              <w:rPr>
                <w:rFonts w:ascii="Arial" w:hAnsi="Arial" w:cs="Arial"/>
                <w:color w:val="000000"/>
                <w:sz w:val="20"/>
                <w:szCs w:val="20"/>
              </w:rPr>
            </w:pPr>
            <w:r w:rsidRPr="00B92499">
              <w:rPr>
                <w:rFonts w:ascii="Arial" w:hAnsi="Arial" w:cs="Arial"/>
                <w:color w:val="000000"/>
                <w:sz w:val="20"/>
                <w:szCs w:val="20"/>
              </w:rPr>
              <w:lastRenderedPageBreak/>
              <w:t>XI</w:t>
            </w:r>
          </w:p>
        </w:tc>
        <w:tc>
          <w:tcPr>
            <w:tcW w:w="0" w:type="auto"/>
            <w:tcBorders>
              <w:top w:val="nil"/>
              <w:left w:val="nil"/>
              <w:bottom w:val="single" w:sz="4" w:space="0" w:color="auto"/>
              <w:right w:val="single" w:sz="4" w:space="0" w:color="auto"/>
            </w:tcBorders>
            <w:shd w:val="clear" w:color="auto" w:fill="auto"/>
            <w:vAlign w:val="center"/>
            <w:hideMark/>
          </w:tcPr>
          <w:p w14:paraId="131F223B" w14:textId="77777777" w:rsidR="002B18F9" w:rsidRPr="00B92499" w:rsidRDefault="002B18F9" w:rsidP="002B18F9">
            <w:pPr>
              <w:jc w:val="both"/>
              <w:rPr>
                <w:rFonts w:ascii="Arial" w:hAnsi="Arial" w:cs="Arial"/>
                <w:color w:val="000000"/>
                <w:sz w:val="20"/>
                <w:szCs w:val="20"/>
              </w:rPr>
            </w:pPr>
            <w:r w:rsidRPr="00B92499">
              <w:rPr>
                <w:rFonts w:ascii="Arial" w:hAnsi="Arial" w:cs="Arial"/>
                <w:color w:val="000000"/>
                <w:sz w:val="20"/>
                <w:szCs w:val="20"/>
              </w:rPr>
              <w:t>Las cantidades recibidas por concepto de multas y servicios de grúa y almacenamiento de vehículos, en su caso, así como el destino al que se aplicaron.</w:t>
            </w:r>
          </w:p>
        </w:tc>
        <w:tc>
          <w:tcPr>
            <w:tcW w:w="755" w:type="dxa"/>
            <w:tcBorders>
              <w:top w:val="nil"/>
              <w:left w:val="nil"/>
              <w:bottom w:val="single" w:sz="4" w:space="0" w:color="auto"/>
              <w:right w:val="single" w:sz="4" w:space="0" w:color="auto"/>
            </w:tcBorders>
            <w:shd w:val="clear" w:color="auto" w:fill="auto"/>
            <w:vAlign w:val="center"/>
            <w:hideMark/>
          </w:tcPr>
          <w:p w14:paraId="2C70F88B" w14:textId="77777777" w:rsidR="002B18F9" w:rsidRPr="00B92499" w:rsidRDefault="002B18F9" w:rsidP="002B18F9">
            <w:pPr>
              <w:jc w:val="center"/>
              <w:rPr>
                <w:rFonts w:ascii="Arial" w:hAnsi="Arial" w:cs="Arial"/>
                <w:color w:val="000000"/>
                <w:sz w:val="20"/>
                <w:szCs w:val="20"/>
              </w:rPr>
            </w:pPr>
            <w:r w:rsidRPr="00B92499">
              <w:rPr>
                <w:rFonts w:ascii="Arial" w:hAnsi="Arial" w:cs="Arial"/>
                <w:color w:val="000000"/>
                <w:sz w:val="20"/>
                <w:szCs w:val="20"/>
              </w:rPr>
              <w:t xml:space="preserve">               61.79 </w:t>
            </w:r>
          </w:p>
        </w:tc>
      </w:tr>
      <w:tr w:rsidR="002B18F9" w:rsidRPr="00B92499" w14:paraId="42017633" w14:textId="77777777" w:rsidTr="002B18F9">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65FAC2B" w14:textId="77777777" w:rsidR="002B18F9" w:rsidRPr="00B92499" w:rsidRDefault="002B18F9" w:rsidP="002B18F9">
            <w:pPr>
              <w:jc w:val="center"/>
              <w:rPr>
                <w:rFonts w:ascii="Arial" w:hAnsi="Arial" w:cs="Arial"/>
                <w:color w:val="000000"/>
                <w:sz w:val="20"/>
                <w:szCs w:val="20"/>
              </w:rPr>
            </w:pPr>
            <w:r w:rsidRPr="00B92499">
              <w:rPr>
                <w:rFonts w:ascii="Arial" w:hAnsi="Arial" w:cs="Arial"/>
                <w:color w:val="000000"/>
                <w:sz w:val="20"/>
                <w:szCs w:val="20"/>
              </w:rPr>
              <w:t>V</w:t>
            </w:r>
          </w:p>
        </w:tc>
        <w:tc>
          <w:tcPr>
            <w:tcW w:w="0" w:type="auto"/>
            <w:tcBorders>
              <w:top w:val="nil"/>
              <w:left w:val="nil"/>
              <w:bottom w:val="single" w:sz="4" w:space="0" w:color="auto"/>
              <w:right w:val="single" w:sz="4" w:space="0" w:color="auto"/>
            </w:tcBorders>
            <w:shd w:val="clear" w:color="auto" w:fill="auto"/>
            <w:vAlign w:val="center"/>
            <w:hideMark/>
          </w:tcPr>
          <w:p w14:paraId="5F5CD146" w14:textId="77777777" w:rsidR="002B18F9" w:rsidRPr="00B92499" w:rsidRDefault="002B18F9" w:rsidP="002B18F9">
            <w:pPr>
              <w:jc w:val="both"/>
              <w:rPr>
                <w:rFonts w:ascii="Arial" w:hAnsi="Arial" w:cs="Arial"/>
                <w:color w:val="000000"/>
                <w:sz w:val="20"/>
                <w:szCs w:val="20"/>
              </w:rPr>
            </w:pPr>
            <w:r w:rsidRPr="00B92499">
              <w:rPr>
                <w:rFonts w:ascii="Arial" w:hAnsi="Arial" w:cs="Arial"/>
                <w:color w:val="000000"/>
                <w:sz w:val="20"/>
                <w:szCs w:val="20"/>
              </w:rPr>
              <w:t xml:space="preserve">El listado de las personas que han recibido exenciones, condonaciones o cancelaciones de impuestos locales. </w:t>
            </w:r>
          </w:p>
        </w:tc>
        <w:tc>
          <w:tcPr>
            <w:tcW w:w="755" w:type="dxa"/>
            <w:tcBorders>
              <w:top w:val="nil"/>
              <w:left w:val="nil"/>
              <w:bottom w:val="single" w:sz="4" w:space="0" w:color="auto"/>
              <w:right w:val="single" w:sz="4" w:space="0" w:color="auto"/>
            </w:tcBorders>
            <w:shd w:val="clear" w:color="auto" w:fill="auto"/>
            <w:vAlign w:val="center"/>
            <w:hideMark/>
          </w:tcPr>
          <w:p w14:paraId="06D55A9A" w14:textId="77777777" w:rsidR="002B18F9" w:rsidRPr="00B92499" w:rsidRDefault="002B18F9" w:rsidP="002B18F9">
            <w:pPr>
              <w:jc w:val="center"/>
              <w:rPr>
                <w:rFonts w:ascii="Arial" w:hAnsi="Arial" w:cs="Arial"/>
                <w:color w:val="000000"/>
                <w:sz w:val="20"/>
                <w:szCs w:val="20"/>
              </w:rPr>
            </w:pPr>
            <w:r w:rsidRPr="00B92499">
              <w:rPr>
                <w:rFonts w:ascii="Arial" w:hAnsi="Arial" w:cs="Arial"/>
                <w:color w:val="000000"/>
                <w:sz w:val="20"/>
                <w:szCs w:val="20"/>
              </w:rPr>
              <w:t xml:space="preserve">               61.43 </w:t>
            </w:r>
          </w:p>
        </w:tc>
      </w:tr>
      <w:tr w:rsidR="002B18F9" w:rsidRPr="00B92499" w14:paraId="01DEB715" w14:textId="77777777" w:rsidTr="002B18F9">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D205B77" w14:textId="77777777" w:rsidR="002B18F9" w:rsidRPr="00B92499" w:rsidRDefault="002B18F9" w:rsidP="002B18F9">
            <w:pPr>
              <w:jc w:val="center"/>
              <w:rPr>
                <w:rFonts w:ascii="Arial" w:hAnsi="Arial" w:cs="Arial"/>
                <w:color w:val="000000"/>
                <w:sz w:val="20"/>
                <w:szCs w:val="20"/>
              </w:rPr>
            </w:pPr>
            <w:r w:rsidRPr="00B92499">
              <w:rPr>
                <w:rFonts w:ascii="Arial" w:hAnsi="Arial" w:cs="Arial"/>
                <w:color w:val="000000"/>
                <w:sz w:val="20"/>
                <w:szCs w:val="20"/>
              </w:rPr>
              <w:t>XXII</w:t>
            </w:r>
          </w:p>
        </w:tc>
        <w:tc>
          <w:tcPr>
            <w:tcW w:w="0" w:type="auto"/>
            <w:tcBorders>
              <w:top w:val="nil"/>
              <w:left w:val="nil"/>
              <w:bottom w:val="single" w:sz="4" w:space="0" w:color="auto"/>
              <w:right w:val="single" w:sz="4" w:space="0" w:color="auto"/>
            </w:tcBorders>
            <w:shd w:val="clear" w:color="auto" w:fill="auto"/>
            <w:vAlign w:val="center"/>
            <w:hideMark/>
          </w:tcPr>
          <w:p w14:paraId="6D61D55F" w14:textId="77777777" w:rsidR="002B18F9" w:rsidRPr="00B92499" w:rsidRDefault="002B18F9" w:rsidP="002B18F9">
            <w:pPr>
              <w:jc w:val="both"/>
              <w:rPr>
                <w:rFonts w:ascii="Arial" w:hAnsi="Arial" w:cs="Arial"/>
                <w:color w:val="000000"/>
                <w:sz w:val="20"/>
                <w:szCs w:val="20"/>
              </w:rPr>
            </w:pPr>
            <w:r w:rsidRPr="00B92499">
              <w:rPr>
                <w:rFonts w:ascii="Arial" w:hAnsi="Arial" w:cs="Arial"/>
                <w:color w:val="000000"/>
                <w:sz w:val="20"/>
                <w:szCs w:val="20"/>
              </w:rPr>
              <w:t>Los mecanismos e informes de supervisión del desempeño de las empresas concesionarias que participan en la gestión del agua.</w:t>
            </w:r>
          </w:p>
        </w:tc>
        <w:tc>
          <w:tcPr>
            <w:tcW w:w="755" w:type="dxa"/>
            <w:tcBorders>
              <w:top w:val="nil"/>
              <w:left w:val="nil"/>
              <w:bottom w:val="single" w:sz="4" w:space="0" w:color="auto"/>
              <w:right w:val="single" w:sz="4" w:space="0" w:color="auto"/>
            </w:tcBorders>
            <w:shd w:val="clear" w:color="auto" w:fill="auto"/>
            <w:vAlign w:val="center"/>
            <w:hideMark/>
          </w:tcPr>
          <w:p w14:paraId="5D4381FD" w14:textId="77777777" w:rsidR="002B18F9" w:rsidRPr="00B92499" w:rsidRDefault="002B18F9" w:rsidP="002B18F9">
            <w:pPr>
              <w:jc w:val="center"/>
              <w:rPr>
                <w:rFonts w:ascii="Arial" w:hAnsi="Arial" w:cs="Arial"/>
                <w:color w:val="000000"/>
                <w:sz w:val="20"/>
                <w:szCs w:val="20"/>
              </w:rPr>
            </w:pPr>
            <w:r w:rsidRPr="00B92499">
              <w:rPr>
                <w:rFonts w:ascii="Arial" w:hAnsi="Arial" w:cs="Arial"/>
                <w:color w:val="000000"/>
                <w:sz w:val="20"/>
                <w:szCs w:val="20"/>
              </w:rPr>
              <w:t xml:space="preserve">               60.89 </w:t>
            </w:r>
          </w:p>
        </w:tc>
      </w:tr>
      <w:tr w:rsidR="002B18F9" w:rsidRPr="00B92499" w14:paraId="6C6FF7B4" w14:textId="77777777" w:rsidTr="002B18F9">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82250E2" w14:textId="77777777" w:rsidR="002B18F9" w:rsidRPr="00B92499" w:rsidRDefault="002B18F9" w:rsidP="002B18F9">
            <w:pPr>
              <w:jc w:val="center"/>
              <w:rPr>
                <w:rFonts w:ascii="Arial" w:hAnsi="Arial" w:cs="Arial"/>
                <w:color w:val="000000"/>
                <w:sz w:val="20"/>
                <w:szCs w:val="20"/>
              </w:rPr>
            </w:pPr>
            <w:r w:rsidRPr="00B92499">
              <w:rPr>
                <w:rFonts w:ascii="Arial" w:hAnsi="Arial" w:cs="Arial"/>
                <w:color w:val="000000"/>
                <w:sz w:val="20"/>
                <w:szCs w:val="20"/>
              </w:rPr>
              <w:t>XXIV</w:t>
            </w:r>
          </w:p>
        </w:tc>
        <w:tc>
          <w:tcPr>
            <w:tcW w:w="0" w:type="auto"/>
            <w:tcBorders>
              <w:top w:val="nil"/>
              <w:left w:val="nil"/>
              <w:bottom w:val="single" w:sz="4" w:space="0" w:color="auto"/>
              <w:right w:val="single" w:sz="4" w:space="0" w:color="auto"/>
            </w:tcBorders>
            <w:shd w:val="clear" w:color="auto" w:fill="auto"/>
            <w:vAlign w:val="center"/>
            <w:hideMark/>
          </w:tcPr>
          <w:p w14:paraId="3785C70B" w14:textId="77777777" w:rsidR="002B18F9" w:rsidRPr="00B92499" w:rsidRDefault="002B18F9" w:rsidP="002B18F9">
            <w:pPr>
              <w:jc w:val="both"/>
              <w:rPr>
                <w:rFonts w:ascii="Arial" w:hAnsi="Arial" w:cs="Arial"/>
                <w:color w:val="000000"/>
                <w:sz w:val="20"/>
                <w:szCs w:val="20"/>
              </w:rPr>
            </w:pPr>
            <w:r w:rsidRPr="00B92499">
              <w:rPr>
                <w:rFonts w:ascii="Arial" w:hAnsi="Arial" w:cs="Arial"/>
                <w:color w:val="000000"/>
                <w:sz w:val="20"/>
                <w:szCs w:val="20"/>
              </w:rPr>
              <w:t>Información trimestral sobre la calidad del agua de la ciudad.</w:t>
            </w:r>
          </w:p>
        </w:tc>
        <w:tc>
          <w:tcPr>
            <w:tcW w:w="755" w:type="dxa"/>
            <w:tcBorders>
              <w:top w:val="nil"/>
              <w:left w:val="nil"/>
              <w:bottom w:val="single" w:sz="4" w:space="0" w:color="auto"/>
              <w:right w:val="single" w:sz="4" w:space="0" w:color="auto"/>
            </w:tcBorders>
            <w:shd w:val="clear" w:color="auto" w:fill="auto"/>
            <w:vAlign w:val="center"/>
            <w:hideMark/>
          </w:tcPr>
          <w:p w14:paraId="2231D2C8" w14:textId="77777777" w:rsidR="002B18F9" w:rsidRPr="00B92499" w:rsidRDefault="002B18F9" w:rsidP="002B18F9">
            <w:pPr>
              <w:jc w:val="center"/>
              <w:rPr>
                <w:rFonts w:ascii="Arial" w:hAnsi="Arial" w:cs="Arial"/>
                <w:color w:val="000000"/>
                <w:sz w:val="20"/>
                <w:szCs w:val="20"/>
              </w:rPr>
            </w:pPr>
            <w:r w:rsidRPr="00B92499">
              <w:rPr>
                <w:rFonts w:ascii="Arial" w:hAnsi="Arial" w:cs="Arial"/>
                <w:color w:val="000000"/>
                <w:sz w:val="20"/>
                <w:szCs w:val="20"/>
              </w:rPr>
              <w:t xml:space="preserve">               60.89 </w:t>
            </w:r>
          </w:p>
        </w:tc>
      </w:tr>
      <w:tr w:rsidR="002B18F9" w:rsidRPr="00B92499" w14:paraId="327C033F" w14:textId="77777777" w:rsidTr="002B18F9">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E7EA54F" w14:textId="77777777" w:rsidR="002B18F9" w:rsidRPr="00B92499" w:rsidRDefault="002B18F9" w:rsidP="002B18F9">
            <w:pPr>
              <w:jc w:val="center"/>
              <w:rPr>
                <w:rFonts w:ascii="Arial" w:hAnsi="Arial" w:cs="Arial"/>
                <w:color w:val="000000"/>
                <w:sz w:val="20"/>
                <w:szCs w:val="20"/>
              </w:rPr>
            </w:pPr>
            <w:r w:rsidRPr="00B92499">
              <w:rPr>
                <w:rFonts w:ascii="Arial" w:hAnsi="Arial" w:cs="Arial"/>
                <w:color w:val="000000"/>
                <w:sz w:val="20"/>
                <w:szCs w:val="20"/>
              </w:rPr>
              <w:t>VIII</w:t>
            </w:r>
          </w:p>
        </w:tc>
        <w:tc>
          <w:tcPr>
            <w:tcW w:w="0" w:type="auto"/>
            <w:tcBorders>
              <w:top w:val="nil"/>
              <w:left w:val="nil"/>
              <w:bottom w:val="single" w:sz="4" w:space="0" w:color="auto"/>
              <w:right w:val="single" w:sz="4" w:space="0" w:color="auto"/>
            </w:tcBorders>
            <w:shd w:val="clear" w:color="auto" w:fill="auto"/>
            <w:vAlign w:val="center"/>
            <w:hideMark/>
          </w:tcPr>
          <w:p w14:paraId="7B989758" w14:textId="77777777" w:rsidR="002B18F9" w:rsidRPr="00B92499" w:rsidRDefault="002B18F9" w:rsidP="002B18F9">
            <w:pPr>
              <w:jc w:val="both"/>
              <w:rPr>
                <w:rFonts w:ascii="Arial" w:hAnsi="Arial" w:cs="Arial"/>
                <w:color w:val="000000"/>
                <w:sz w:val="20"/>
                <w:szCs w:val="20"/>
              </w:rPr>
            </w:pPr>
            <w:r w:rsidRPr="00B92499">
              <w:rPr>
                <w:rFonts w:ascii="Arial" w:hAnsi="Arial" w:cs="Arial"/>
                <w:color w:val="000000"/>
                <w:sz w:val="20"/>
                <w:szCs w:val="20"/>
              </w:rPr>
              <w:t>Las disposiciones administrativas, directamente o a través de la autoridad competente.</w:t>
            </w:r>
          </w:p>
        </w:tc>
        <w:tc>
          <w:tcPr>
            <w:tcW w:w="755" w:type="dxa"/>
            <w:tcBorders>
              <w:top w:val="nil"/>
              <w:left w:val="nil"/>
              <w:bottom w:val="single" w:sz="4" w:space="0" w:color="auto"/>
              <w:right w:val="single" w:sz="4" w:space="0" w:color="auto"/>
            </w:tcBorders>
            <w:shd w:val="clear" w:color="auto" w:fill="auto"/>
            <w:vAlign w:val="center"/>
            <w:hideMark/>
          </w:tcPr>
          <w:p w14:paraId="27F30E65" w14:textId="77777777" w:rsidR="002B18F9" w:rsidRPr="00B92499" w:rsidRDefault="002B18F9" w:rsidP="002B18F9">
            <w:pPr>
              <w:jc w:val="center"/>
              <w:rPr>
                <w:rFonts w:ascii="Arial" w:hAnsi="Arial" w:cs="Arial"/>
                <w:color w:val="000000"/>
                <w:sz w:val="20"/>
                <w:szCs w:val="20"/>
              </w:rPr>
            </w:pPr>
            <w:r w:rsidRPr="00B92499">
              <w:rPr>
                <w:rFonts w:ascii="Arial" w:hAnsi="Arial" w:cs="Arial"/>
                <w:color w:val="000000"/>
                <w:sz w:val="20"/>
                <w:szCs w:val="20"/>
              </w:rPr>
              <w:t xml:space="preserve">               60.71 </w:t>
            </w:r>
          </w:p>
        </w:tc>
      </w:tr>
      <w:tr w:rsidR="002B18F9" w:rsidRPr="00B92499" w14:paraId="4FE88874" w14:textId="77777777" w:rsidTr="002B18F9">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A955776" w14:textId="77777777" w:rsidR="002B18F9" w:rsidRPr="00B92499" w:rsidRDefault="002B18F9" w:rsidP="002B18F9">
            <w:pPr>
              <w:jc w:val="center"/>
              <w:rPr>
                <w:rFonts w:ascii="Arial" w:hAnsi="Arial" w:cs="Arial"/>
                <w:color w:val="000000"/>
                <w:sz w:val="20"/>
                <w:szCs w:val="20"/>
              </w:rPr>
            </w:pPr>
            <w:r w:rsidRPr="00B92499">
              <w:rPr>
                <w:rFonts w:ascii="Arial" w:hAnsi="Arial" w:cs="Arial"/>
                <w:color w:val="000000"/>
                <w:sz w:val="20"/>
                <w:szCs w:val="20"/>
              </w:rPr>
              <w:t>XV</w:t>
            </w:r>
          </w:p>
        </w:tc>
        <w:tc>
          <w:tcPr>
            <w:tcW w:w="0" w:type="auto"/>
            <w:tcBorders>
              <w:top w:val="nil"/>
              <w:left w:val="nil"/>
              <w:bottom w:val="single" w:sz="4" w:space="0" w:color="auto"/>
              <w:right w:val="single" w:sz="4" w:space="0" w:color="auto"/>
            </w:tcBorders>
            <w:shd w:val="clear" w:color="auto" w:fill="auto"/>
            <w:vAlign w:val="center"/>
            <w:hideMark/>
          </w:tcPr>
          <w:p w14:paraId="2E491FF6" w14:textId="77777777" w:rsidR="002B18F9" w:rsidRPr="00B92499" w:rsidRDefault="002B18F9" w:rsidP="002B18F9">
            <w:pPr>
              <w:jc w:val="both"/>
              <w:rPr>
                <w:rFonts w:ascii="Arial" w:hAnsi="Arial" w:cs="Arial"/>
                <w:color w:val="000000"/>
                <w:sz w:val="20"/>
                <w:szCs w:val="20"/>
              </w:rPr>
            </w:pPr>
            <w:r w:rsidRPr="00B92499">
              <w:rPr>
                <w:rFonts w:ascii="Arial" w:hAnsi="Arial" w:cs="Arial"/>
                <w:color w:val="000000"/>
                <w:sz w:val="20"/>
                <w:szCs w:val="20"/>
              </w:rPr>
              <w:t>Sistema electrónico con el uso de un tabulador que permita consultar el cobro de impuestos, servicios, derechos y aprovechamientos, así como el total de las cantidades recibidas por estos conceptos, así como informes de avance trimestral de dichos ingresos.</w:t>
            </w:r>
          </w:p>
        </w:tc>
        <w:tc>
          <w:tcPr>
            <w:tcW w:w="755" w:type="dxa"/>
            <w:tcBorders>
              <w:top w:val="nil"/>
              <w:left w:val="nil"/>
              <w:bottom w:val="single" w:sz="4" w:space="0" w:color="auto"/>
              <w:right w:val="single" w:sz="4" w:space="0" w:color="auto"/>
            </w:tcBorders>
            <w:shd w:val="clear" w:color="auto" w:fill="auto"/>
            <w:vAlign w:val="center"/>
            <w:hideMark/>
          </w:tcPr>
          <w:p w14:paraId="465BEEE4" w14:textId="77777777" w:rsidR="002B18F9" w:rsidRPr="00B92499" w:rsidRDefault="002B18F9" w:rsidP="002B18F9">
            <w:pPr>
              <w:jc w:val="center"/>
              <w:rPr>
                <w:rFonts w:ascii="Arial" w:hAnsi="Arial" w:cs="Arial"/>
                <w:color w:val="000000"/>
                <w:sz w:val="20"/>
                <w:szCs w:val="20"/>
              </w:rPr>
            </w:pPr>
            <w:r w:rsidRPr="00B92499">
              <w:rPr>
                <w:rFonts w:ascii="Arial" w:hAnsi="Arial" w:cs="Arial"/>
                <w:color w:val="000000"/>
                <w:sz w:val="20"/>
                <w:szCs w:val="20"/>
              </w:rPr>
              <w:t xml:space="preserve">               60.48 </w:t>
            </w:r>
          </w:p>
        </w:tc>
      </w:tr>
      <w:tr w:rsidR="002B18F9" w:rsidRPr="00B92499" w14:paraId="5CF60D32" w14:textId="77777777" w:rsidTr="002B18F9">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6C7AC00" w14:textId="77777777" w:rsidR="002B18F9" w:rsidRPr="00B92499" w:rsidRDefault="002B18F9" w:rsidP="002B18F9">
            <w:pPr>
              <w:jc w:val="center"/>
              <w:rPr>
                <w:rFonts w:ascii="Arial" w:hAnsi="Arial" w:cs="Arial"/>
                <w:color w:val="000000"/>
                <w:sz w:val="20"/>
                <w:szCs w:val="20"/>
              </w:rPr>
            </w:pPr>
            <w:r w:rsidRPr="00B92499">
              <w:rPr>
                <w:rFonts w:ascii="Arial" w:hAnsi="Arial" w:cs="Arial"/>
                <w:color w:val="000000"/>
                <w:sz w:val="20"/>
                <w:szCs w:val="20"/>
              </w:rPr>
              <w:t>XIV</w:t>
            </w:r>
          </w:p>
        </w:tc>
        <w:tc>
          <w:tcPr>
            <w:tcW w:w="0" w:type="auto"/>
            <w:tcBorders>
              <w:top w:val="nil"/>
              <w:left w:val="nil"/>
              <w:bottom w:val="single" w:sz="4" w:space="0" w:color="auto"/>
              <w:right w:val="single" w:sz="4" w:space="0" w:color="auto"/>
            </w:tcBorders>
            <w:shd w:val="clear" w:color="auto" w:fill="auto"/>
            <w:vAlign w:val="center"/>
            <w:hideMark/>
          </w:tcPr>
          <w:p w14:paraId="551E3804" w14:textId="77777777" w:rsidR="002B18F9" w:rsidRPr="00B92499" w:rsidRDefault="002B18F9" w:rsidP="002B18F9">
            <w:pPr>
              <w:jc w:val="both"/>
              <w:rPr>
                <w:rFonts w:ascii="Arial" w:hAnsi="Arial" w:cs="Arial"/>
                <w:color w:val="000000"/>
                <w:sz w:val="20"/>
                <w:szCs w:val="20"/>
              </w:rPr>
            </w:pPr>
            <w:r w:rsidRPr="00B92499">
              <w:rPr>
                <w:rFonts w:ascii="Arial" w:hAnsi="Arial" w:cs="Arial"/>
                <w:color w:val="000000"/>
                <w:sz w:val="20"/>
                <w:szCs w:val="20"/>
              </w:rPr>
              <w:t>La información que sea de utilidad o resulte relevante para el conocimiento y evaluación de las funciones y políticas públicas.</w:t>
            </w:r>
          </w:p>
        </w:tc>
        <w:tc>
          <w:tcPr>
            <w:tcW w:w="755" w:type="dxa"/>
            <w:tcBorders>
              <w:top w:val="nil"/>
              <w:left w:val="nil"/>
              <w:bottom w:val="single" w:sz="4" w:space="0" w:color="auto"/>
              <w:right w:val="single" w:sz="4" w:space="0" w:color="auto"/>
            </w:tcBorders>
            <w:shd w:val="clear" w:color="auto" w:fill="auto"/>
            <w:vAlign w:val="center"/>
            <w:hideMark/>
          </w:tcPr>
          <w:p w14:paraId="0357DE41" w14:textId="77777777" w:rsidR="002B18F9" w:rsidRPr="00B92499" w:rsidRDefault="002B18F9" w:rsidP="002B18F9">
            <w:pPr>
              <w:jc w:val="center"/>
              <w:rPr>
                <w:rFonts w:ascii="Arial" w:hAnsi="Arial" w:cs="Arial"/>
                <w:color w:val="000000"/>
                <w:sz w:val="20"/>
                <w:szCs w:val="20"/>
              </w:rPr>
            </w:pPr>
            <w:r w:rsidRPr="00B92499">
              <w:rPr>
                <w:rFonts w:ascii="Arial" w:hAnsi="Arial" w:cs="Arial"/>
                <w:color w:val="000000"/>
                <w:sz w:val="20"/>
                <w:szCs w:val="20"/>
              </w:rPr>
              <w:t xml:space="preserve">               57.14 </w:t>
            </w:r>
          </w:p>
        </w:tc>
      </w:tr>
      <w:tr w:rsidR="002B18F9" w:rsidRPr="00B92499" w14:paraId="33F85CC5" w14:textId="77777777" w:rsidTr="002B18F9">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6653019" w14:textId="77777777" w:rsidR="002B18F9" w:rsidRPr="00B92499" w:rsidRDefault="002B18F9" w:rsidP="002B18F9">
            <w:pPr>
              <w:jc w:val="center"/>
              <w:rPr>
                <w:rFonts w:ascii="Arial" w:hAnsi="Arial" w:cs="Arial"/>
                <w:color w:val="000000"/>
                <w:sz w:val="20"/>
                <w:szCs w:val="20"/>
              </w:rPr>
            </w:pPr>
            <w:r w:rsidRPr="00B92499">
              <w:rPr>
                <w:rFonts w:ascii="Arial" w:hAnsi="Arial" w:cs="Arial"/>
                <w:color w:val="000000"/>
                <w:sz w:val="20"/>
                <w:szCs w:val="20"/>
              </w:rPr>
              <w:t>XVII</w:t>
            </w:r>
          </w:p>
        </w:tc>
        <w:tc>
          <w:tcPr>
            <w:tcW w:w="0" w:type="auto"/>
            <w:tcBorders>
              <w:top w:val="nil"/>
              <w:left w:val="nil"/>
              <w:bottom w:val="single" w:sz="4" w:space="0" w:color="auto"/>
              <w:right w:val="single" w:sz="4" w:space="0" w:color="auto"/>
            </w:tcBorders>
            <w:shd w:val="clear" w:color="auto" w:fill="auto"/>
            <w:vAlign w:val="center"/>
            <w:hideMark/>
          </w:tcPr>
          <w:p w14:paraId="52F30F5D" w14:textId="77777777" w:rsidR="002B18F9" w:rsidRPr="00B92499" w:rsidRDefault="002B18F9" w:rsidP="002B18F9">
            <w:pPr>
              <w:jc w:val="both"/>
              <w:rPr>
                <w:rFonts w:ascii="Arial" w:hAnsi="Arial" w:cs="Arial"/>
                <w:color w:val="000000"/>
                <w:sz w:val="20"/>
                <w:szCs w:val="20"/>
              </w:rPr>
            </w:pPr>
            <w:r w:rsidRPr="00B92499">
              <w:rPr>
                <w:rFonts w:ascii="Arial" w:hAnsi="Arial" w:cs="Arial"/>
                <w:color w:val="000000"/>
                <w:sz w:val="20"/>
                <w:szCs w:val="20"/>
              </w:rPr>
              <w:t>Los recursos remanentes de los ejercicios fiscales anteriores, así como su aplicación específica.</w:t>
            </w:r>
          </w:p>
        </w:tc>
        <w:tc>
          <w:tcPr>
            <w:tcW w:w="755" w:type="dxa"/>
            <w:tcBorders>
              <w:top w:val="nil"/>
              <w:left w:val="nil"/>
              <w:bottom w:val="single" w:sz="4" w:space="0" w:color="auto"/>
              <w:right w:val="single" w:sz="4" w:space="0" w:color="auto"/>
            </w:tcBorders>
            <w:shd w:val="clear" w:color="auto" w:fill="auto"/>
            <w:vAlign w:val="center"/>
            <w:hideMark/>
          </w:tcPr>
          <w:p w14:paraId="51A14C49" w14:textId="77777777" w:rsidR="002B18F9" w:rsidRPr="00B92499" w:rsidRDefault="002B18F9" w:rsidP="002B18F9">
            <w:pPr>
              <w:jc w:val="center"/>
              <w:rPr>
                <w:rFonts w:ascii="Arial" w:hAnsi="Arial" w:cs="Arial"/>
                <w:color w:val="000000"/>
                <w:sz w:val="20"/>
                <w:szCs w:val="20"/>
              </w:rPr>
            </w:pPr>
            <w:r w:rsidRPr="00B92499">
              <w:rPr>
                <w:rFonts w:ascii="Arial" w:hAnsi="Arial" w:cs="Arial"/>
                <w:color w:val="000000"/>
                <w:sz w:val="20"/>
                <w:szCs w:val="20"/>
              </w:rPr>
              <w:t xml:space="preserve">               57.14 </w:t>
            </w:r>
          </w:p>
        </w:tc>
      </w:tr>
      <w:tr w:rsidR="002B18F9" w:rsidRPr="00B92499" w14:paraId="48633493" w14:textId="77777777" w:rsidTr="002B18F9">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A0BB9A5" w14:textId="77777777" w:rsidR="002B18F9" w:rsidRPr="00B92499" w:rsidRDefault="002B18F9" w:rsidP="002B18F9">
            <w:pPr>
              <w:jc w:val="center"/>
              <w:rPr>
                <w:rFonts w:ascii="Arial" w:hAnsi="Arial" w:cs="Arial"/>
                <w:color w:val="000000"/>
                <w:sz w:val="20"/>
                <w:szCs w:val="20"/>
              </w:rPr>
            </w:pPr>
            <w:r w:rsidRPr="00B92499">
              <w:rPr>
                <w:rFonts w:ascii="Arial" w:hAnsi="Arial" w:cs="Arial"/>
                <w:color w:val="000000"/>
                <w:sz w:val="20"/>
                <w:szCs w:val="20"/>
              </w:rPr>
              <w:t>XIII</w:t>
            </w:r>
          </w:p>
        </w:tc>
        <w:tc>
          <w:tcPr>
            <w:tcW w:w="0" w:type="auto"/>
            <w:tcBorders>
              <w:top w:val="nil"/>
              <w:left w:val="nil"/>
              <w:bottom w:val="single" w:sz="4" w:space="0" w:color="auto"/>
              <w:right w:val="single" w:sz="4" w:space="0" w:color="auto"/>
            </w:tcBorders>
            <w:shd w:val="clear" w:color="auto" w:fill="auto"/>
            <w:vAlign w:val="center"/>
            <w:hideMark/>
          </w:tcPr>
          <w:p w14:paraId="0EDDE51B" w14:textId="77777777" w:rsidR="002B18F9" w:rsidRPr="00B92499" w:rsidRDefault="002B18F9" w:rsidP="002B18F9">
            <w:pPr>
              <w:jc w:val="both"/>
              <w:rPr>
                <w:rFonts w:ascii="Arial" w:hAnsi="Arial" w:cs="Arial"/>
                <w:color w:val="000000"/>
                <w:sz w:val="20"/>
                <w:szCs w:val="20"/>
              </w:rPr>
            </w:pPr>
            <w:r w:rsidRPr="00B92499">
              <w:rPr>
                <w:rFonts w:ascii="Arial" w:hAnsi="Arial" w:cs="Arial"/>
                <w:color w:val="000000"/>
                <w:sz w:val="20"/>
                <w:szCs w:val="20"/>
              </w:rPr>
              <w:t>Los convenios de coordinación con la Federación, Entidades Federativas y Municipios, y de concertación con los sectores social y privado.</w:t>
            </w:r>
          </w:p>
        </w:tc>
        <w:tc>
          <w:tcPr>
            <w:tcW w:w="755" w:type="dxa"/>
            <w:tcBorders>
              <w:top w:val="nil"/>
              <w:left w:val="nil"/>
              <w:bottom w:val="single" w:sz="4" w:space="0" w:color="auto"/>
              <w:right w:val="single" w:sz="4" w:space="0" w:color="auto"/>
            </w:tcBorders>
            <w:shd w:val="clear" w:color="auto" w:fill="auto"/>
            <w:vAlign w:val="center"/>
            <w:hideMark/>
          </w:tcPr>
          <w:p w14:paraId="71AB0171" w14:textId="77777777" w:rsidR="002B18F9" w:rsidRPr="00B92499" w:rsidRDefault="002B18F9" w:rsidP="002B18F9">
            <w:pPr>
              <w:jc w:val="center"/>
              <w:rPr>
                <w:rFonts w:ascii="Arial" w:hAnsi="Arial" w:cs="Arial"/>
                <w:color w:val="000000"/>
                <w:sz w:val="20"/>
                <w:szCs w:val="20"/>
              </w:rPr>
            </w:pPr>
            <w:r w:rsidRPr="00B92499">
              <w:rPr>
                <w:rFonts w:ascii="Arial" w:hAnsi="Arial" w:cs="Arial"/>
                <w:color w:val="000000"/>
                <w:sz w:val="20"/>
                <w:szCs w:val="20"/>
              </w:rPr>
              <w:t xml:space="preserve">               46.43 </w:t>
            </w:r>
          </w:p>
        </w:tc>
      </w:tr>
    </w:tbl>
    <w:p w14:paraId="20E4D43B" w14:textId="77777777" w:rsidR="002B18F9" w:rsidRPr="00B92499" w:rsidRDefault="002B18F9" w:rsidP="002B18F9">
      <w:pPr>
        <w:spacing w:before="100" w:beforeAutospacing="1" w:after="100" w:afterAutospacing="1" w:line="360" w:lineRule="auto"/>
        <w:jc w:val="both"/>
        <w:rPr>
          <w:rFonts w:ascii="Arial" w:hAnsi="Arial" w:cs="Arial"/>
        </w:rPr>
      </w:pPr>
    </w:p>
    <w:p w14:paraId="05AE9356" w14:textId="44DA61BD" w:rsidR="002B18F9" w:rsidRPr="00B92499" w:rsidRDefault="002B18F9" w:rsidP="009F64B5">
      <w:pPr>
        <w:pStyle w:val="Ttulo3"/>
        <w:numPr>
          <w:ilvl w:val="2"/>
          <w:numId w:val="8"/>
        </w:numPr>
        <w:contextualSpacing/>
        <w:rPr>
          <w:rFonts w:ascii="Arial" w:hAnsi="Arial" w:cs="Arial"/>
          <w:b/>
          <w:color w:val="auto"/>
        </w:rPr>
      </w:pPr>
      <w:bookmarkStart w:id="25" w:name="_Toc23252981"/>
      <w:r w:rsidRPr="00B92499">
        <w:rPr>
          <w:rFonts w:ascii="Arial" w:hAnsi="Arial" w:cs="Arial"/>
          <w:b/>
          <w:color w:val="auto"/>
        </w:rPr>
        <w:t xml:space="preserve">Análisis de los </w:t>
      </w:r>
      <w:r w:rsidR="008F67E4" w:rsidRPr="00B92499">
        <w:rPr>
          <w:rFonts w:ascii="Arial" w:hAnsi="Arial" w:cs="Arial"/>
          <w:b/>
          <w:color w:val="auto"/>
        </w:rPr>
        <w:t>artículo</w:t>
      </w:r>
      <w:r w:rsidRPr="00B92499">
        <w:rPr>
          <w:rFonts w:ascii="Arial" w:hAnsi="Arial" w:cs="Arial"/>
          <w:b/>
          <w:color w:val="auto"/>
        </w:rPr>
        <w:t>s 135 y 136</w:t>
      </w:r>
      <w:bookmarkEnd w:id="25"/>
    </w:p>
    <w:p w14:paraId="1556EAB0" w14:textId="77777777" w:rsidR="002B18F9" w:rsidRPr="00B92499" w:rsidRDefault="002B18F9" w:rsidP="002B18F9">
      <w:pPr>
        <w:spacing w:line="360" w:lineRule="auto"/>
        <w:contextualSpacing/>
        <w:jc w:val="both"/>
        <w:rPr>
          <w:rFonts w:ascii="Arial" w:hAnsi="Arial" w:cs="Arial"/>
        </w:rPr>
      </w:pPr>
    </w:p>
    <w:p w14:paraId="42762E5D" w14:textId="77777777" w:rsidR="002B18F9" w:rsidRPr="00B92499" w:rsidRDefault="002B18F9" w:rsidP="002B18F9">
      <w:pPr>
        <w:spacing w:line="360" w:lineRule="auto"/>
        <w:contextualSpacing/>
        <w:jc w:val="both"/>
        <w:rPr>
          <w:rFonts w:ascii="Arial" w:hAnsi="Arial" w:cs="Arial"/>
        </w:rPr>
      </w:pPr>
      <w:r w:rsidRPr="00B92499">
        <w:rPr>
          <w:rFonts w:ascii="Arial" w:hAnsi="Arial" w:cs="Arial"/>
        </w:rPr>
        <w:t xml:space="preserve">Los artículos 135 y 136 responden a obligaciones de transparencia que únicamente le son aplicables a los fondos y fideicomisos, en este caso al Fondo Público de Atención al Ciclista y al Peatón. </w:t>
      </w:r>
    </w:p>
    <w:p w14:paraId="4ADD8A1D" w14:textId="77777777" w:rsidR="002B18F9" w:rsidRPr="00B92499" w:rsidRDefault="002B18F9" w:rsidP="002B18F9">
      <w:pPr>
        <w:spacing w:line="360" w:lineRule="auto"/>
        <w:contextualSpacing/>
        <w:jc w:val="both"/>
        <w:rPr>
          <w:rFonts w:ascii="Arial" w:hAnsi="Arial" w:cs="Arial"/>
        </w:rPr>
      </w:pPr>
    </w:p>
    <w:p w14:paraId="30085CB1" w14:textId="77777777" w:rsidR="002B18F9" w:rsidRPr="00B92499" w:rsidRDefault="002B18F9" w:rsidP="002B18F9">
      <w:pPr>
        <w:spacing w:line="360" w:lineRule="auto"/>
        <w:contextualSpacing/>
        <w:jc w:val="both"/>
        <w:rPr>
          <w:rFonts w:ascii="Arial" w:hAnsi="Arial" w:cs="Arial"/>
        </w:rPr>
      </w:pPr>
      <w:r w:rsidRPr="00B92499">
        <w:rPr>
          <w:rFonts w:ascii="Arial" w:hAnsi="Arial" w:cs="Arial"/>
        </w:rPr>
        <w:t xml:space="preserve">El artículo 135 se integra de 13 fracciones y el 136 es solamente un párrafo. Ambos artículos hacen referencia a la información de creación y desarrollo de los fondos y fideicomisos. </w:t>
      </w:r>
    </w:p>
    <w:p w14:paraId="4BD8CA31" w14:textId="77777777" w:rsidR="002B18F9" w:rsidRPr="00B92499" w:rsidRDefault="002B18F9" w:rsidP="002B18F9">
      <w:pPr>
        <w:spacing w:line="360" w:lineRule="auto"/>
        <w:contextualSpacing/>
        <w:jc w:val="both"/>
        <w:rPr>
          <w:rFonts w:ascii="Arial" w:hAnsi="Arial" w:cs="Arial"/>
        </w:rPr>
      </w:pPr>
    </w:p>
    <w:p w14:paraId="56D1961D" w14:textId="77777777" w:rsidR="002B18F9" w:rsidRPr="00B92499" w:rsidRDefault="002B18F9" w:rsidP="002B18F9">
      <w:pPr>
        <w:spacing w:line="360" w:lineRule="auto"/>
        <w:contextualSpacing/>
        <w:jc w:val="both"/>
        <w:rPr>
          <w:rFonts w:ascii="Arial" w:hAnsi="Arial" w:cs="Arial"/>
        </w:rPr>
      </w:pPr>
      <w:r w:rsidRPr="00B92499">
        <w:rPr>
          <w:rFonts w:ascii="Arial" w:hAnsi="Arial" w:cs="Arial"/>
        </w:rPr>
        <w:t xml:space="preserve">El Fondo Público de Atención al Ciclista y al Peatón incumplió totalmente en la publicación y actualización de la información, tanto en la PNT, como en el Portal Institucional. </w:t>
      </w:r>
    </w:p>
    <w:p w14:paraId="4178A7FC" w14:textId="77777777" w:rsidR="002B18F9" w:rsidRPr="00B92499" w:rsidRDefault="002B18F9" w:rsidP="002B18F9">
      <w:pPr>
        <w:spacing w:line="360" w:lineRule="auto"/>
        <w:contextualSpacing/>
        <w:jc w:val="both"/>
        <w:rPr>
          <w:rFonts w:ascii="Arial" w:hAnsi="Arial" w:cs="Arial"/>
        </w:rPr>
      </w:pPr>
    </w:p>
    <w:p w14:paraId="4CD13308" w14:textId="08E45DBD" w:rsidR="002B18F9" w:rsidRPr="00B92499" w:rsidRDefault="002B18F9" w:rsidP="009F64B5">
      <w:pPr>
        <w:pStyle w:val="Ttulo3"/>
        <w:numPr>
          <w:ilvl w:val="2"/>
          <w:numId w:val="8"/>
        </w:numPr>
        <w:contextualSpacing/>
        <w:rPr>
          <w:rFonts w:ascii="Arial" w:hAnsi="Arial" w:cs="Arial"/>
          <w:b/>
          <w:color w:val="auto"/>
        </w:rPr>
      </w:pPr>
      <w:bookmarkStart w:id="26" w:name="_Toc23252982"/>
      <w:r w:rsidRPr="00B92499">
        <w:rPr>
          <w:rFonts w:ascii="Arial" w:hAnsi="Arial" w:cs="Arial"/>
          <w:b/>
          <w:color w:val="auto"/>
        </w:rPr>
        <w:t xml:space="preserve">Análisis del </w:t>
      </w:r>
      <w:r w:rsidR="008F67E4" w:rsidRPr="00B92499">
        <w:rPr>
          <w:rFonts w:ascii="Arial" w:hAnsi="Arial" w:cs="Arial"/>
          <w:b/>
          <w:color w:val="auto"/>
        </w:rPr>
        <w:t>artículo</w:t>
      </w:r>
      <w:r w:rsidRPr="00B92499">
        <w:rPr>
          <w:rFonts w:ascii="Arial" w:hAnsi="Arial" w:cs="Arial"/>
          <w:b/>
          <w:color w:val="auto"/>
        </w:rPr>
        <w:t xml:space="preserve"> 143</w:t>
      </w:r>
      <w:bookmarkEnd w:id="26"/>
      <w:r w:rsidRPr="00B92499">
        <w:rPr>
          <w:rFonts w:ascii="Arial" w:hAnsi="Arial" w:cs="Arial"/>
          <w:b/>
          <w:color w:val="auto"/>
        </w:rPr>
        <w:tab/>
      </w:r>
    </w:p>
    <w:p w14:paraId="109F947F" w14:textId="77777777" w:rsidR="002B18F9" w:rsidRPr="00B92499" w:rsidRDefault="002B18F9" w:rsidP="002B18F9">
      <w:pPr>
        <w:rPr>
          <w:lang w:eastAsia="en-US"/>
        </w:rPr>
      </w:pPr>
    </w:p>
    <w:p w14:paraId="551096C4" w14:textId="783B2871" w:rsidR="002B18F9" w:rsidRPr="00B92499" w:rsidRDefault="002B18F9" w:rsidP="002B18F9">
      <w:pPr>
        <w:spacing w:before="100" w:beforeAutospacing="1" w:after="100" w:afterAutospacing="1" w:line="360" w:lineRule="auto"/>
        <w:contextualSpacing/>
        <w:jc w:val="both"/>
        <w:rPr>
          <w:rFonts w:ascii="Arial" w:hAnsi="Arial" w:cs="Arial"/>
        </w:rPr>
      </w:pPr>
      <w:r w:rsidRPr="00B92499">
        <w:rPr>
          <w:rFonts w:ascii="Arial" w:hAnsi="Arial" w:cs="Arial"/>
        </w:rPr>
        <w:lastRenderedPageBreak/>
        <w:t xml:space="preserve">Los </w:t>
      </w:r>
      <w:r w:rsidR="008710F6" w:rsidRPr="00B92499">
        <w:rPr>
          <w:rFonts w:ascii="Arial" w:hAnsi="Arial" w:cs="Arial"/>
        </w:rPr>
        <w:t>sujeto</w:t>
      </w:r>
      <w:r w:rsidRPr="00B92499">
        <w:rPr>
          <w:rFonts w:ascii="Arial" w:hAnsi="Arial" w:cs="Arial"/>
        </w:rPr>
        <w:t xml:space="preserve">s </w:t>
      </w:r>
      <w:r w:rsidR="008710F6" w:rsidRPr="00B92499">
        <w:rPr>
          <w:rFonts w:ascii="Arial" w:hAnsi="Arial" w:cs="Arial"/>
        </w:rPr>
        <w:t>obligado</w:t>
      </w:r>
      <w:r w:rsidRPr="00B92499">
        <w:rPr>
          <w:rFonts w:ascii="Arial" w:hAnsi="Arial" w:cs="Arial"/>
        </w:rPr>
        <w:t>s de los órganos desconcentrados obtuvieron un ICP de 78.44%, por lo que se encuentran dentro del área de cumplimiento parcial. En la misma línea,</w:t>
      </w:r>
      <w:r w:rsidR="000D67A7" w:rsidRPr="00B92499">
        <w:rPr>
          <w:rFonts w:ascii="Arial" w:hAnsi="Arial" w:cs="Arial"/>
        </w:rPr>
        <w:t xml:space="preserve"> 6</w:t>
      </w:r>
      <w:r w:rsidR="009F734B" w:rsidRPr="00B92499">
        <w:rPr>
          <w:rFonts w:ascii="Arial" w:hAnsi="Arial" w:cs="Arial"/>
        </w:rPr>
        <w:t xml:space="preserve"> </w:t>
      </w:r>
      <w:r w:rsidR="008710F6" w:rsidRPr="00B92499">
        <w:rPr>
          <w:rFonts w:ascii="Arial" w:hAnsi="Arial" w:cs="Arial"/>
        </w:rPr>
        <w:t>sujeto</w:t>
      </w:r>
      <w:r w:rsidRPr="00B92499">
        <w:rPr>
          <w:rFonts w:ascii="Arial" w:hAnsi="Arial" w:cs="Arial"/>
        </w:rPr>
        <w:t xml:space="preserve">s obligados obtuvieron un cumplimiento total, un </w:t>
      </w:r>
      <w:r w:rsidR="008710F6" w:rsidRPr="00B92499">
        <w:rPr>
          <w:rFonts w:ascii="Arial" w:hAnsi="Arial" w:cs="Arial"/>
        </w:rPr>
        <w:t>sujeto</w:t>
      </w:r>
      <w:r w:rsidR="009F734B" w:rsidRPr="00B92499">
        <w:rPr>
          <w:rFonts w:ascii="Arial" w:hAnsi="Arial" w:cs="Arial"/>
        </w:rPr>
        <w:t xml:space="preserve"> con</w:t>
      </w:r>
      <w:r w:rsidRPr="00B92499">
        <w:rPr>
          <w:rFonts w:ascii="Arial" w:hAnsi="Arial" w:cs="Arial"/>
        </w:rPr>
        <w:t xml:space="preserve"> incumplimiento parcial de 27.50% y un </w:t>
      </w:r>
      <w:r w:rsidR="008710F6" w:rsidRPr="00B92499">
        <w:rPr>
          <w:rFonts w:ascii="Arial" w:hAnsi="Arial" w:cs="Arial"/>
        </w:rPr>
        <w:t>sujeto</w:t>
      </w:r>
      <w:r w:rsidR="009F734B" w:rsidRPr="00B92499">
        <w:rPr>
          <w:rFonts w:ascii="Arial" w:hAnsi="Arial" w:cs="Arial"/>
        </w:rPr>
        <w:t xml:space="preserve"> con</w:t>
      </w:r>
      <w:r w:rsidRPr="00B92499">
        <w:rPr>
          <w:rFonts w:ascii="Arial" w:hAnsi="Arial" w:cs="Arial"/>
        </w:rPr>
        <w:t xml:space="preserve"> incumplie</w:t>
      </w:r>
      <w:r w:rsidR="009F734B" w:rsidRPr="00B92499">
        <w:rPr>
          <w:rFonts w:ascii="Arial" w:hAnsi="Arial" w:cs="Arial"/>
        </w:rPr>
        <w:t>nto</w:t>
      </w:r>
      <w:r w:rsidRPr="00B92499">
        <w:rPr>
          <w:rFonts w:ascii="Arial" w:hAnsi="Arial" w:cs="Arial"/>
        </w:rPr>
        <w:t xml:space="preserve"> total. </w:t>
      </w:r>
    </w:p>
    <w:p w14:paraId="7874B3BE" w14:textId="77777777" w:rsidR="002B18F9" w:rsidRPr="00B92499" w:rsidRDefault="002B18F9" w:rsidP="002B18F9">
      <w:pPr>
        <w:spacing w:before="100" w:beforeAutospacing="1" w:after="100" w:afterAutospacing="1" w:line="360" w:lineRule="auto"/>
        <w:contextualSpacing/>
        <w:jc w:val="both"/>
        <w:rPr>
          <w:rFonts w:ascii="Arial" w:hAnsi="Arial" w:cs="Arial"/>
        </w:rPr>
      </w:pPr>
    </w:p>
    <w:p w14:paraId="3020785C" w14:textId="77777777" w:rsidR="002B18F9" w:rsidRPr="00B92499" w:rsidRDefault="002B18F9" w:rsidP="002B18F9">
      <w:pPr>
        <w:spacing w:line="360" w:lineRule="auto"/>
        <w:contextualSpacing/>
        <w:jc w:val="both"/>
        <w:rPr>
          <w:rFonts w:ascii="Arial" w:hAnsi="Arial" w:cs="Arial"/>
        </w:rPr>
      </w:pPr>
      <w:r w:rsidRPr="00B92499">
        <w:rPr>
          <w:rFonts w:ascii="Arial" w:hAnsi="Arial" w:cs="Arial"/>
        </w:rPr>
        <w:t xml:space="preserve">En atención a lo anterior, las áreas de oportunidad consisten en actualizar la información conforme indica la normatividad vigente, y en los casos donde no se genere información, fundar y motivar las razones. </w:t>
      </w:r>
    </w:p>
    <w:p w14:paraId="68B63078" w14:textId="77777777" w:rsidR="002B18F9" w:rsidRPr="00B92499" w:rsidRDefault="002B18F9" w:rsidP="002B18F9">
      <w:pPr>
        <w:spacing w:line="360" w:lineRule="auto"/>
        <w:contextualSpacing/>
        <w:jc w:val="both"/>
        <w:rPr>
          <w:rFonts w:ascii="Arial" w:hAnsi="Arial" w:cs="Arial"/>
        </w:rPr>
      </w:pPr>
    </w:p>
    <w:p w14:paraId="306E5DA3" w14:textId="3BECD97A" w:rsidR="002B18F9" w:rsidRPr="00B92499" w:rsidRDefault="002B18F9" w:rsidP="009F64B5">
      <w:pPr>
        <w:pStyle w:val="Ttulo3"/>
        <w:numPr>
          <w:ilvl w:val="2"/>
          <w:numId w:val="8"/>
        </w:numPr>
        <w:contextualSpacing/>
        <w:rPr>
          <w:rFonts w:ascii="Arial" w:hAnsi="Arial" w:cs="Arial"/>
          <w:b/>
          <w:color w:val="auto"/>
        </w:rPr>
      </w:pPr>
      <w:bookmarkStart w:id="27" w:name="_Toc23252983"/>
      <w:r w:rsidRPr="00B92499">
        <w:rPr>
          <w:rFonts w:ascii="Arial" w:hAnsi="Arial" w:cs="Arial"/>
          <w:b/>
          <w:color w:val="auto"/>
        </w:rPr>
        <w:t xml:space="preserve">Análisis del </w:t>
      </w:r>
      <w:r w:rsidR="008F67E4" w:rsidRPr="00B92499">
        <w:rPr>
          <w:rFonts w:ascii="Arial" w:hAnsi="Arial" w:cs="Arial"/>
          <w:b/>
          <w:color w:val="auto"/>
        </w:rPr>
        <w:t>artículo</w:t>
      </w:r>
      <w:r w:rsidRPr="00B92499">
        <w:rPr>
          <w:rFonts w:ascii="Arial" w:hAnsi="Arial" w:cs="Arial"/>
          <w:b/>
          <w:color w:val="auto"/>
        </w:rPr>
        <w:t xml:space="preserve"> 145</w:t>
      </w:r>
      <w:bookmarkEnd w:id="27"/>
    </w:p>
    <w:p w14:paraId="150AFB3A" w14:textId="77777777" w:rsidR="002B18F9" w:rsidRPr="00B92499" w:rsidRDefault="002B18F9" w:rsidP="002B18F9">
      <w:pPr>
        <w:rPr>
          <w:rFonts w:ascii="Arial" w:hAnsi="Arial" w:cs="Arial"/>
        </w:rPr>
      </w:pPr>
    </w:p>
    <w:p w14:paraId="61549EB5" w14:textId="27C65C39" w:rsidR="002B18F9" w:rsidRPr="00B92499" w:rsidRDefault="002B18F9" w:rsidP="002B18F9">
      <w:pPr>
        <w:spacing w:before="100" w:beforeAutospacing="1" w:after="100" w:afterAutospacing="1" w:line="360" w:lineRule="auto"/>
        <w:contextualSpacing/>
        <w:jc w:val="both"/>
        <w:rPr>
          <w:rFonts w:ascii="Arial" w:hAnsi="Arial" w:cs="Arial"/>
        </w:rPr>
      </w:pPr>
      <w:r w:rsidRPr="00B92499">
        <w:rPr>
          <w:rFonts w:ascii="Arial" w:hAnsi="Arial" w:cs="Arial"/>
        </w:rPr>
        <w:t xml:space="preserve">Los </w:t>
      </w:r>
      <w:r w:rsidR="008710F6" w:rsidRPr="00B92499">
        <w:rPr>
          <w:rFonts w:ascii="Arial" w:hAnsi="Arial" w:cs="Arial"/>
        </w:rPr>
        <w:t>sujeto</w:t>
      </w:r>
      <w:r w:rsidRPr="00B92499">
        <w:rPr>
          <w:rFonts w:ascii="Arial" w:hAnsi="Arial" w:cs="Arial"/>
        </w:rPr>
        <w:t xml:space="preserve">s </w:t>
      </w:r>
      <w:r w:rsidR="008710F6" w:rsidRPr="00B92499">
        <w:rPr>
          <w:rFonts w:ascii="Arial" w:hAnsi="Arial" w:cs="Arial"/>
        </w:rPr>
        <w:t>obligado</w:t>
      </w:r>
      <w:r w:rsidRPr="00B92499">
        <w:rPr>
          <w:rFonts w:ascii="Arial" w:hAnsi="Arial" w:cs="Arial"/>
        </w:rPr>
        <w:t>s de los órganos desconcentrados obtuvieron un ICP de 98.44%, por lo que se encuentran dentro del área de cumplimiento parcial. En la misma línea,</w:t>
      </w:r>
      <w:r w:rsidR="000D67A7" w:rsidRPr="00B92499">
        <w:rPr>
          <w:rFonts w:ascii="Arial" w:hAnsi="Arial" w:cs="Arial"/>
        </w:rPr>
        <w:t xml:space="preserve"> 7 </w:t>
      </w:r>
      <w:r w:rsidRPr="00B92499">
        <w:rPr>
          <w:rFonts w:ascii="Arial" w:hAnsi="Arial" w:cs="Arial"/>
        </w:rPr>
        <w:t xml:space="preserve"> </w:t>
      </w:r>
      <w:r w:rsidR="008710F6" w:rsidRPr="00B92499">
        <w:rPr>
          <w:rFonts w:ascii="Arial" w:hAnsi="Arial" w:cs="Arial"/>
        </w:rPr>
        <w:t>sujeto</w:t>
      </w:r>
      <w:r w:rsidRPr="00B92499">
        <w:rPr>
          <w:rFonts w:ascii="Arial" w:hAnsi="Arial" w:cs="Arial"/>
        </w:rPr>
        <w:t xml:space="preserve">s obligados obtuvieron un cumplimiento total y un </w:t>
      </w:r>
      <w:r w:rsidR="008710F6" w:rsidRPr="00B92499">
        <w:rPr>
          <w:rFonts w:ascii="Arial" w:hAnsi="Arial" w:cs="Arial"/>
        </w:rPr>
        <w:t>sujeto</w:t>
      </w:r>
      <w:r w:rsidRPr="00B92499">
        <w:rPr>
          <w:rFonts w:ascii="Arial" w:hAnsi="Arial" w:cs="Arial"/>
        </w:rPr>
        <w:t xml:space="preserve"> con un cumplimiento parcial de 87.5%.</w:t>
      </w:r>
    </w:p>
    <w:p w14:paraId="06598044" w14:textId="38ED2F04" w:rsidR="002B18F9" w:rsidRPr="00B92499" w:rsidRDefault="002B18F9" w:rsidP="002B18F9">
      <w:pPr>
        <w:spacing w:before="100" w:beforeAutospacing="1" w:after="100" w:afterAutospacing="1" w:line="360" w:lineRule="auto"/>
        <w:contextualSpacing/>
        <w:jc w:val="both"/>
        <w:rPr>
          <w:rFonts w:ascii="Arial" w:hAnsi="Arial" w:cs="Arial"/>
        </w:rPr>
      </w:pPr>
      <w:r w:rsidRPr="00B92499">
        <w:rPr>
          <w:rFonts w:ascii="Arial" w:hAnsi="Arial" w:cs="Arial"/>
        </w:rPr>
        <w:t xml:space="preserve">En atención a lo anterior, la ventana de oportunidad consiste en que el </w:t>
      </w:r>
      <w:r w:rsidR="008710F6" w:rsidRPr="00B92499">
        <w:rPr>
          <w:rFonts w:ascii="Arial" w:hAnsi="Arial" w:cs="Arial"/>
        </w:rPr>
        <w:t>sujeto obligado</w:t>
      </w:r>
      <w:r w:rsidRPr="00B92499">
        <w:rPr>
          <w:rFonts w:ascii="Arial" w:hAnsi="Arial" w:cs="Arial"/>
        </w:rPr>
        <w:t xml:space="preserve"> cree un acceso fácilmente identificable que permita a la ciudadanía ingresar a la información relativa a las obligaciones de transparencia y demás normatividad aplicable en la materia. </w:t>
      </w:r>
    </w:p>
    <w:p w14:paraId="329A6381" w14:textId="085FF18B" w:rsidR="002B18F9" w:rsidRPr="00B92499" w:rsidRDefault="002B18F9" w:rsidP="009F64B5">
      <w:pPr>
        <w:pStyle w:val="Ttulo3"/>
        <w:numPr>
          <w:ilvl w:val="2"/>
          <w:numId w:val="8"/>
        </w:numPr>
        <w:contextualSpacing/>
        <w:rPr>
          <w:rFonts w:ascii="Arial" w:hAnsi="Arial" w:cs="Arial"/>
          <w:b/>
          <w:color w:val="auto"/>
        </w:rPr>
      </w:pPr>
      <w:bookmarkStart w:id="28" w:name="_Toc23252984"/>
      <w:r w:rsidRPr="00B92499">
        <w:rPr>
          <w:rFonts w:ascii="Arial" w:hAnsi="Arial" w:cs="Arial"/>
          <w:b/>
          <w:color w:val="auto"/>
        </w:rPr>
        <w:t xml:space="preserve">Análisis del </w:t>
      </w:r>
      <w:r w:rsidR="008F67E4" w:rsidRPr="00B92499">
        <w:rPr>
          <w:rFonts w:ascii="Arial" w:hAnsi="Arial" w:cs="Arial"/>
          <w:b/>
          <w:color w:val="auto"/>
        </w:rPr>
        <w:t>artículo</w:t>
      </w:r>
      <w:r w:rsidRPr="00B92499">
        <w:rPr>
          <w:rFonts w:ascii="Arial" w:hAnsi="Arial" w:cs="Arial"/>
          <w:b/>
          <w:color w:val="auto"/>
        </w:rPr>
        <w:t xml:space="preserve"> 146</w:t>
      </w:r>
      <w:bookmarkEnd w:id="28"/>
    </w:p>
    <w:p w14:paraId="67E82B8B" w14:textId="77777777" w:rsidR="002B18F9" w:rsidRPr="00B92499" w:rsidRDefault="002B18F9" w:rsidP="002B18F9">
      <w:pPr>
        <w:rPr>
          <w:rFonts w:ascii="Arial" w:hAnsi="Arial" w:cs="Arial"/>
        </w:rPr>
      </w:pPr>
    </w:p>
    <w:p w14:paraId="50DB71F9" w14:textId="03F7DBE9" w:rsidR="002B18F9" w:rsidRPr="00B92499" w:rsidRDefault="002B18F9" w:rsidP="002B18F9">
      <w:pPr>
        <w:spacing w:before="100" w:beforeAutospacing="1" w:after="100" w:afterAutospacing="1" w:line="360" w:lineRule="auto"/>
        <w:contextualSpacing/>
        <w:jc w:val="both"/>
        <w:rPr>
          <w:rFonts w:ascii="Arial" w:hAnsi="Arial" w:cs="Arial"/>
        </w:rPr>
      </w:pPr>
      <w:r w:rsidRPr="00B92499">
        <w:rPr>
          <w:rFonts w:ascii="Arial" w:hAnsi="Arial" w:cs="Arial"/>
        </w:rPr>
        <w:t xml:space="preserve">Los </w:t>
      </w:r>
      <w:r w:rsidR="008710F6" w:rsidRPr="00B92499">
        <w:rPr>
          <w:rFonts w:ascii="Arial" w:hAnsi="Arial" w:cs="Arial"/>
        </w:rPr>
        <w:t>sujeto</w:t>
      </w:r>
      <w:r w:rsidRPr="00B92499">
        <w:rPr>
          <w:rFonts w:ascii="Arial" w:hAnsi="Arial" w:cs="Arial"/>
        </w:rPr>
        <w:t xml:space="preserve">s </w:t>
      </w:r>
      <w:r w:rsidR="008710F6" w:rsidRPr="00B92499">
        <w:rPr>
          <w:rFonts w:ascii="Arial" w:hAnsi="Arial" w:cs="Arial"/>
        </w:rPr>
        <w:t>obligado</w:t>
      </w:r>
      <w:r w:rsidRPr="00B92499">
        <w:rPr>
          <w:rFonts w:ascii="Arial" w:hAnsi="Arial" w:cs="Arial"/>
        </w:rPr>
        <w:t>s de los órganos desconcentrados obtuvieron un ICP de 68.48%, por lo que se encuentran dentro del área de cumplimiento parcial. En la misma línea,</w:t>
      </w:r>
      <w:r w:rsidR="000D67A7" w:rsidRPr="00B92499">
        <w:rPr>
          <w:rFonts w:ascii="Arial" w:hAnsi="Arial" w:cs="Arial"/>
        </w:rPr>
        <w:t xml:space="preserve"> 3 </w:t>
      </w:r>
      <w:r w:rsidR="008710F6" w:rsidRPr="00B92499">
        <w:rPr>
          <w:rFonts w:ascii="Arial" w:hAnsi="Arial" w:cs="Arial"/>
        </w:rPr>
        <w:t>sujeto</w:t>
      </w:r>
      <w:r w:rsidRPr="00B92499">
        <w:rPr>
          <w:rFonts w:ascii="Arial" w:hAnsi="Arial" w:cs="Arial"/>
        </w:rPr>
        <w:t xml:space="preserve">s obligados obtuvieron un cumplimiento total, </w:t>
      </w:r>
      <w:r w:rsidR="000D67A7" w:rsidRPr="00B92499">
        <w:rPr>
          <w:rFonts w:ascii="Arial" w:hAnsi="Arial" w:cs="Arial"/>
        </w:rPr>
        <w:t>2</w:t>
      </w:r>
      <w:r w:rsidRPr="00B92499">
        <w:rPr>
          <w:rFonts w:ascii="Arial" w:hAnsi="Arial" w:cs="Arial"/>
        </w:rPr>
        <w:t xml:space="preserve"> un cumplimiento parcial de 95.74% y </w:t>
      </w:r>
      <w:r w:rsidR="000D67A7" w:rsidRPr="00B92499">
        <w:rPr>
          <w:rFonts w:ascii="Arial" w:hAnsi="Arial" w:cs="Arial"/>
        </w:rPr>
        <w:t>2</w:t>
      </w:r>
      <w:r w:rsidRPr="00B92499">
        <w:rPr>
          <w:rFonts w:ascii="Arial" w:hAnsi="Arial" w:cs="Arial"/>
        </w:rPr>
        <w:t xml:space="preserve"> incumplimientos parciales entre 33.64% y 50% y uno un incumplimiento total. Al respecto, el área de oportunidad consiste en que los </w:t>
      </w:r>
      <w:r w:rsidR="008710F6" w:rsidRPr="00B92499">
        <w:rPr>
          <w:rFonts w:ascii="Arial" w:hAnsi="Arial" w:cs="Arial"/>
        </w:rPr>
        <w:t>sujeto</w:t>
      </w:r>
      <w:r w:rsidRPr="00B92499">
        <w:rPr>
          <w:rFonts w:ascii="Arial" w:hAnsi="Arial" w:cs="Arial"/>
        </w:rPr>
        <w:t xml:space="preserve">s </w:t>
      </w:r>
      <w:r w:rsidR="008710F6" w:rsidRPr="00B92499">
        <w:rPr>
          <w:rFonts w:ascii="Arial" w:hAnsi="Arial" w:cs="Arial"/>
        </w:rPr>
        <w:t>obligado</w:t>
      </w:r>
      <w:r w:rsidRPr="00B92499">
        <w:rPr>
          <w:rFonts w:ascii="Arial" w:hAnsi="Arial" w:cs="Arial"/>
        </w:rPr>
        <w:t xml:space="preserve">s publiquen sus calendarios de actualización de sus obligaciones de transparencia y tengan precaución respecto de las fechas que señalan y atiendan a lo establecido en la Ley de Transparencia y en la Tabla de Conservación de los Lineamientos y Metodología de Evaluación. </w:t>
      </w:r>
    </w:p>
    <w:p w14:paraId="0DB04EAD" w14:textId="77777777" w:rsidR="002B18F9" w:rsidRPr="00B92499" w:rsidRDefault="002B18F9" w:rsidP="002B18F9">
      <w:pPr>
        <w:spacing w:before="100" w:beforeAutospacing="1" w:after="100" w:afterAutospacing="1" w:line="360" w:lineRule="auto"/>
        <w:contextualSpacing/>
        <w:jc w:val="both"/>
        <w:rPr>
          <w:rFonts w:ascii="Arial" w:hAnsi="Arial" w:cs="Arial"/>
        </w:rPr>
      </w:pPr>
    </w:p>
    <w:p w14:paraId="3FC707EF" w14:textId="63C21B44" w:rsidR="002B18F9" w:rsidRPr="00B92499" w:rsidRDefault="002B18F9" w:rsidP="009F64B5">
      <w:pPr>
        <w:pStyle w:val="Ttulo3"/>
        <w:numPr>
          <w:ilvl w:val="2"/>
          <w:numId w:val="8"/>
        </w:numPr>
        <w:contextualSpacing/>
        <w:rPr>
          <w:rFonts w:ascii="Arial" w:hAnsi="Arial" w:cs="Arial"/>
          <w:b/>
          <w:color w:val="auto"/>
        </w:rPr>
      </w:pPr>
      <w:bookmarkStart w:id="29" w:name="_Toc23252985"/>
      <w:r w:rsidRPr="00B92499">
        <w:rPr>
          <w:rFonts w:ascii="Arial" w:hAnsi="Arial" w:cs="Arial"/>
          <w:b/>
          <w:color w:val="auto"/>
        </w:rPr>
        <w:lastRenderedPageBreak/>
        <w:t xml:space="preserve">Análisis del </w:t>
      </w:r>
      <w:r w:rsidR="008F67E4" w:rsidRPr="00B92499">
        <w:rPr>
          <w:rFonts w:ascii="Arial" w:hAnsi="Arial" w:cs="Arial"/>
          <w:b/>
          <w:color w:val="auto"/>
        </w:rPr>
        <w:t>artículo</w:t>
      </w:r>
      <w:r w:rsidRPr="00B92499">
        <w:rPr>
          <w:rFonts w:ascii="Arial" w:hAnsi="Arial" w:cs="Arial"/>
          <w:b/>
          <w:color w:val="auto"/>
        </w:rPr>
        <w:t xml:space="preserve"> 147</w:t>
      </w:r>
      <w:bookmarkEnd w:id="29"/>
      <w:r w:rsidRPr="00B92499">
        <w:rPr>
          <w:rFonts w:ascii="Arial" w:hAnsi="Arial" w:cs="Arial"/>
          <w:b/>
          <w:color w:val="auto"/>
        </w:rPr>
        <w:t xml:space="preserve"> </w:t>
      </w:r>
    </w:p>
    <w:p w14:paraId="5188216F" w14:textId="77777777" w:rsidR="002B18F9" w:rsidRPr="00B92499" w:rsidRDefault="002B18F9" w:rsidP="002B18F9">
      <w:pPr>
        <w:rPr>
          <w:rFonts w:ascii="Arial" w:hAnsi="Arial" w:cs="Arial"/>
        </w:rPr>
      </w:pPr>
    </w:p>
    <w:p w14:paraId="6E776F58" w14:textId="0272181D" w:rsidR="002B18F9" w:rsidRPr="00B92499" w:rsidRDefault="002B18F9" w:rsidP="002B18F9">
      <w:pPr>
        <w:spacing w:before="100" w:beforeAutospacing="1" w:after="100" w:afterAutospacing="1" w:line="360" w:lineRule="auto"/>
        <w:contextualSpacing/>
        <w:jc w:val="both"/>
        <w:rPr>
          <w:rFonts w:ascii="Arial" w:hAnsi="Arial" w:cs="Arial"/>
        </w:rPr>
      </w:pPr>
      <w:r w:rsidRPr="00B92499">
        <w:rPr>
          <w:rFonts w:ascii="Arial" w:hAnsi="Arial" w:cs="Arial"/>
        </w:rPr>
        <w:t xml:space="preserve">Los </w:t>
      </w:r>
      <w:r w:rsidR="008710F6" w:rsidRPr="00B92499">
        <w:rPr>
          <w:rFonts w:ascii="Arial" w:hAnsi="Arial" w:cs="Arial"/>
        </w:rPr>
        <w:t>sujeto</w:t>
      </w:r>
      <w:r w:rsidRPr="00B92499">
        <w:rPr>
          <w:rFonts w:ascii="Arial" w:hAnsi="Arial" w:cs="Arial"/>
        </w:rPr>
        <w:t xml:space="preserve">s </w:t>
      </w:r>
      <w:r w:rsidR="008710F6" w:rsidRPr="00B92499">
        <w:rPr>
          <w:rFonts w:ascii="Arial" w:hAnsi="Arial" w:cs="Arial"/>
        </w:rPr>
        <w:t>obligado</w:t>
      </w:r>
      <w:r w:rsidRPr="00B92499">
        <w:rPr>
          <w:rFonts w:ascii="Arial" w:hAnsi="Arial" w:cs="Arial"/>
        </w:rPr>
        <w:t>s de los órganos desconcentrados obtuvieron un ICP de 82.50%, por lo que se encuentran dentro del área de cumplimie</w:t>
      </w:r>
      <w:r w:rsidR="000D67A7" w:rsidRPr="00B92499">
        <w:rPr>
          <w:rFonts w:ascii="Arial" w:hAnsi="Arial" w:cs="Arial"/>
        </w:rPr>
        <w:t xml:space="preserve">nto parcial. En la misma línea, 5 </w:t>
      </w:r>
      <w:r w:rsidR="008710F6" w:rsidRPr="00B92499">
        <w:rPr>
          <w:rFonts w:ascii="Arial" w:hAnsi="Arial" w:cs="Arial"/>
        </w:rPr>
        <w:t>sujeto</w:t>
      </w:r>
      <w:r w:rsidRPr="00B92499">
        <w:rPr>
          <w:rFonts w:ascii="Arial" w:hAnsi="Arial" w:cs="Arial"/>
        </w:rPr>
        <w:t xml:space="preserve">s obligados obtuvieron un cumplimiento total, </w:t>
      </w:r>
      <w:r w:rsidR="000D67A7" w:rsidRPr="00B92499">
        <w:rPr>
          <w:rFonts w:ascii="Arial" w:hAnsi="Arial" w:cs="Arial"/>
        </w:rPr>
        <w:t>2</w:t>
      </w:r>
      <w:r w:rsidRPr="00B92499">
        <w:rPr>
          <w:rFonts w:ascii="Arial" w:hAnsi="Arial" w:cs="Arial"/>
        </w:rPr>
        <w:t xml:space="preserve"> un cumplimiento parcial de 77.50% y uno un incumplimiento total. Las áreas de oportunidad de este artículo consisten en que los </w:t>
      </w:r>
      <w:r w:rsidR="008710F6" w:rsidRPr="00B92499">
        <w:rPr>
          <w:rFonts w:ascii="Arial" w:hAnsi="Arial" w:cs="Arial"/>
        </w:rPr>
        <w:t>sujeto</w:t>
      </w:r>
      <w:r w:rsidRPr="00B92499">
        <w:rPr>
          <w:rFonts w:ascii="Arial" w:hAnsi="Arial" w:cs="Arial"/>
        </w:rPr>
        <w:t xml:space="preserve">s deberán actualizar la información conforme indica la normatividad vigente, así como verificar el acceso de los hipervínculos. </w:t>
      </w:r>
    </w:p>
    <w:p w14:paraId="65BA7397" w14:textId="3D30386F" w:rsidR="0054779C" w:rsidRPr="00B92499" w:rsidRDefault="0054779C" w:rsidP="002E7D47">
      <w:pPr>
        <w:rPr>
          <w:rFonts w:ascii="Arial" w:hAnsi="Arial" w:cs="Arial"/>
        </w:rPr>
      </w:pPr>
      <w:r w:rsidRPr="00B92499">
        <w:rPr>
          <w:rFonts w:ascii="Arial" w:hAnsi="Arial" w:cs="Arial"/>
        </w:rPr>
        <w:br w:type="page"/>
      </w:r>
    </w:p>
    <w:p w14:paraId="3CF15E05" w14:textId="77777777" w:rsidR="00940CBA" w:rsidRPr="00B92499" w:rsidRDefault="00D2376D" w:rsidP="009F64B5">
      <w:pPr>
        <w:pStyle w:val="Ttulo2"/>
        <w:numPr>
          <w:ilvl w:val="1"/>
          <w:numId w:val="9"/>
        </w:numPr>
        <w:contextualSpacing/>
        <w:rPr>
          <w:rFonts w:ascii="Arial" w:hAnsi="Arial" w:cs="Arial"/>
          <w:b/>
          <w:color w:val="auto"/>
          <w:sz w:val="24"/>
          <w:szCs w:val="24"/>
        </w:rPr>
      </w:pPr>
      <w:bookmarkStart w:id="30" w:name="_Toc23252986"/>
      <w:bookmarkEnd w:id="20"/>
      <w:bookmarkEnd w:id="21"/>
      <w:r w:rsidRPr="00B92499">
        <w:rPr>
          <w:rFonts w:ascii="Arial" w:hAnsi="Arial" w:cs="Arial"/>
          <w:b/>
          <w:color w:val="auto"/>
          <w:sz w:val="24"/>
          <w:szCs w:val="24"/>
        </w:rPr>
        <w:lastRenderedPageBreak/>
        <w:t>DEMARCACIONES POLÍTICAS DE LA CIUDAD DE MÉXICO</w:t>
      </w:r>
      <w:bookmarkEnd w:id="30"/>
    </w:p>
    <w:p w14:paraId="12B0AA74" w14:textId="68BD8A85" w:rsidR="00940CBA" w:rsidRPr="00B92499" w:rsidRDefault="00940CBA" w:rsidP="002E7D47">
      <w:pPr>
        <w:spacing w:before="100" w:beforeAutospacing="1" w:after="100" w:afterAutospacing="1" w:line="360" w:lineRule="auto"/>
        <w:contextualSpacing/>
        <w:jc w:val="both"/>
        <w:rPr>
          <w:rFonts w:ascii="Arial" w:hAnsi="Arial" w:cs="Arial"/>
        </w:rPr>
      </w:pPr>
      <w:r w:rsidRPr="00B92499">
        <w:rPr>
          <w:rFonts w:ascii="Arial" w:hAnsi="Arial" w:cs="Arial"/>
        </w:rPr>
        <w:t xml:space="preserve">El ámbito del Poder Ejecutivo en lo que corresponde </w:t>
      </w:r>
      <w:r w:rsidR="005D21D2" w:rsidRPr="00B92499">
        <w:rPr>
          <w:rFonts w:ascii="Arial" w:hAnsi="Arial" w:cs="Arial"/>
        </w:rPr>
        <w:t>a las</w:t>
      </w:r>
      <w:r w:rsidRPr="00B92499">
        <w:rPr>
          <w:rFonts w:ascii="Arial" w:hAnsi="Arial" w:cs="Arial"/>
        </w:rPr>
        <w:t xml:space="preserve"> 16 demarcaciones políticas, de conformidad con el Padrón de </w:t>
      </w:r>
      <w:r w:rsidR="008710F6" w:rsidRPr="00B92499">
        <w:rPr>
          <w:rFonts w:ascii="Arial" w:hAnsi="Arial" w:cs="Arial"/>
        </w:rPr>
        <w:t>sujeto</w:t>
      </w:r>
      <w:r w:rsidR="00EB5F64" w:rsidRPr="00B92499">
        <w:rPr>
          <w:rFonts w:ascii="Arial" w:hAnsi="Arial" w:cs="Arial"/>
        </w:rPr>
        <w:t xml:space="preserve">s </w:t>
      </w:r>
      <w:r w:rsidR="008710F6" w:rsidRPr="00B92499">
        <w:rPr>
          <w:rFonts w:ascii="Arial" w:hAnsi="Arial" w:cs="Arial"/>
        </w:rPr>
        <w:t>obligado</w:t>
      </w:r>
      <w:r w:rsidR="00EB5F64" w:rsidRPr="00B92499">
        <w:rPr>
          <w:rFonts w:ascii="Arial" w:hAnsi="Arial" w:cs="Arial"/>
        </w:rPr>
        <w:t>s</w:t>
      </w:r>
      <w:r w:rsidRPr="00B92499">
        <w:rPr>
          <w:rFonts w:ascii="Arial" w:hAnsi="Arial" w:cs="Arial"/>
        </w:rPr>
        <w:t xml:space="preserve"> supeditados al cumplimiento de la Ley de Transparencia, Acceso a la Información Pública y Rendición de Cuentas de la Ciudad de México</w:t>
      </w:r>
      <w:r w:rsidRPr="00B92499" w:rsidDel="005B5D1B">
        <w:rPr>
          <w:rFonts w:ascii="Arial" w:hAnsi="Arial" w:cs="Arial"/>
        </w:rPr>
        <w:t xml:space="preserve"> </w:t>
      </w:r>
      <w:r w:rsidRPr="00B92499">
        <w:rPr>
          <w:rFonts w:ascii="Arial" w:hAnsi="Arial" w:cs="Arial"/>
        </w:rPr>
        <w:t xml:space="preserve">y de la Ley de Protección de Datos Personales en Posesión de los </w:t>
      </w:r>
      <w:r w:rsidR="008710F6" w:rsidRPr="00B92499">
        <w:rPr>
          <w:rFonts w:ascii="Arial" w:hAnsi="Arial" w:cs="Arial"/>
        </w:rPr>
        <w:t>sujeto</w:t>
      </w:r>
      <w:r w:rsidR="00EB5F64" w:rsidRPr="00B92499">
        <w:rPr>
          <w:rFonts w:ascii="Arial" w:hAnsi="Arial" w:cs="Arial"/>
        </w:rPr>
        <w:t xml:space="preserve">s </w:t>
      </w:r>
      <w:r w:rsidR="008710F6" w:rsidRPr="00B92499">
        <w:rPr>
          <w:rFonts w:ascii="Arial" w:hAnsi="Arial" w:cs="Arial"/>
        </w:rPr>
        <w:t>obligado</w:t>
      </w:r>
      <w:r w:rsidR="00EB5F64" w:rsidRPr="00B92499">
        <w:rPr>
          <w:rFonts w:ascii="Arial" w:hAnsi="Arial" w:cs="Arial"/>
        </w:rPr>
        <w:t>s</w:t>
      </w:r>
      <w:r w:rsidRPr="00B92499">
        <w:rPr>
          <w:rFonts w:ascii="Arial" w:hAnsi="Arial" w:cs="Arial"/>
        </w:rPr>
        <w:t xml:space="preserve"> de la Ciudad de México </w:t>
      </w:r>
      <w:r w:rsidR="00074700" w:rsidRPr="00B92499">
        <w:rPr>
          <w:rFonts w:ascii="Arial" w:hAnsi="Arial" w:cs="Arial"/>
        </w:rPr>
        <w:t>vigente.</w:t>
      </w:r>
    </w:p>
    <w:p w14:paraId="1E87E64E" w14:textId="77777777" w:rsidR="00D2376D" w:rsidRPr="00B92499" w:rsidRDefault="00D2376D" w:rsidP="002E7D47">
      <w:pPr>
        <w:spacing w:before="100" w:beforeAutospacing="1" w:after="100" w:afterAutospacing="1" w:line="360" w:lineRule="auto"/>
        <w:contextualSpacing/>
        <w:jc w:val="both"/>
        <w:rPr>
          <w:rFonts w:ascii="Arial" w:hAnsi="Arial" w:cs="Arial"/>
        </w:rPr>
      </w:pPr>
    </w:p>
    <w:p w14:paraId="5E9B00B9" w14:textId="526A4D3C" w:rsidR="0088258D" w:rsidRPr="00B92499" w:rsidRDefault="00940CBA" w:rsidP="006C722A">
      <w:pPr>
        <w:spacing w:before="100" w:beforeAutospacing="1" w:after="100" w:afterAutospacing="1" w:line="360" w:lineRule="auto"/>
        <w:contextualSpacing/>
        <w:jc w:val="both"/>
        <w:rPr>
          <w:rFonts w:ascii="Arial" w:hAnsi="Arial" w:cs="Arial"/>
        </w:rPr>
      </w:pPr>
      <w:r w:rsidRPr="00B92499">
        <w:rPr>
          <w:rFonts w:ascii="Arial" w:hAnsi="Arial" w:cs="Arial"/>
        </w:rPr>
        <w:t xml:space="preserve">Los </w:t>
      </w:r>
      <w:r w:rsidR="008710F6" w:rsidRPr="00B92499">
        <w:rPr>
          <w:rFonts w:ascii="Arial" w:hAnsi="Arial" w:cs="Arial"/>
        </w:rPr>
        <w:t>sujeto</w:t>
      </w:r>
      <w:r w:rsidR="00EB5F64" w:rsidRPr="00B92499">
        <w:rPr>
          <w:rFonts w:ascii="Arial" w:hAnsi="Arial" w:cs="Arial"/>
        </w:rPr>
        <w:t xml:space="preserve">s </w:t>
      </w:r>
      <w:r w:rsidR="008710F6" w:rsidRPr="00B92499">
        <w:rPr>
          <w:rFonts w:ascii="Arial" w:hAnsi="Arial" w:cs="Arial"/>
        </w:rPr>
        <w:t>obligado</w:t>
      </w:r>
      <w:r w:rsidR="00EB5F64" w:rsidRPr="00B92499">
        <w:rPr>
          <w:rFonts w:ascii="Arial" w:hAnsi="Arial" w:cs="Arial"/>
        </w:rPr>
        <w:t>s</w:t>
      </w:r>
      <w:r w:rsidRPr="00B92499">
        <w:rPr>
          <w:rFonts w:ascii="Arial" w:hAnsi="Arial" w:cs="Arial"/>
        </w:rPr>
        <w:t xml:space="preserve">, así como su Índice de Cumplimiento de </w:t>
      </w:r>
      <w:r w:rsidR="008710F6" w:rsidRPr="00B92499">
        <w:rPr>
          <w:rFonts w:ascii="Arial" w:hAnsi="Arial" w:cs="Arial"/>
        </w:rPr>
        <w:t>obligaciones de transparencia</w:t>
      </w:r>
      <w:r w:rsidRPr="00B92499">
        <w:rPr>
          <w:rFonts w:ascii="Arial" w:hAnsi="Arial" w:cs="Arial"/>
        </w:rPr>
        <w:t xml:space="preserve"> del Portal de Internet (</w:t>
      </w:r>
      <w:r w:rsidR="00623A69" w:rsidRPr="00B92499">
        <w:rPr>
          <w:rFonts w:ascii="Arial" w:hAnsi="Arial" w:cs="Arial"/>
        </w:rPr>
        <w:t>ICOT-PT</w:t>
      </w:r>
      <w:r w:rsidRPr="00B92499">
        <w:rPr>
          <w:rFonts w:ascii="Arial" w:hAnsi="Arial" w:cs="Arial"/>
        </w:rPr>
        <w:t xml:space="preserve">), el de la Plataforma Nacional de Transparencia (ICOT-PNT) y el Índice General de Cumplimiento de </w:t>
      </w:r>
      <w:r w:rsidR="008710F6" w:rsidRPr="00B92499">
        <w:rPr>
          <w:rFonts w:ascii="Arial" w:hAnsi="Arial" w:cs="Arial"/>
        </w:rPr>
        <w:t>obligaciones de transparencia</w:t>
      </w:r>
      <w:r w:rsidRPr="00B92499">
        <w:rPr>
          <w:rFonts w:ascii="Arial" w:hAnsi="Arial" w:cs="Arial"/>
        </w:rPr>
        <w:t xml:space="preserve"> (IGOT) se presentan en la siguiente tabla, ordenados de forma descendente, respecto del IGOT: </w:t>
      </w:r>
    </w:p>
    <w:p w14:paraId="7B77907F" w14:textId="77777777" w:rsidR="00027F6E" w:rsidRPr="00B92499" w:rsidRDefault="00027F6E" w:rsidP="006C722A">
      <w:pPr>
        <w:spacing w:before="100" w:beforeAutospacing="1" w:after="100" w:afterAutospacing="1" w:line="360" w:lineRule="auto"/>
        <w:contextualSpacing/>
        <w:jc w:val="both"/>
        <w:rPr>
          <w:rFonts w:ascii="Arial" w:hAnsi="Arial" w:cs="Arial"/>
        </w:rPr>
      </w:pPr>
    </w:p>
    <w:tbl>
      <w:tblPr>
        <w:tblW w:w="9375" w:type="dxa"/>
        <w:tblLayout w:type="fixed"/>
        <w:tblCellMar>
          <w:left w:w="70" w:type="dxa"/>
          <w:right w:w="70" w:type="dxa"/>
        </w:tblCellMar>
        <w:tblLook w:val="04A0" w:firstRow="1" w:lastRow="0" w:firstColumn="1" w:lastColumn="0" w:noHBand="0" w:noVBand="1"/>
      </w:tblPr>
      <w:tblGrid>
        <w:gridCol w:w="421"/>
        <w:gridCol w:w="1304"/>
        <w:gridCol w:w="850"/>
        <w:gridCol w:w="850"/>
        <w:gridCol w:w="850"/>
        <w:gridCol w:w="850"/>
        <w:gridCol w:w="850"/>
        <w:gridCol w:w="850"/>
        <w:gridCol w:w="850"/>
        <w:gridCol w:w="850"/>
        <w:gridCol w:w="850"/>
      </w:tblGrid>
      <w:tr w:rsidR="00027F6E" w:rsidRPr="00B92499" w14:paraId="5AE0CD03" w14:textId="77777777" w:rsidTr="00535A9F">
        <w:trPr>
          <w:trHeight w:val="217"/>
          <w:tblHeader/>
        </w:trPr>
        <w:tc>
          <w:tcPr>
            <w:tcW w:w="9375" w:type="dxa"/>
            <w:gridSpan w:val="11"/>
            <w:tcBorders>
              <w:top w:val="single" w:sz="4" w:space="0" w:color="auto"/>
              <w:left w:val="single" w:sz="4" w:space="0" w:color="auto"/>
              <w:bottom w:val="single" w:sz="4" w:space="0" w:color="auto"/>
              <w:right w:val="single" w:sz="4" w:space="0" w:color="auto"/>
            </w:tcBorders>
            <w:shd w:val="clear" w:color="auto" w:fill="00B0F0"/>
            <w:noWrap/>
            <w:vAlign w:val="center"/>
          </w:tcPr>
          <w:p w14:paraId="34EF496E" w14:textId="77777777" w:rsidR="00027F6E" w:rsidRPr="00B92499" w:rsidRDefault="00027F6E" w:rsidP="0088258D">
            <w:pPr>
              <w:jc w:val="center"/>
              <w:rPr>
                <w:rFonts w:ascii="Arial" w:hAnsi="Arial" w:cs="Arial"/>
                <w:b/>
                <w:bCs/>
                <w:color w:val="000000"/>
                <w:sz w:val="16"/>
                <w:szCs w:val="16"/>
              </w:rPr>
            </w:pPr>
            <w:r w:rsidRPr="00B92499">
              <w:rPr>
                <w:rFonts w:ascii="Arial" w:hAnsi="Arial" w:cs="Arial"/>
                <w:b/>
                <w:bCs/>
                <w:color w:val="000000"/>
                <w:sz w:val="16"/>
                <w:szCs w:val="16"/>
              </w:rPr>
              <w:t>Resultados de la Segunda Evaluación Vinculante 2019, respecto del primer semestre del año 2019</w:t>
            </w:r>
          </w:p>
        </w:tc>
      </w:tr>
      <w:tr w:rsidR="00535A9F" w:rsidRPr="00B92499" w14:paraId="579D34FB" w14:textId="77777777" w:rsidTr="00535A9F">
        <w:trPr>
          <w:trHeight w:val="217"/>
          <w:tblHeader/>
        </w:trPr>
        <w:tc>
          <w:tcPr>
            <w:tcW w:w="421" w:type="dxa"/>
            <w:tcBorders>
              <w:top w:val="single" w:sz="4" w:space="0" w:color="auto"/>
              <w:left w:val="single" w:sz="4" w:space="0" w:color="auto"/>
              <w:bottom w:val="single" w:sz="4" w:space="0" w:color="auto"/>
              <w:right w:val="single" w:sz="4" w:space="0" w:color="auto"/>
            </w:tcBorders>
            <w:shd w:val="clear" w:color="auto" w:fill="00B0F0"/>
            <w:noWrap/>
            <w:vAlign w:val="center"/>
            <w:hideMark/>
          </w:tcPr>
          <w:p w14:paraId="7D25D3F0" w14:textId="77777777" w:rsidR="0088258D" w:rsidRPr="00B92499" w:rsidRDefault="0088258D" w:rsidP="0088258D">
            <w:pPr>
              <w:jc w:val="center"/>
              <w:rPr>
                <w:rFonts w:ascii="Arial" w:hAnsi="Arial" w:cs="Arial"/>
                <w:b/>
                <w:bCs/>
                <w:color w:val="000000"/>
                <w:sz w:val="16"/>
                <w:szCs w:val="16"/>
              </w:rPr>
            </w:pPr>
            <w:r w:rsidRPr="00B92499">
              <w:rPr>
                <w:rFonts w:ascii="Arial" w:hAnsi="Arial" w:cs="Arial"/>
                <w:b/>
                <w:bCs/>
                <w:color w:val="000000"/>
                <w:sz w:val="16"/>
                <w:szCs w:val="16"/>
              </w:rPr>
              <w:t>No.</w:t>
            </w:r>
          </w:p>
        </w:tc>
        <w:tc>
          <w:tcPr>
            <w:tcW w:w="1304" w:type="dxa"/>
            <w:tcBorders>
              <w:top w:val="single" w:sz="4" w:space="0" w:color="auto"/>
              <w:left w:val="nil"/>
              <w:bottom w:val="single" w:sz="4" w:space="0" w:color="auto"/>
              <w:right w:val="single" w:sz="4" w:space="0" w:color="auto"/>
            </w:tcBorders>
            <w:shd w:val="clear" w:color="auto" w:fill="00B0F0"/>
            <w:vAlign w:val="center"/>
            <w:hideMark/>
          </w:tcPr>
          <w:p w14:paraId="2F4094F3" w14:textId="64F58F13" w:rsidR="0088258D" w:rsidRPr="00B92499" w:rsidRDefault="0088258D" w:rsidP="0088258D">
            <w:pPr>
              <w:jc w:val="center"/>
              <w:rPr>
                <w:rFonts w:ascii="Arial" w:hAnsi="Arial" w:cs="Arial"/>
                <w:b/>
                <w:bCs/>
                <w:color w:val="000000"/>
                <w:sz w:val="16"/>
                <w:szCs w:val="16"/>
              </w:rPr>
            </w:pPr>
            <w:r w:rsidRPr="00B92499">
              <w:rPr>
                <w:rFonts w:ascii="Arial" w:hAnsi="Arial" w:cs="Arial"/>
                <w:b/>
                <w:bCs/>
                <w:color w:val="000000"/>
                <w:sz w:val="16"/>
                <w:szCs w:val="16"/>
              </w:rPr>
              <w:t xml:space="preserve">Denominación del </w:t>
            </w:r>
            <w:r w:rsidR="008710F6" w:rsidRPr="00B92499">
              <w:rPr>
                <w:rFonts w:ascii="Arial" w:hAnsi="Arial" w:cs="Arial"/>
                <w:b/>
                <w:bCs/>
                <w:color w:val="000000"/>
                <w:sz w:val="16"/>
                <w:szCs w:val="16"/>
              </w:rPr>
              <w:t>sujeto obligado</w:t>
            </w:r>
          </w:p>
        </w:tc>
        <w:tc>
          <w:tcPr>
            <w:tcW w:w="850" w:type="dxa"/>
            <w:tcBorders>
              <w:top w:val="single" w:sz="4" w:space="0" w:color="auto"/>
              <w:left w:val="nil"/>
              <w:bottom w:val="single" w:sz="4" w:space="0" w:color="auto"/>
              <w:right w:val="single" w:sz="4" w:space="0" w:color="auto"/>
            </w:tcBorders>
            <w:shd w:val="clear" w:color="auto" w:fill="00B0F0"/>
            <w:vAlign w:val="center"/>
            <w:hideMark/>
          </w:tcPr>
          <w:p w14:paraId="5B9F045E" w14:textId="77777777" w:rsidR="0088258D" w:rsidRPr="00B92499" w:rsidRDefault="0088258D" w:rsidP="0088258D">
            <w:pPr>
              <w:jc w:val="center"/>
              <w:rPr>
                <w:rFonts w:ascii="Arial" w:hAnsi="Arial" w:cs="Arial"/>
                <w:b/>
                <w:bCs/>
                <w:color w:val="000000"/>
                <w:sz w:val="16"/>
                <w:szCs w:val="16"/>
              </w:rPr>
            </w:pPr>
            <w:r w:rsidRPr="00B92499">
              <w:rPr>
                <w:rFonts w:ascii="Arial" w:hAnsi="Arial" w:cs="Arial"/>
                <w:b/>
                <w:bCs/>
                <w:color w:val="000000"/>
                <w:sz w:val="16"/>
                <w:szCs w:val="16"/>
              </w:rPr>
              <w:t>%Inf</w:t>
            </w:r>
            <w:r w:rsidR="00027F6E" w:rsidRPr="00B92499">
              <w:rPr>
                <w:rFonts w:ascii="Arial" w:hAnsi="Arial" w:cs="Arial"/>
                <w:b/>
                <w:bCs/>
                <w:color w:val="000000"/>
                <w:sz w:val="16"/>
                <w:szCs w:val="16"/>
              </w:rPr>
              <w:t xml:space="preserve"> </w:t>
            </w:r>
            <w:r w:rsidRPr="00B92499">
              <w:rPr>
                <w:rFonts w:ascii="Arial" w:hAnsi="Arial" w:cs="Arial"/>
                <w:b/>
                <w:bCs/>
                <w:color w:val="000000"/>
                <w:sz w:val="16"/>
                <w:szCs w:val="16"/>
              </w:rPr>
              <w:t>PT</w:t>
            </w:r>
          </w:p>
        </w:tc>
        <w:tc>
          <w:tcPr>
            <w:tcW w:w="850" w:type="dxa"/>
            <w:tcBorders>
              <w:top w:val="single" w:sz="4" w:space="0" w:color="auto"/>
              <w:left w:val="nil"/>
              <w:bottom w:val="single" w:sz="4" w:space="0" w:color="auto"/>
              <w:right w:val="single" w:sz="4" w:space="0" w:color="auto"/>
            </w:tcBorders>
            <w:shd w:val="clear" w:color="auto" w:fill="00B0F0"/>
            <w:vAlign w:val="center"/>
            <w:hideMark/>
          </w:tcPr>
          <w:p w14:paraId="7E777F08" w14:textId="77777777" w:rsidR="0088258D" w:rsidRPr="00B92499" w:rsidRDefault="0088258D" w:rsidP="0088258D">
            <w:pPr>
              <w:jc w:val="center"/>
              <w:rPr>
                <w:rFonts w:ascii="Arial" w:hAnsi="Arial" w:cs="Arial"/>
                <w:b/>
                <w:bCs/>
                <w:color w:val="000000"/>
                <w:sz w:val="16"/>
                <w:szCs w:val="16"/>
              </w:rPr>
            </w:pPr>
            <w:r w:rsidRPr="00B92499">
              <w:rPr>
                <w:rFonts w:ascii="Arial" w:hAnsi="Arial" w:cs="Arial"/>
                <w:b/>
                <w:bCs/>
                <w:color w:val="000000"/>
                <w:sz w:val="16"/>
                <w:szCs w:val="16"/>
              </w:rPr>
              <w:t>% Nota</w:t>
            </w:r>
            <w:r w:rsidR="00027F6E" w:rsidRPr="00B92499">
              <w:rPr>
                <w:rFonts w:ascii="Arial" w:hAnsi="Arial" w:cs="Arial"/>
                <w:b/>
                <w:bCs/>
                <w:color w:val="000000"/>
                <w:sz w:val="16"/>
                <w:szCs w:val="16"/>
              </w:rPr>
              <w:t xml:space="preserve"> </w:t>
            </w:r>
            <w:r w:rsidRPr="00B92499">
              <w:rPr>
                <w:rFonts w:ascii="Arial" w:hAnsi="Arial" w:cs="Arial"/>
                <w:b/>
                <w:bCs/>
                <w:color w:val="000000"/>
                <w:sz w:val="16"/>
                <w:szCs w:val="16"/>
              </w:rPr>
              <w:t>PT</w:t>
            </w:r>
          </w:p>
        </w:tc>
        <w:tc>
          <w:tcPr>
            <w:tcW w:w="850" w:type="dxa"/>
            <w:tcBorders>
              <w:top w:val="single" w:sz="4" w:space="0" w:color="auto"/>
              <w:left w:val="nil"/>
              <w:bottom w:val="single" w:sz="4" w:space="0" w:color="auto"/>
              <w:right w:val="single" w:sz="4" w:space="0" w:color="auto"/>
            </w:tcBorders>
            <w:shd w:val="clear" w:color="auto" w:fill="00B0F0"/>
            <w:vAlign w:val="center"/>
            <w:hideMark/>
          </w:tcPr>
          <w:p w14:paraId="495163E5" w14:textId="77777777" w:rsidR="0088258D" w:rsidRPr="00B92499" w:rsidRDefault="0088258D" w:rsidP="0088258D">
            <w:pPr>
              <w:jc w:val="center"/>
              <w:rPr>
                <w:rFonts w:ascii="Arial" w:hAnsi="Arial" w:cs="Arial"/>
                <w:b/>
                <w:bCs/>
                <w:color w:val="000000"/>
                <w:sz w:val="16"/>
                <w:szCs w:val="16"/>
              </w:rPr>
            </w:pPr>
            <w:r w:rsidRPr="00B92499">
              <w:rPr>
                <w:rFonts w:ascii="Arial" w:hAnsi="Arial" w:cs="Arial"/>
                <w:b/>
                <w:bCs/>
                <w:color w:val="000000"/>
                <w:sz w:val="16"/>
                <w:szCs w:val="16"/>
              </w:rPr>
              <w:t>ICOT-PT</w:t>
            </w:r>
          </w:p>
        </w:tc>
        <w:tc>
          <w:tcPr>
            <w:tcW w:w="850" w:type="dxa"/>
            <w:tcBorders>
              <w:top w:val="single" w:sz="4" w:space="0" w:color="auto"/>
              <w:left w:val="nil"/>
              <w:bottom w:val="single" w:sz="4" w:space="0" w:color="auto"/>
              <w:right w:val="single" w:sz="4" w:space="0" w:color="auto"/>
            </w:tcBorders>
            <w:shd w:val="clear" w:color="auto" w:fill="00B0F0"/>
            <w:vAlign w:val="center"/>
            <w:hideMark/>
          </w:tcPr>
          <w:p w14:paraId="52722A1F" w14:textId="77777777" w:rsidR="0088258D" w:rsidRPr="00B92499" w:rsidRDefault="0088258D" w:rsidP="0088258D">
            <w:pPr>
              <w:jc w:val="center"/>
              <w:rPr>
                <w:rFonts w:ascii="Arial" w:hAnsi="Arial" w:cs="Arial"/>
                <w:b/>
                <w:bCs/>
                <w:color w:val="000000"/>
                <w:sz w:val="16"/>
                <w:szCs w:val="16"/>
              </w:rPr>
            </w:pPr>
            <w:r w:rsidRPr="00B92499">
              <w:rPr>
                <w:rFonts w:ascii="Arial" w:hAnsi="Arial" w:cs="Arial"/>
                <w:b/>
                <w:bCs/>
                <w:color w:val="000000"/>
                <w:sz w:val="16"/>
                <w:szCs w:val="16"/>
              </w:rPr>
              <w:t>%Inf PNT</w:t>
            </w:r>
          </w:p>
        </w:tc>
        <w:tc>
          <w:tcPr>
            <w:tcW w:w="850" w:type="dxa"/>
            <w:tcBorders>
              <w:top w:val="single" w:sz="4" w:space="0" w:color="auto"/>
              <w:left w:val="nil"/>
              <w:bottom w:val="single" w:sz="4" w:space="0" w:color="auto"/>
              <w:right w:val="single" w:sz="4" w:space="0" w:color="auto"/>
            </w:tcBorders>
            <w:shd w:val="clear" w:color="auto" w:fill="00B0F0"/>
            <w:vAlign w:val="center"/>
            <w:hideMark/>
          </w:tcPr>
          <w:p w14:paraId="00C6D09D" w14:textId="77777777" w:rsidR="0088258D" w:rsidRPr="00B92499" w:rsidRDefault="0088258D" w:rsidP="0088258D">
            <w:pPr>
              <w:jc w:val="center"/>
              <w:rPr>
                <w:rFonts w:ascii="Arial" w:hAnsi="Arial" w:cs="Arial"/>
                <w:b/>
                <w:bCs/>
                <w:color w:val="000000"/>
                <w:sz w:val="16"/>
                <w:szCs w:val="16"/>
              </w:rPr>
            </w:pPr>
            <w:r w:rsidRPr="00B92499">
              <w:rPr>
                <w:rFonts w:ascii="Arial" w:hAnsi="Arial" w:cs="Arial"/>
                <w:b/>
                <w:bCs/>
                <w:color w:val="000000"/>
                <w:sz w:val="16"/>
                <w:szCs w:val="16"/>
              </w:rPr>
              <w:t>% Notas PNT</w:t>
            </w:r>
          </w:p>
        </w:tc>
        <w:tc>
          <w:tcPr>
            <w:tcW w:w="850" w:type="dxa"/>
            <w:tcBorders>
              <w:top w:val="single" w:sz="4" w:space="0" w:color="auto"/>
              <w:left w:val="nil"/>
              <w:bottom w:val="single" w:sz="4" w:space="0" w:color="auto"/>
              <w:right w:val="single" w:sz="4" w:space="0" w:color="auto"/>
            </w:tcBorders>
            <w:shd w:val="clear" w:color="auto" w:fill="00B0F0"/>
            <w:vAlign w:val="center"/>
            <w:hideMark/>
          </w:tcPr>
          <w:p w14:paraId="663DD958" w14:textId="77777777" w:rsidR="0088258D" w:rsidRPr="00B92499" w:rsidRDefault="0088258D" w:rsidP="0088258D">
            <w:pPr>
              <w:jc w:val="center"/>
              <w:rPr>
                <w:rFonts w:ascii="Arial" w:hAnsi="Arial" w:cs="Arial"/>
                <w:b/>
                <w:bCs/>
                <w:color w:val="000000"/>
                <w:sz w:val="16"/>
                <w:szCs w:val="16"/>
              </w:rPr>
            </w:pPr>
            <w:r w:rsidRPr="00B92499">
              <w:rPr>
                <w:rFonts w:ascii="Arial" w:hAnsi="Arial" w:cs="Arial"/>
                <w:b/>
                <w:bCs/>
                <w:color w:val="000000"/>
                <w:sz w:val="16"/>
                <w:szCs w:val="16"/>
              </w:rPr>
              <w:t>ICOT-PNT</w:t>
            </w:r>
          </w:p>
        </w:tc>
        <w:tc>
          <w:tcPr>
            <w:tcW w:w="850" w:type="dxa"/>
            <w:tcBorders>
              <w:top w:val="single" w:sz="4" w:space="0" w:color="auto"/>
              <w:left w:val="nil"/>
              <w:bottom w:val="single" w:sz="4" w:space="0" w:color="auto"/>
              <w:right w:val="single" w:sz="4" w:space="0" w:color="auto"/>
            </w:tcBorders>
            <w:shd w:val="clear" w:color="auto" w:fill="00B0F0"/>
            <w:vAlign w:val="center"/>
            <w:hideMark/>
          </w:tcPr>
          <w:p w14:paraId="6DC7FBA7" w14:textId="77777777" w:rsidR="0088258D" w:rsidRPr="00B92499" w:rsidRDefault="0088258D" w:rsidP="0088258D">
            <w:pPr>
              <w:jc w:val="center"/>
              <w:rPr>
                <w:rFonts w:ascii="Arial" w:hAnsi="Arial" w:cs="Arial"/>
                <w:b/>
                <w:bCs/>
                <w:color w:val="000000"/>
                <w:sz w:val="16"/>
                <w:szCs w:val="16"/>
              </w:rPr>
            </w:pPr>
            <w:r w:rsidRPr="00B92499">
              <w:rPr>
                <w:rFonts w:ascii="Arial" w:hAnsi="Arial" w:cs="Arial"/>
                <w:b/>
                <w:bCs/>
                <w:color w:val="000000"/>
                <w:sz w:val="16"/>
                <w:szCs w:val="16"/>
              </w:rPr>
              <w:t>%Inf IGOT</w:t>
            </w:r>
          </w:p>
        </w:tc>
        <w:tc>
          <w:tcPr>
            <w:tcW w:w="850" w:type="dxa"/>
            <w:tcBorders>
              <w:top w:val="single" w:sz="4" w:space="0" w:color="auto"/>
              <w:left w:val="nil"/>
              <w:bottom w:val="single" w:sz="4" w:space="0" w:color="auto"/>
              <w:right w:val="single" w:sz="4" w:space="0" w:color="auto"/>
            </w:tcBorders>
            <w:shd w:val="clear" w:color="auto" w:fill="00B0F0"/>
            <w:vAlign w:val="center"/>
            <w:hideMark/>
          </w:tcPr>
          <w:p w14:paraId="2C0E368C" w14:textId="77777777" w:rsidR="0088258D" w:rsidRPr="00B92499" w:rsidRDefault="0088258D" w:rsidP="0088258D">
            <w:pPr>
              <w:jc w:val="center"/>
              <w:rPr>
                <w:rFonts w:ascii="Arial" w:hAnsi="Arial" w:cs="Arial"/>
                <w:b/>
                <w:bCs/>
                <w:color w:val="000000"/>
                <w:sz w:val="16"/>
                <w:szCs w:val="16"/>
              </w:rPr>
            </w:pPr>
            <w:r w:rsidRPr="00B92499">
              <w:rPr>
                <w:rFonts w:ascii="Arial" w:hAnsi="Arial" w:cs="Arial"/>
                <w:b/>
                <w:bCs/>
                <w:color w:val="000000"/>
                <w:sz w:val="16"/>
                <w:szCs w:val="16"/>
              </w:rPr>
              <w:t>% Notas IGOT</w:t>
            </w:r>
          </w:p>
        </w:tc>
        <w:tc>
          <w:tcPr>
            <w:tcW w:w="850" w:type="dxa"/>
            <w:tcBorders>
              <w:top w:val="single" w:sz="4" w:space="0" w:color="auto"/>
              <w:left w:val="nil"/>
              <w:bottom w:val="single" w:sz="4" w:space="0" w:color="auto"/>
              <w:right w:val="single" w:sz="4" w:space="0" w:color="auto"/>
            </w:tcBorders>
            <w:shd w:val="clear" w:color="auto" w:fill="00B0F0"/>
            <w:vAlign w:val="center"/>
            <w:hideMark/>
          </w:tcPr>
          <w:p w14:paraId="384F5C85" w14:textId="77777777" w:rsidR="0088258D" w:rsidRPr="00B92499" w:rsidRDefault="0088258D" w:rsidP="0088258D">
            <w:pPr>
              <w:jc w:val="center"/>
              <w:rPr>
                <w:rFonts w:ascii="Arial" w:hAnsi="Arial" w:cs="Arial"/>
                <w:b/>
                <w:bCs/>
                <w:color w:val="000000"/>
                <w:sz w:val="16"/>
                <w:szCs w:val="16"/>
              </w:rPr>
            </w:pPr>
            <w:r w:rsidRPr="00B92499">
              <w:rPr>
                <w:rFonts w:ascii="Arial" w:hAnsi="Arial" w:cs="Arial"/>
                <w:b/>
                <w:bCs/>
                <w:color w:val="000000"/>
                <w:sz w:val="16"/>
                <w:szCs w:val="16"/>
              </w:rPr>
              <w:t>IGOT</w:t>
            </w:r>
          </w:p>
        </w:tc>
      </w:tr>
      <w:tr w:rsidR="0088258D" w:rsidRPr="00B92499" w14:paraId="536E9C51" w14:textId="77777777" w:rsidTr="00027F6E">
        <w:trPr>
          <w:trHeight w:val="680"/>
        </w:trPr>
        <w:tc>
          <w:tcPr>
            <w:tcW w:w="421" w:type="dxa"/>
            <w:tcBorders>
              <w:top w:val="nil"/>
              <w:left w:val="single" w:sz="4" w:space="0" w:color="auto"/>
              <w:bottom w:val="single" w:sz="4" w:space="0" w:color="auto"/>
              <w:right w:val="single" w:sz="4" w:space="0" w:color="auto"/>
            </w:tcBorders>
            <w:shd w:val="clear" w:color="000000" w:fill="FFFFFF"/>
            <w:vAlign w:val="center"/>
            <w:hideMark/>
          </w:tcPr>
          <w:p w14:paraId="450652C8" w14:textId="77777777" w:rsidR="0088258D" w:rsidRPr="00B92499" w:rsidRDefault="0088258D" w:rsidP="0088258D">
            <w:pPr>
              <w:jc w:val="center"/>
              <w:rPr>
                <w:rFonts w:ascii="Arial" w:hAnsi="Arial" w:cs="Arial"/>
                <w:color w:val="000000"/>
                <w:sz w:val="16"/>
                <w:szCs w:val="16"/>
              </w:rPr>
            </w:pPr>
            <w:r w:rsidRPr="00B92499">
              <w:rPr>
                <w:rFonts w:ascii="Arial" w:hAnsi="Arial" w:cs="Arial"/>
                <w:color w:val="000000"/>
                <w:sz w:val="16"/>
                <w:szCs w:val="16"/>
              </w:rPr>
              <w:t>1</w:t>
            </w:r>
          </w:p>
        </w:tc>
        <w:tc>
          <w:tcPr>
            <w:tcW w:w="1304" w:type="dxa"/>
            <w:tcBorders>
              <w:top w:val="nil"/>
              <w:left w:val="nil"/>
              <w:bottom w:val="single" w:sz="4" w:space="0" w:color="auto"/>
              <w:right w:val="single" w:sz="4" w:space="0" w:color="auto"/>
            </w:tcBorders>
            <w:shd w:val="clear" w:color="000000" w:fill="FFFFFF"/>
            <w:vAlign w:val="center"/>
            <w:hideMark/>
          </w:tcPr>
          <w:p w14:paraId="1EA29514" w14:textId="77777777" w:rsidR="0088258D" w:rsidRPr="00B92499" w:rsidRDefault="0088258D" w:rsidP="0088258D">
            <w:pPr>
              <w:rPr>
                <w:rFonts w:ascii="Arial" w:hAnsi="Arial" w:cs="Arial"/>
                <w:color w:val="000000"/>
                <w:sz w:val="16"/>
                <w:szCs w:val="16"/>
              </w:rPr>
            </w:pPr>
            <w:r w:rsidRPr="00B92499">
              <w:rPr>
                <w:rFonts w:ascii="Arial" w:hAnsi="Arial" w:cs="Arial"/>
                <w:color w:val="000000"/>
                <w:sz w:val="16"/>
                <w:szCs w:val="16"/>
              </w:rPr>
              <w:t>Alcaldía Miguel Hidalgo</w:t>
            </w:r>
          </w:p>
        </w:tc>
        <w:tc>
          <w:tcPr>
            <w:tcW w:w="850" w:type="dxa"/>
            <w:tcBorders>
              <w:top w:val="nil"/>
              <w:left w:val="nil"/>
              <w:bottom w:val="single" w:sz="4" w:space="0" w:color="auto"/>
              <w:right w:val="single" w:sz="4" w:space="0" w:color="auto"/>
            </w:tcBorders>
            <w:shd w:val="clear" w:color="000000" w:fill="BDD7EE"/>
            <w:noWrap/>
            <w:vAlign w:val="center"/>
            <w:hideMark/>
          </w:tcPr>
          <w:p w14:paraId="5E3DF29C" w14:textId="77777777" w:rsidR="0088258D" w:rsidRPr="00B92499" w:rsidRDefault="0088258D" w:rsidP="0088258D">
            <w:pPr>
              <w:jc w:val="center"/>
              <w:rPr>
                <w:rFonts w:ascii="Arial" w:hAnsi="Arial" w:cs="Arial"/>
                <w:color w:val="000000"/>
                <w:sz w:val="16"/>
                <w:szCs w:val="16"/>
              </w:rPr>
            </w:pPr>
            <w:r w:rsidRPr="00B92499">
              <w:rPr>
                <w:rFonts w:ascii="Arial" w:hAnsi="Arial" w:cs="Arial"/>
                <w:color w:val="000000"/>
                <w:sz w:val="16"/>
                <w:szCs w:val="16"/>
              </w:rPr>
              <w:t>96.47</w:t>
            </w:r>
          </w:p>
        </w:tc>
        <w:tc>
          <w:tcPr>
            <w:tcW w:w="850" w:type="dxa"/>
            <w:tcBorders>
              <w:top w:val="nil"/>
              <w:left w:val="nil"/>
              <w:bottom w:val="single" w:sz="4" w:space="0" w:color="auto"/>
              <w:right w:val="single" w:sz="4" w:space="0" w:color="auto"/>
            </w:tcBorders>
            <w:shd w:val="clear" w:color="000000" w:fill="D9D9D9"/>
            <w:noWrap/>
            <w:vAlign w:val="center"/>
            <w:hideMark/>
          </w:tcPr>
          <w:p w14:paraId="09913C6B" w14:textId="77777777" w:rsidR="0088258D" w:rsidRPr="00B92499" w:rsidRDefault="0088258D" w:rsidP="0088258D">
            <w:pPr>
              <w:jc w:val="center"/>
              <w:rPr>
                <w:rFonts w:ascii="Arial" w:hAnsi="Arial" w:cs="Arial"/>
                <w:color w:val="000000"/>
                <w:sz w:val="16"/>
                <w:szCs w:val="16"/>
              </w:rPr>
            </w:pPr>
            <w:r w:rsidRPr="00B92499">
              <w:rPr>
                <w:rFonts w:ascii="Arial" w:hAnsi="Arial" w:cs="Arial"/>
                <w:color w:val="000000"/>
                <w:sz w:val="16"/>
                <w:szCs w:val="16"/>
              </w:rPr>
              <w:t>3.53</w:t>
            </w:r>
          </w:p>
        </w:tc>
        <w:tc>
          <w:tcPr>
            <w:tcW w:w="850" w:type="dxa"/>
            <w:tcBorders>
              <w:top w:val="nil"/>
              <w:left w:val="nil"/>
              <w:bottom w:val="single" w:sz="4" w:space="0" w:color="auto"/>
              <w:right w:val="single" w:sz="4" w:space="0" w:color="auto"/>
            </w:tcBorders>
            <w:shd w:val="clear" w:color="auto" w:fill="auto"/>
            <w:noWrap/>
            <w:vAlign w:val="center"/>
            <w:hideMark/>
          </w:tcPr>
          <w:p w14:paraId="23C77E02" w14:textId="6B152A6C" w:rsidR="0088258D" w:rsidRPr="00B92499" w:rsidRDefault="0088258D" w:rsidP="00362663">
            <w:pPr>
              <w:jc w:val="center"/>
              <w:rPr>
                <w:rFonts w:ascii="Arial" w:hAnsi="Arial" w:cs="Arial"/>
                <w:color w:val="000000"/>
                <w:sz w:val="16"/>
                <w:szCs w:val="16"/>
              </w:rPr>
            </w:pPr>
            <w:r w:rsidRPr="00B92499">
              <w:rPr>
                <w:rFonts w:ascii="Arial" w:hAnsi="Arial" w:cs="Arial"/>
                <w:color w:val="000000"/>
                <w:sz w:val="16"/>
                <w:szCs w:val="16"/>
              </w:rPr>
              <w:t>100</w:t>
            </w:r>
          </w:p>
        </w:tc>
        <w:tc>
          <w:tcPr>
            <w:tcW w:w="850" w:type="dxa"/>
            <w:tcBorders>
              <w:top w:val="nil"/>
              <w:left w:val="nil"/>
              <w:bottom w:val="single" w:sz="4" w:space="0" w:color="auto"/>
              <w:right w:val="single" w:sz="4" w:space="0" w:color="auto"/>
            </w:tcBorders>
            <w:shd w:val="clear" w:color="000000" w:fill="BDD7EE"/>
            <w:noWrap/>
            <w:vAlign w:val="center"/>
            <w:hideMark/>
          </w:tcPr>
          <w:p w14:paraId="3739E1DA" w14:textId="77777777" w:rsidR="0088258D" w:rsidRPr="00B92499" w:rsidRDefault="0088258D" w:rsidP="0088258D">
            <w:pPr>
              <w:jc w:val="center"/>
              <w:rPr>
                <w:rFonts w:ascii="Arial" w:hAnsi="Arial" w:cs="Arial"/>
                <w:color w:val="000000"/>
                <w:sz w:val="16"/>
                <w:szCs w:val="16"/>
              </w:rPr>
            </w:pPr>
            <w:r w:rsidRPr="00B92499">
              <w:rPr>
                <w:rFonts w:ascii="Arial" w:hAnsi="Arial" w:cs="Arial"/>
                <w:color w:val="000000"/>
                <w:sz w:val="16"/>
                <w:szCs w:val="16"/>
              </w:rPr>
              <w:t>96.47</w:t>
            </w:r>
          </w:p>
        </w:tc>
        <w:tc>
          <w:tcPr>
            <w:tcW w:w="850" w:type="dxa"/>
            <w:tcBorders>
              <w:top w:val="nil"/>
              <w:left w:val="nil"/>
              <w:bottom w:val="single" w:sz="4" w:space="0" w:color="auto"/>
              <w:right w:val="single" w:sz="4" w:space="0" w:color="auto"/>
            </w:tcBorders>
            <w:shd w:val="clear" w:color="000000" w:fill="D9D9D9"/>
            <w:noWrap/>
            <w:vAlign w:val="center"/>
            <w:hideMark/>
          </w:tcPr>
          <w:p w14:paraId="429A3AD7" w14:textId="77777777" w:rsidR="0088258D" w:rsidRPr="00B92499" w:rsidRDefault="0088258D" w:rsidP="0088258D">
            <w:pPr>
              <w:jc w:val="center"/>
              <w:rPr>
                <w:rFonts w:ascii="Arial" w:hAnsi="Arial" w:cs="Arial"/>
                <w:color w:val="000000"/>
                <w:sz w:val="16"/>
                <w:szCs w:val="16"/>
              </w:rPr>
            </w:pPr>
            <w:r w:rsidRPr="00B92499">
              <w:rPr>
                <w:rFonts w:ascii="Arial" w:hAnsi="Arial" w:cs="Arial"/>
                <w:color w:val="000000"/>
                <w:sz w:val="16"/>
                <w:szCs w:val="16"/>
              </w:rPr>
              <w:t>3.53</w:t>
            </w:r>
          </w:p>
        </w:tc>
        <w:tc>
          <w:tcPr>
            <w:tcW w:w="850" w:type="dxa"/>
            <w:tcBorders>
              <w:top w:val="nil"/>
              <w:left w:val="nil"/>
              <w:bottom w:val="single" w:sz="4" w:space="0" w:color="auto"/>
              <w:right w:val="single" w:sz="4" w:space="0" w:color="auto"/>
            </w:tcBorders>
            <w:shd w:val="clear" w:color="auto" w:fill="auto"/>
            <w:noWrap/>
            <w:vAlign w:val="center"/>
            <w:hideMark/>
          </w:tcPr>
          <w:p w14:paraId="31D0315C" w14:textId="50A86629" w:rsidR="0088258D" w:rsidRPr="00B92499" w:rsidRDefault="0088258D" w:rsidP="00362663">
            <w:pPr>
              <w:jc w:val="center"/>
              <w:rPr>
                <w:rFonts w:ascii="Arial" w:hAnsi="Arial" w:cs="Arial"/>
                <w:color w:val="000000"/>
                <w:sz w:val="16"/>
                <w:szCs w:val="16"/>
              </w:rPr>
            </w:pPr>
            <w:r w:rsidRPr="00B92499">
              <w:rPr>
                <w:rFonts w:ascii="Arial" w:hAnsi="Arial" w:cs="Arial"/>
                <w:color w:val="000000"/>
                <w:sz w:val="16"/>
                <w:szCs w:val="16"/>
              </w:rPr>
              <w:t>100</w:t>
            </w:r>
          </w:p>
        </w:tc>
        <w:tc>
          <w:tcPr>
            <w:tcW w:w="850" w:type="dxa"/>
            <w:tcBorders>
              <w:top w:val="nil"/>
              <w:left w:val="nil"/>
              <w:bottom w:val="single" w:sz="4" w:space="0" w:color="auto"/>
              <w:right w:val="single" w:sz="4" w:space="0" w:color="auto"/>
            </w:tcBorders>
            <w:shd w:val="clear" w:color="000000" w:fill="BDD7EE"/>
            <w:noWrap/>
            <w:vAlign w:val="center"/>
            <w:hideMark/>
          </w:tcPr>
          <w:p w14:paraId="1B025570" w14:textId="77777777" w:rsidR="0088258D" w:rsidRPr="00B92499" w:rsidRDefault="0088258D" w:rsidP="0088258D">
            <w:pPr>
              <w:jc w:val="center"/>
              <w:rPr>
                <w:rFonts w:ascii="Arial" w:hAnsi="Arial" w:cs="Arial"/>
                <w:color w:val="000000"/>
                <w:sz w:val="16"/>
                <w:szCs w:val="16"/>
              </w:rPr>
            </w:pPr>
            <w:r w:rsidRPr="00B92499">
              <w:rPr>
                <w:rFonts w:ascii="Arial" w:hAnsi="Arial" w:cs="Arial"/>
                <w:color w:val="000000"/>
                <w:sz w:val="16"/>
                <w:szCs w:val="16"/>
              </w:rPr>
              <w:t>96.47</w:t>
            </w:r>
          </w:p>
        </w:tc>
        <w:tc>
          <w:tcPr>
            <w:tcW w:w="850" w:type="dxa"/>
            <w:tcBorders>
              <w:top w:val="nil"/>
              <w:left w:val="nil"/>
              <w:bottom w:val="single" w:sz="4" w:space="0" w:color="auto"/>
              <w:right w:val="single" w:sz="4" w:space="0" w:color="auto"/>
            </w:tcBorders>
            <w:shd w:val="clear" w:color="000000" w:fill="D9D9D9"/>
            <w:noWrap/>
            <w:vAlign w:val="center"/>
            <w:hideMark/>
          </w:tcPr>
          <w:p w14:paraId="43947A4F" w14:textId="77777777" w:rsidR="0088258D" w:rsidRPr="00B92499" w:rsidRDefault="0088258D" w:rsidP="0088258D">
            <w:pPr>
              <w:jc w:val="center"/>
              <w:rPr>
                <w:rFonts w:ascii="Arial" w:hAnsi="Arial" w:cs="Arial"/>
                <w:color w:val="000000"/>
                <w:sz w:val="16"/>
                <w:szCs w:val="16"/>
              </w:rPr>
            </w:pPr>
            <w:r w:rsidRPr="00B92499">
              <w:rPr>
                <w:rFonts w:ascii="Arial" w:hAnsi="Arial" w:cs="Arial"/>
                <w:color w:val="000000"/>
                <w:sz w:val="16"/>
                <w:szCs w:val="16"/>
              </w:rPr>
              <w:t>3.53</w:t>
            </w:r>
          </w:p>
        </w:tc>
        <w:tc>
          <w:tcPr>
            <w:tcW w:w="850" w:type="dxa"/>
            <w:tcBorders>
              <w:top w:val="nil"/>
              <w:left w:val="nil"/>
              <w:bottom w:val="single" w:sz="4" w:space="0" w:color="auto"/>
              <w:right w:val="single" w:sz="4" w:space="0" w:color="auto"/>
            </w:tcBorders>
            <w:shd w:val="clear" w:color="auto" w:fill="auto"/>
            <w:noWrap/>
            <w:vAlign w:val="center"/>
            <w:hideMark/>
          </w:tcPr>
          <w:p w14:paraId="322513A0" w14:textId="67640577" w:rsidR="0088258D" w:rsidRPr="00B92499" w:rsidRDefault="0088258D" w:rsidP="00362663">
            <w:pPr>
              <w:jc w:val="center"/>
              <w:rPr>
                <w:rFonts w:ascii="Arial" w:hAnsi="Arial" w:cs="Arial"/>
                <w:color w:val="000000"/>
                <w:sz w:val="16"/>
                <w:szCs w:val="16"/>
              </w:rPr>
            </w:pPr>
            <w:r w:rsidRPr="00B92499">
              <w:rPr>
                <w:rFonts w:ascii="Arial" w:hAnsi="Arial" w:cs="Arial"/>
                <w:color w:val="000000"/>
                <w:sz w:val="16"/>
                <w:szCs w:val="16"/>
              </w:rPr>
              <w:t>100</w:t>
            </w:r>
          </w:p>
        </w:tc>
      </w:tr>
      <w:tr w:rsidR="0088258D" w:rsidRPr="00B92499" w14:paraId="1B50E52C" w14:textId="77777777" w:rsidTr="00027F6E">
        <w:trPr>
          <w:trHeight w:val="1020"/>
        </w:trPr>
        <w:tc>
          <w:tcPr>
            <w:tcW w:w="421" w:type="dxa"/>
            <w:tcBorders>
              <w:top w:val="nil"/>
              <w:left w:val="single" w:sz="4" w:space="0" w:color="auto"/>
              <w:bottom w:val="single" w:sz="4" w:space="0" w:color="auto"/>
              <w:right w:val="single" w:sz="4" w:space="0" w:color="auto"/>
            </w:tcBorders>
            <w:shd w:val="clear" w:color="000000" w:fill="FFFFFF"/>
            <w:vAlign w:val="center"/>
            <w:hideMark/>
          </w:tcPr>
          <w:p w14:paraId="556FBC4C" w14:textId="77777777" w:rsidR="0088258D" w:rsidRPr="00B92499" w:rsidRDefault="0088258D" w:rsidP="0088258D">
            <w:pPr>
              <w:jc w:val="center"/>
              <w:rPr>
                <w:rFonts w:ascii="Arial" w:hAnsi="Arial" w:cs="Arial"/>
                <w:color w:val="000000"/>
                <w:sz w:val="16"/>
                <w:szCs w:val="16"/>
              </w:rPr>
            </w:pPr>
            <w:r w:rsidRPr="00B92499">
              <w:rPr>
                <w:rFonts w:ascii="Arial" w:hAnsi="Arial" w:cs="Arial"/>
                <w:color w:val="000000"/>
                <w:sz w:val="16"/>
                <w:szCs w:val="16"/>
              </w:rPr>
              <w:t>2</w:t>
            </w:r>
          </w:p>
        </w:tc>
        <w:tc>
          <w:tcPr>
            <w:tcW w:w="1304" w:type="dxa"/>
            <w:tcBorders>
              <w:top w:val="nil"/>
              <w:left w:val="nil"/>
              <w:bottom w:val="single" w:sz="4" w:space="0" w:color="auto"/>
              <w:right w:val="single" w:sz="4" w:space="0" w:color="auto"/>
            </w:tcBorders>
            <w:shd w:val="clear" w:color="000000" w:fill="FFFFFF"/>
            <w:vAlign w:val="center"/>
            <w:hideMark/>
          </w:tcPr>
          <w:p w14:paraId="3A978687" w14:textId="77777777" w:rsidR="0088258D" w:rsidRPr="00B92499" w:rsidRDefault="0088258D" w:rsidP="0088258D">
            <w:pPr>
              <w:rPr>
                <w:rFonts w:ascii="Arial" w:hAnsi="Arial" w:cs="Arial"/>
                <w:color w:val="000000"/>
                <w:sz w:val="16"/>
                <w:szCs w:val="16"/>
              </w:rPr>
            </w:pPr>
            <w:r w:rsidRPr="00B92499">
              <w:rPr>
                <w:rFonts w:ascii="Arial" w:hAnsi="Arial" w:cs="Arial"/>
                <w:color w:val="000000"/>
                <w:sz w:val="16"/>
                <w:szCs w:val="16"/>
              </w:rPr>
              <w:t>Alcaldía La Magdalena Contreras</w:t>
            </w:r>
          </w:p>
        </w:tc>
        <w:tc>
          <w:tcPr>
            <w:tcW w:w="850" w:type="dxa"/>
            <w:tcBorders>
              <w:top w:val="nil"/>
              <w:left w:val="nil"/>
              <w:bottom w:val="single" w:sz="4" w:space="0" w:color="auto"/>
              <w:right w:val="single" w:sz="4" w:space="0" w:color="auto"/>
            </w:tcBorders>
            <w:shd w:val="clear" w:color="000000" w:fill="BDD7EE"/>
            <w:noWrap/>
            <w:vAlign w:val="center"/>
            <w:hideMark/>
          </w:tcPr>
          <w:p w14:paraId="6210B77E" w14:textId="77777777" w:rsidR="0088258D" w:rsidRPr="00B92499" w:rsidRDefault="0088258D" w:rsidP="0088258D">
            <w:pPr>
              <w:jc w:val="center"/>
              <w:rPr>
                <w:rFonts w:ascii="Arial" w:hAnsi="Arial" w:cs="Arial"/>
                <w:color w:val="000000"/>
                <w:sz w:val="16"/>
                <w:szCs w:val="16"/>
              </w:rPr>
            </w:pPr>
            <w:r w:rsidRPr="00B92499">
              <w:rPr>
                <w:rFonts w:ascii="Arial" w:hAnsi="Arial" w:cs="Arial"/>
                <w:color w:val="000000"/>
                <w:sz w:val="16"/>
                <w:szCs w:val="16"/>
              </w:rPr>
              <w:t>99.00</w:t>
            </w:r>
          </w:p>
        </w:tc>
        <w:tc>
          <w:tcPr>
            <w:tcW w:w="850" w:type="dxa"/>
            <w:tcBorders>
              <w:top w:val="nil"/>
              <w:left w:val="nil"/>
              <w:bottom w:val="single" w:sz="4" w:space="0" w:color="auto"/>
              <w:right w:val="single" w:sz="4" w:space="0" w:color="auto"/>
            </w:tcBorders>
            <w:shd w:val="clear" w:color="000000" w:fill="D9D9D9"/>
            <w:noWrap/>
            <w:vAlign w:val="center"/>
            <w:hideMark/>
          </w:tcPr>
          <w:p w14:paraId="365C3D6F" w14:textId="77777777" w:rsidR="0088258D" w:rsidRPr="00B92499" w:rsidRDefault="0088258D" w:rsidP="0088258D">
            <w:pPr>
              <w:jc w:val="center"/>
              <w:rPr>
                <w:rFonts w:ascii="Arial" w:hAnsi="Arial" w:cs="Arial"/>
                <w:color w:val="000000"/>
                <w:sz w:val="16"/>
                <w:szCs w:val="16"/>
              </w:rPr>
            </w:pPr>
            <w:r w:rsidRPr="00B92499">
              <w:rPr>
                <w:rFonts w:ascii="Arial" w:hAnsi="Arial" w:cs="Arial"/>
                <w:color w:val="000000"/>
                <w:sz w:val="16"/>
                <w:szCs w:val="16"/>
              </w:rPr>
              <w:t>1.00</w:t>
            </w:r>
          </w:p>
        </w:tc>
        <w:tc>
          <w:tcPr>
            <w:tcW w:w="850" w:type="dxa"/>
            <w:tcBorders>
              <w:top w:val="nil"/>
              <w:left w:val="nil"/>
              <w:bottom w:val="single" w:sz="4" w:space="0" w:color="auto"/>
              <w:right w:val="single" w:sz="4" w:space="0" w:color="auto"/>
            </w:tcBorders>
            <w:shd w:val="clear" w:color="auto" w:fill="auto"/>
            <w:noWrap/>
            <w:vAlign w:val="center"/>
            <w:hideMark/>
          </w:tcPr>
          <w:p w14:paraId="0BAD8AF1" w14:textId="26095FAE" w:rsidR="0088258D" w:rsidRPr="00B92499" w:rsidRDefault="0088258D" w:rsidP="00362663">
            <w:pPr>
              <w:jc w:val="center"/>
              <w:rPr>
                <w:rFonts w:ascii="Arial" w:hAnsi="Arial" w:cs="Arial"/>
                <w:color w:val="000000"/>
                <w:sz w:val="16"/>
                <w:szCs w:val="16"/>
              </w:rPr>
            </w:pPr>
            <w:r w:rsidRPr="00B92499">
              <w:rPr>
                <w:rFonts w:ascii="Arial" w:hAnsi="Arial" w:cs="Arial"/>
                <w:color w:val="000000"/>
                <w:sz w:val="16"/>
                <w:szCs w:val="16"/>
              </w:rPr>
              <w:t>100</w:t>
            </w:r>
          </w:p>
        </w:tc>
        <w:tc>
          <w:tcPr>
            <w:tcW w:w="850" w:type="dxa"/>
            <w:tcBorders>
              <w:top w:val="nil"/>
              <w:left w:val="nil"/>
              <w:bottom w:val="single" w:sz="4" w:space="0" w:color="auto"/>
              <w:right w:val="single" w:sz="4" w:space="0" w:color="auto"/>
            </w:tcBorders>
            <w:shd w:val="clear" w:color="000000" w:fill="BDD7EE"/>
            <w:noWrap/>
            <w:vAlign w:val="center"/>
            <w:hideMark/>
          </w:tcPr>
          <w:p w14:paraId="1BB7FB32" w14:textId="77777777" w:rsidR="0088258D" w:rsidRPr="00B92499" w:rsidRDefault="0088258D" w:rsidP="0088258D">
            <w:pPr>
              <w:jc w:val="center"/>
              <w:rPr>
                <w:rFonts w:ascii="Arial" w:hAnsi="Arial" w:cs="Arial"/>
                <w:color w:val="000000"/>
                <w:sz w:val="16"/>
                <w:szCs w:val="16"/>
              </w:rPr>
            </w:pPr>
            <w:r w:rsidRPr="00B92499">
              <w:rPr>
                <w:rFonts w:ascii="Arial" w:hAnsi="Arial" w:cs="Arial"/>
                <w:color w:val="000000"/>
                <w:sz w:val="16"/>
                <w:szCs w:val="16"/>
              </w:rPr>
              <w:t>98.50</w:t>
            </w:r>
          </w:p>
        </w:tc>
        <w:tc>
          <w:tcPr>
            <w:tcW w:w="850" w:type="dxa"/>
            <w:tcBorders>
              <w:top w:val="nil"/>
              <w:left w:val="nil"/>
              <w:bottom w:val="single" w:sz="4" w:space="0" w:color="auto"/>
              <w:right w:val="single" w:sz="4" w:space="0" w:color="auto"/>
            </w:tcBorders>
            <w:shd w:val="clear" w:color="000000" w:fill="D9D9D9"/>
            <w:noWrap/>
            <w:vAlign w:val="center"/>
            <w:hideMark/>
          </w:tcPr>
          <w:p w14:paraId="7C2C771D" w14:textId="77777777" w:rsidR="0088258D" w:rsidRPr="00B92499" w:rsidRDefault="0088258D" w:rsidP="0088258D">
            <w:pPr>
              <w:jc w:val="center"/>
              <w:rPr>
                <w:rFonts w:ascii="Arial" w:hAnsi="Arial" w:cs="Arial"/>
                <w:color w:val="000000"/>
                <w:sz w:val="16"/>
                <w:szCs w:val="16"/>
              </w:rPr>
            </w:pPr>
            <w:r w:rsidRPr="00B92499">
              <w:rPr>
                <w:rFonts w:ascii="Arial" w:hAnsi="Arial" w:cs="Arial"/>
                <w:color w:val="000000"/>
                <w:sz w:val="16"/>
                <w:szCs w:val="16"/>
              </w:rPr>
              <w:t>1.50</w:t>
            </w:r>
          </w:p>
        </w:tc>
        <w:tc>
          <w:tcPr>
            <w:tcW w:w="850" w:type="dxa"/>
            <w:tcBorders>
              <w:top w:val="nil"/>
              <w:left w:val="nil"/>
              <w:bottom w:val="single" w:sz="4" w:space="0" w:color="auto"/>
              <w:right w:val="single" w:sz="4" w:space="0" w:color="auto"/>
            </w:tcBorders>
            <w:shd w:val="clear" w:color="auto" w:fill="auto"/>
            <w:noWrap/>
            <w:vAlign w:val="center"/>
            <w:hideMark/>
          </w:tcPr>
          <w:p w14:paraId="50E29E74" w14:textId="03328684" w:rsidR="0088258D" w:rsidRPr="00B92499" w:rsidRDefault="0088258D" w:rsidP="00362663">
            <w:pPr>
              <w:jc w:val="center"/>
              <w:rPr>
                <w:rFonts w:ascii="Arial" w:hAnsi="Arial" w:cs="Arial"/>
                <w:color w:val="000000"/>
                <w:sz w:val="16"/>
                <w:szCs w:val="16"/>
              </w:rPr>
            </w:pPr>
            <w:r w:rsidRPr="00B92499">
              <w:rPr>
                <w:rFonts w:ascii="Arial" w:hAnsi="Arial" w:cs="Arial"/>
                <w:color w:val="000000"/>
                <w:sz w:val="16"/>
                <w:szCs w:val="16"/>
              </w:rPr>
              <w:t>100</w:t>
            </w:r>
          </w:p>
        </w:tc>
        <w:tc>
          <w:tcPr>
            <w:tcW w:w="850" w:type="dxa"/>
            <w:tcBorders>
              <w:top w:val="nil"/>
              <w:left w:val="nil"/>
              <w:bottom w:val="single" w:sz="4" w:space="0" w:color="auto"/>
              <w:right w:val="single" w:sz="4" w:space="0" w:color="auto"/>
            </w:tcBorders>
            <w:shd w:val="clear" w:color="000000" w:fill="BDD7EE"/>
            <w:noWrap/>
            <w:vAlign w:val="center"/>
            <w:hideMark/>
          </w:tcPr>
          <w:p w14:paraId="20E598FE" w14:textId="77777777" w:rsidR="0088258D" w:rsidRPr="00B92499" w:rsidRDefault="0088258D" w:rsidP="0088258D">
            <w:pPr>
              <w:jc w:val="center"/>
              <w:rPr>
                <w:rFonts w:ascii="Arial" w:hAnsi="Arial" w:cs="Arial"/>
                <w:color w:val="000000"/>
                <w:sz w:val="16"/>
                <w:szCs w:val="16"/>
              </w:rPr>
            </w:pPr>
            <w:r w:rsidRPr="00B92499">
              <w:rPr>
                <w:rFonts w:ascii="Arial" w:hAnsi="Arial" w:cs="Arial"/>
                <w:color w:val="000000"/>
                <w:sz w:val="16"/>
                <w:szCs w:val="16"/>
              </w:rPr>
              <w:t>98.75</w:t>
            </w:r>
          </w:p>
        </w:tc>
        <w:tc>
          <w:tcPr>
            <w:tcW w:w="850" w:type="dxa"/>
            <w:tcBorders>
              <w:top w:val="nil"/>
              <w:left w:val="nil"/>
              <w:bottom w:val="single" w:sz="4" w:space="0" w:color="auto"/>
              <w:right w:val="single" w:sz="4" w:space="0" w:color="auto"/>
            </w:tcBorders>
            <w:shd w:val="clear" w:color="000000" w:fill="D9D9D9"/>
            <w:noWrap/>
            <w:vAlign w:val="center"/>
            <w:hideMark/>
          </w:tcPr>
          <w:p w14:paraId="232AFB60" w14:textId="77777777" w:rsidR="0088258D" w:rsidRPr="00B92499" w:rsidRDefault="0088258D" w:rsidP="0088258D">
            <w:pPr>
              <w:jc w:val="center"/>
              <w:rPr>
                <w:rFonts w:ascii="Arial" w:hAnsi="Arial" w:cs="Arial"/>
                <w:color w:val="000000"/>
                <w:sz w:val="16"/>
                <w:szCs w:val="16"/>
              </w:rPr>
            </w:pPr>
            <w:r w:rsidRPr="00B92499">
              <w:rPr>
                <w:rFonts w:ascii="Arial" w:hAnsi="Arial" w:cs="Arial"/>
                <w:color w:val="000000"/>
                <w:sz w:val="16"/>
                <w:szCs w:val="16"/>
              </w:rPr>
              <w:t>1.25</w:t>
            </w:r>
          </w:p>
        </w:tc>
        <w:tc>
          <w:tcPr>
            <w:tcW w:w="850" w:type="dxa"/>
            <w:tcBorders>
              <w:top w:val="nil"/>
              <w:left w:val="nil"/>
              <w:bottom w:val="single" w:sz="4" w:space="0" w:color="auto"/>
              <w:right w:val="single" w:sz="4" w:space="0" w:color="auto"/>
            </w:tcBorders>
            <w:shd w:val="clear" w:color="auto" w:fill="auto"/>
            <w:noWrap/>
            <w:vAlign w:val="center"/>
            <w:hideMark/>
          </w:tcPr>
          <w:p w14:paraId="42FA6712" w14:textId="445F3917" w:rsidR="0088258D" w:rsidRPr="00B92499" w:rsidRDefault="0088258D" w:rsidP="00362663">
            <w:pPr>
              <w:jc w:val="center"/>
              <w:rPr>
                <w:rFonts w:ascii="Arial" w:hAnsi="Arial" w:cs="Arial"/>
                <w:color w:val="000000"/>
                <w:sz w:val="16"/>
                <w:szCs w:val="16"/>
              </w:rPr>
            </w:pPr>
            <w:r w:rsidRPr="00B92499">
              <w:rPr>
                <w:rFonts w:ascii="Arial" w:hAnsi="Arial" w:cs="Arial"/>
                <w:color w:val="000000"/>
                <w:sz w:val="16"/>
                <w:szCs w:val="16"/>
              </w:rPr>
              <w:t>100</w:t>
            </w:r>
          </w:p>
        </w:tc>
      </w:tr>
      <w:tr w:rsidR="0088258D" w:rsidRPr="00B92499" w14:paraId="333F680B" w14:textId="77777777" w:rsidTr="00027F6E">
        <w:trPr>
          <w:trHeight w:val="1020"/>
        </w:trPr>
        <w:tc>
          <w:tcPr>
            <w:tcW w:w="421" w:type="dxa"/>
            <w:tcBorders>
              <w:top w:val="nil"/>
              <w:left w:val="single" w:sz="4" w:space="0" w:color="auto"/>
              <w:bottom w:val="single" w:sz="4" w:space="0" w:color="auto"/>
              <w:right w:val="single" w:sz="4" w:space="0" w:color="auto"/>
            </w:tcBorders>
            <w:shd w:val="clear" w:color="000000" w:fill="FFFFFF"/>
            <w:vAlign w:val="center"/>
            <w:hideMark/>
          </w:tcPr>
          <w:p w14:paraId="09749557" w14:textId="77777777" w:rsidR="0088258D" w:rsidRPr="00B92499" w:rsidRDefault="0088258D" w:rsidP="0088258D">
            <w:pPr>
              <w:jc w:val="center"/>
              <w:rPr>
                <w:rFonts w:ascii="Arial" w:hAnsi="Arial" w:cs="Arial"/>
                <w:color w:val="000000"/>
                <w:sz w:val="16"/>
                <w:szCs w:val="16"/>
              </w:rPr>
            </w:pPr>
            <w:r w:rsidRPr="00B92499">
              <w:rPr>
                <w:rFonts w:ascii="Arial" w:hAnsi="Arial" w:cs="Arial"/>
                <w:color w:val="000000"/>
                <w:sz w:val="16"/>
                <w:szCs w:val="16"/>
              </w:rPr>
              <w:t>3</w:t>
            </w:r>
          </w:p>
        </w:tc>
        <w:tc>
          <w:tcPr>
            <w:tcW w:w="1304" w:type="dxa"/>
            <w:tcBorders>
              <w:top w:val="nil"/>
              <w:left w:val="nil"/>
              <w:bottom w:val="single" w:sz="4" w:space="0" w:color="auto"/>
              <w:right w:val="single" w:sz="4" w:space="0" w:color="auto"/>
            </w:tcBorders>
            <w:shd w:val="clear" w:color="000000" w:fill="FFFFFF"/>
            <w:vAlign w:val="center"/>
            <w:hideMark/>
          </w:tcPr>
          <w:p w14:paraId="5891E19A" w14:textId="77777777" w:rsidR="0088258D" w:rsidRPr="00B92499" w:rsidRDefault="0088258D" w:rsidP="0088258D">
            <w:pPr>
              <w:rPr>
                <w:rFonts w:ascii="Arial" w:hAnsi="Arial" w:cs="Arial"/>
                <w:color w:val="000000"/>
                <w:sz w:val="16"/>
                <w:szCs w:val="16"/>
              </w:rPr>
            </w:pPr>
            <w:r w:rsidRPr="00B92499">
              <w:rPr>
                <w:rFonts w:ascii="Arial" w:hAnsi="Arial" w:cs="Arial"/>
                <w:color w:val="000000"/>
                <w:sz w:val="16"/>
                <w:szCs w:val="16"/>
              </w:rPr>
              <w:t>Alcaldía Venustiano Carranza</w:t>
            </w:r>
          </w:p>
        </w:tc>
        <w:tc>
          <w:tcPr>
            <w:tcW w:w="850" w:type="dxa"/>
            <w:tcBorders>
              <w:top w:val="nil"/>
              <w:left w:val="nil"/>
              <w:bottom w:val="single" w:sz="4" w:space="0" w:color="auto"/>
              <w:right w:val="single" w:sz="4" w:space="0" w:color="auto"/>
            </w:tcBorders>
            <w:shd w:val="clear" w:color="000000" w:fill="BDD7EE"/>
            <w:noWrap/>
            <w:vAlign w:val="center"/>
            <w:hideMark/>
          </w:tcPr>
          <w:p w14:paraId="6F88B738" w14:textId="77777777" w:rsidR="0088258D" w:rsidRPr="00B92499" w:rsidRDefault="0088258D" w:rsidP="0088258D">
            <w:pPr>
              <w:jc w:val="center"/>
              <w:rPr>
                <w:rFonts w:ascii="Arial" w:hAnsi="Arial" w:cs="Arial"/>
                <w:color w:val="000000"/>
                <w:sz w:val="16"/>
                <w:szCs w:val="16"/>
              </w:rPr>
            </w:pPr>
            <w:r w:rsidRPr="00B92499">
              <w:rPr>
                <w:rFonts w:ascii="Arial" w:hAnsi="Arial" w:cs="Arial"/>
                <w:color w:val="000000"/>
                <w:sz w:val="16"/>
                <w:szCs w:val="16"/>
              </w:rPr>
              <w:t>90.20</w:t>
            </w:r>
          </w:p>
        </w:tc>
        <w:tc>
          <w:tcPr>
            <w:tcW w:w="850" w:type="dxa"/>
            <w:tcBorders>
              <w:top w:val="nil"/>
              <w:left w:val="nil"/>
              <w:bottom w:val="single" w:sz="4" w:space="0" w:color="auto"/>
              <w:right w:val="single" w:sz="4" w:space="0" w:color="auto"/>
            </w:tcBorders>
            <w:shd w:val="clear" w:color="000000" w:fill="D9D9D9"/>
            <w:noWrap/>
            <w:vAlign w:val="center"/>
            <w:hideMark/>
          </w:tcPr>
          <w:p w14:paraId="6AE9DD39" w14:textId="77777777" w:rsidR="0088258D" w:rsidRPr="00B92499" w:rsidRDefault="0088258D" w:rsidP="0088258D">
            <w:pPr>
              <w:jc w:val="center"/>
              <w:rPr>
                <w:rFonts w:ascii="Arial" w:hAnsi="Arial" w:cs="Arial"/>
                <w:color w:val="000000"/>
                <w:sz w:val="16"/>
                <w:szCs w:val="16"/>
              </w:rPr>
            </w:pPr>
            <w:r w:rsidRPr="00B92499">
              <w:rPr>
                <w:rFonts w:ascii="Arial" w:hAnsi="Arial" w:cs="Arial"/>
                <w:color w:val="000000"/>
                <w:sz w:val="16"/>
                <w:szCs w:val="16"/>
              </w:rPr>
              <w:t>9.27</w:t>
            </w:r>
          </w:p>
        </w:tc>
        <w:tc>
          <w:tcPr>
            <w:tcW w:w="850" w:type="dxa"/>
            <w:tcBorders>
              <w:top w:val="nil"/>
              <w:left w:val="nil"/>
              <w:bottom w:val="single" w:sz="4" w:space="0" w:color="auto"/>
              <w:right w:val="single" w:sz="4" w:space="0" w:color="auto"/>
            </w:tcBorders>
            <w:shd w:val="clear" w:color="auto" w:fill="auto"/>
            <w:noWrap/>
            <w:vAlign w:val="center"/>
            <w:hideMark/>
          </w:tcPr>
          <w:p w14:paraId="28D8B38B" w14:textId="77777777" w:rsidR="0088258D" w:rsidRPr="00B92499" w:rsidRDefault="0088258D" w:rsidP="0088258D">
            <w:pPr>
              <w:jc w:val="center"/>
              <w:rPr>
                <w:rFonts w:ascii="Arial" w:hAnsi="Arial" w:cs="Arial"/>
                <w:color w:val="000000"/>
                <w:sz w:val="16"/>
                <w:szCs w:val="16"/>
              </w:rPr>
            </w:pPr>
            <w:r w:rsidRPr="00B92499">
              <w:rPr>
                <w:rFonts w:ascii="Arial" w:hAnsi="Arial" w:cs="Arial"/>
                <w:color w:val="000000"/>
                <w:sz w:val="16"/>
                <w:szCs w:val="16"/>
              </w:rPr>
              <w:t>99.47</w:t>
            </w:r>
          </w:p>
        </w:tc>
        <w:tc>
          <w:tcPr>
            <w:tcW w:w="850" w:type="dxa"/>
            <w:tcBorders>
              <w:top w:val="nil"/>
              <w:left w:val="nil"/>
              <w:bottom w:val="single" w:sz="4" w:space="0" w:color="auto"/>
              <w:right w:val="single" w:sz="4" w:space="0" w:color="auto"/>
            </w:tcBorders>
            <w:shd w:val="clear" w:color="000000" w:fill="BDD7EE"/>
            <w:noWrap/>
            <w:vAlign w:val="center"/>
            <w:hideMark/>
          </w:tcPr>
          <w:p w14:paraId="1C6C9B43" w14:textId="77777777" w:rsidR="0088258D" w:rsidRPr="00B92499" w:rsidRDefault="0088258D" w:rsidP="0088258D">
            <w:pPr>
              <w:jc w:val="center"/>
              <w:rPr>
                <w:rFonts w:ascii="Arial" w:hAnsi="Arial" w:cs="Arial"/>
                <w:color w:val="000000"/>
                <w:sz w:val="16"/>
                <w:szCs w:val="16"/>
              </w:rPr>
            </w:pPr>
            <w:r w:rsidRPr="00B92499">
              <w:rPr>
                <w:rFonts w:ascii="Arial" w:hAnsi="Arial" w:cs="Arial"/>
                <w:color w:val="000000"/>
                <w:sz w:val="16"/>
                <w:szCs w:val="16"/>
              </w:rPr>
              <w:t>90.21</w:t>
            </w:r>
          </w:p>
        </w:tc>
        <w:tc>
          <w:tcPr>
            <w:tcW w:w="850" w:type="dxa"/>
            <w:tcBorders>
              <w:top w:val="nil"/>
              <w:left w:val="nil"/>
              <w:bottom w:val="single" w:sz="4" w:space="0" w:color="auto"/>
              <w:right w:val="single" w:sz="4" w:space="0" w:color="auto"/>
            </w:tcBorders>
            <w:shd w:val="clear" w:color="000000" w:fill="D9D9D9"/>
            <w:noWrap/>
            <w:vAlign w:val="center"/>
            <w:hideMark/>
          </w:tcPr>
          <w:p w14:paraId="0D8D22EC" w14:textId="77777777" w:rsidR="0088258D" w:rsidRPr="00B92499" w:rsidRDefault="0088258D" w:rsidP="0088258D">
            <w:pPr>
              <w:jc w:val="center"/>
              <w:rPr>
                <w:rFonts w:ascii="Arial" w:hAnsi="Arial" w:cs="Arial"/>
                <w:color w:val="000000"/>
                <w:sz w:val="16"/>
                <w:szCs w:val="16"/>
              </w:rPr>
            </w:pPr>
            <w:r w:rsidRPr="00B92499">
              <w:rPr>
                <w:rFonts w:ascii="Arial" w:hAnsi="Arial" w:cs="Arial"/>
                <w:color w:val="000000"/>
                <w:sz w:val="16"/>
                <w:szCs w:val="16"/>
              </w:rPr>
              <w:t>9.28</w:t>
            </w:r>
          </w:p>
        </w:tc>
        <w:tc>
          <w:tcPr>
            <w:tcW w:w="850" w:type="dxa"/>
            <w:tcBorders>
              <w:top w:val="nil"/>
              <w:left w:val="nil"/>
              <w:bottom w:val="single" w:sz="4" w:space="0" w:color="auto"/>
              <w:right w:val="single" w:sz="4" w:space="0" w:color="auto"/>
            </w:tcBorders>
            <w:shd w:val="clear" w:color="auto" w:fill="auto"/>
            <w:noWrap/>
            <w:vAlign w:val="center"/>
            <w:hideMark/>
          </w:tcPr>
          <w:p w14:paraId="7A817971" w14:textId="77777777" w:rsidR="0088258D" w:rsidRPr="00B92499" w:rsidRDefault="0088258D" w:rsidP="0088258D">
            <w:pPr>
              <w:jc w:val="center"/>
              <w:rPr>
                <w:rFonts w:ascii="Arial" w:hAnsi="Arial" w:cs="Arial"/>
                <w:color w:val="000000"/>
                <w:sz w:val="16"/>
                <w:szCs w:val="16"/>
              </w:rPr>
            </w:pPr>
            <w:r w:rsidRPr="00B92499">
              <w:rPr>
                <w:rFonts w:ascii="Arial" w:hAnsi="Arial" w:cs="Arial"/>
                <w:color w:val="000000"/>
                <w:sz w:val="16"/>
                <w:szCs w:val="16"/>
              </w:rPr>
              <w:t>99.48</w:t>
            </w:r>
          </w:p>
        </w:tc>
        <w:tc>
          <w:tcPr>
            <w:tcW w:w="850" w:type="dxa"/>
            <w:tcBorders>
              <w:top w:val="nil"/>
              <w:left w:val="nil"/>
              <w:bottom w:val="single" w:sz="4" w:space="0" w:color="auto"/>
              <w:right w:val="single" w:sz="4" w:space="0" w:color="auto"/>
            </w:tcBorders>
            <w:shd w:val="clear" w:color="000000" w:fill="BDD7EE"/>
            <w:noWrap/>
            <w:vAlign w:val="center"/>
            <w:hideMark/>
          </w:tcPr>
          <w:p w14:paraId="541CEFB7" w14:textId="77777777" w:rsidR="0088258D" w:rsidRPr="00B92499" w:rsidRDefault="0088258D" w:rsidP="0088258D">
            <w:pPr>
              <w:jc w:val="center"/>
              <w:rPr>
                <w:rFonts w:ascii="Arial" w:hAnsi="Arial" w:cs="Arial"/>
                <w:color w:val="000000"/>
                <w:sz w:val="16"/>
                <w:szCs w:val="16"/>
              </w:rPr>
            </w:pPr>
            <w:r w:rsidRPr="00B92499">
              <w:rPr>
                <w:rFonts w:ascii="Arial" w:hAnsi="Arial" w:cs="Arial"/>
                <w:color w:val="000000"/>
                <w:sz w:val="16"/>
                <w:szCs w:val="16"/>
              </w:rPr>
              <w:t>90.20</w:t>
            </w:r>
          </w:p>
        </w:tc>
        <w:tc>
          <w:tcPr>
            <w:tcW w:w="850" w:type="dxa"/>
            <w:tcBorders>
              <w:top w:val="nil"/>
              <w:left w:val="nil"/>
              <w:bottom w:val="single" w:sz="4" w:space="0" w:color="auto"/>
              <w:right w:val="single" w:sz="4" w:space="0" w:color="auto"/>
            </w:tcBorders>
            <w:shd w:val="clear" w:color="000000" w:fill="D9D9D9"/>
            <w:noWrap/>
            <w:vAlign w:val="center"/>
            <w:hideMark/>
          </w:tcPr>
          <w:p w14:paraId="75252F7F" w14:textId="77777777" w:rsidR="0088258D" w:rsidRPr="00B92499" w:rsidRDefault="0088258D" w:rsidP="0088258D">
            <w:pPr>
              <w:jc w:val="center"/>
              <w:rPr>
                <w:rFonts w:ascii="Arial" w:hAnsi="Arial" w:cs="Arial"/>
                <w:color w:val="000000"/>
                <w:sz w:val="16"/>
                <w:szCs w:val="16"/>
              </w:rPr>
            </w:pPr>
            <w:r w:rsidRPr="00B92499">
              <w:rPr>
                <w:rFonts w:ascii="Arial" w:hAnsi="Arial" w:cs="Arial"/>
                <w:color w:val="000000"/>
                <w:sz w:val="16"/>
                <w:szCs w:val="16"/>
              </w:rPr>
              <w:t>9.27</w:t>
            </w:r>
          </w:p>
        </w:tc>
        <w:tc>
          <w:tcPr>
            <w:tcW w:w="850" w:type="dxa"/>
            <w:tcBorders>
              <w:top w:val="nil"/>
              <w:left w:val="nil"/>
              <w:bottom w:val="single" w:sz="4" w:space="0" w:color="auto"/>
              <w:right w:val="single" w:sz="4" w:space="0" w:color="auto"/>
            </w:tcBorders>
            <w:shd w:val="clear" w:color="auto" w:fill="auto"/>
            <w:noWrap/>
            <w:vAlign w:val="center"/>
            <w:hideMark/>
          </w:tcPr>
          <w:p w14:paraId="2E9C0A2F" w14:textId="77777777" w:rsidR="0088258D" w:rsidRPr="00B92499" w:rsidRDefault="0088258D" w:rsidP="0088258D">
            <w:pPr>
              <w:jc w:val="center"/>
              <w:rPr>
                <w:rFonts w:ascii="Arial" w:hAnsi="Arial" w:cs="Arial"/>
                <w:color w:val="000000"/>
                <w:sz w:val="16"/>
                <w:szCs w:val="16"/>
              </w:rPr>
            </w:pPr>
            <w:r w:rsidRPr="00B92499">
              <w:rPr>
                <w:rFonts w:ascii="Arial" w:hAnsi="Arial" w:cs="Arial"/>
                <w:color w:val="000000"/>
                <w:sz w:val="16"/>
                <w:szCs w:val="16"/>
              </w:rPr>
              <w:t>99.47</w:t>
            </w:r>
          </w:p>
        </w:tc>
      </w:tr>
      <w:tr w:rsidR="0088258D" w:rsidRPr="00B92499" w14:paraId="38088659" w14:textId="77777777" w:rsidTr="00027F6E">
        <w:trPr>
          <w:trHeight w:val="680"/>
        </w:trPr>
        <w:tc>
          <w:tcPr>
            <w:tcW w:w="421" w:type="dxa"/>
            <w:tcBorders>
              <w:top w:val="nil"/>
              <w:left w:val="single" w:sz="4" w:space="0" w:color="auto"/>
              <w:bottom w:val="single" w:sz="4" w:space="0" w:color="auto"/>
              <w:right w:val="single" w:sz="4" w:space="0" w:color="auto"/>
            </w:tcBorders>
            <w:shd w:val="clear" w:color="000000" w:fill="FFFFFF"/>
            <w:vAlign w:val="center"/>
            <w:hideMark/>
          </w:tcPr>
          <w:p w14:paraId="228745F7" w14:textId="77777777" w:rsidR="0088258D" w:rsidRPr="00B92499" w:rsidRDefault="0088258D" w:rsidP="0088258D">
            <w:pPr>
              <w:jc w:val="center"/>
              <w:rPr>
                <w:rFonts w:ascii="Arial" w:hAnsi="Arial" w:cs="Arial"/>
                <w:color w:val="000000"/>
                <w:sz w:val="16"/>
                <w:szCs w:val="16"/>
              </w:rPr>
            </w:pPr>
            <w:r w:rsidRPr="00B92499">
              <w:rPr>
                <w:rFonts w:ascii="Arial" w:hAnsi="Arial" w:cs="Arial"/>
                <w:color w:val="000000"/>
                <w:sz w:val="16"/>
                <w:szCs w:val="16"/>
              </w:rPr>
              <w:t>4</w:t>
            </w:r>
          </w:p>
        </w:tc>
        <w:tc>
          <w:tcPr>
            <w:tcW w:w="1304" w:type="dxa"/>
            <w:tcBorders>
              <w:top w:val="nil"/>
              <w:left w:val="nil"/>
              <w:bottom w:val="single" w:sz="4" w:space="0" w:color="auto"/>
              <w:right w:val="single" w:sz="4" w:space="0" w:color="auto"/>
            </w:tcBorders>
            <w:shd w:val="clear" w:color="000000" w:fill="FFFFFF"/>
            <w:vAlign w:val="center"/>
            <w:hideMark/>
          </w:tcPr>
          <w:p w14:paraId="3A93D1A6" w14:textId="77777777" w:rsidR="0088258D" w:rsidRPr="00B92499" w:rsidRDefault="0088258D" w:rsidP="0088258D">
            <w:pPr>
              <w:rPr>
                <w:rFonts w:ascii="Arial" w:hAnsi="Arial" w:cs="Arial"/>
                <w:color w:val="000000"/>
                <w:sz w:val="16"/>
                <w:szCs w:val="16"/>
              </w:rPr>
            </w:pPr>
            <w:r w:rsidRPr="00B92499">
              <w:rPr>
                <w:rFonts w:ascii="Arial" w:hAnsi="Arial" w:cs="Arial"/>
                <w:color w:val="000000"/>
                <w:sz w:val="16"/>
                <w:szCs w:val="16"/>
              </w:rPr>
              <w:t>Alcaldía Tláhuac</w:t>
            </w:r>
          </w:p>
        </w:tc>
        <w:tc>
          <w:tcPr>
            <w:tcW w:w="850" w:type="dxa"/>
            <w:tcBorders>
              <w:top w:val="nil"/>
              <w:left w:val="nil"/>
              <w:bottom w:val="single" w:sz="4" w:space="0" w:color="auto"/>
              <w:right w:val="single" w:sz="4" w:space="0" w:color="auto"/>
            </w:tcBorders>
            <w:shd w:val="clear" w:color="000000" w:fill="BDD7EE"/>
            <w:noWrap/>
            <w:vAlign w:val="center"/>
            <w:hideMark/>
          </w:tcPr>
          <w:p w14:paraId="53DE9AA1" w14:textId="77777777" w:rsidR="0088258D" w:rsidRPr="00B92499" w:rsidRDefault="0088258D" w:rsidP="0088258D">
            <w:pPr>
              <w:jc w:val="center"/>
              <w:rPr>
                <w:rFonts w:ascii="Arial" w:hAnsi="Arial" w:cs="Arial"/>
                <w:color w:val="000000"/>
                <w:sz w:val="16"/>
                <w:szCs w:val="16"/>
              </w:rPr>
            </w:pPr>
            <w:r w:rsidRPr="00B92499">
              <w:rPr>
                <w:rFonts w:ascii="Arial" w:hAnsi="Arial" w:cs="Arial"/>
                <w:color w:val="000000"/>
                <w:sz w:val="16"/>
                <w:szCs w:val="16"/>
              </w:rPr>
              <w:t>98.32</w:t>
            </w:r>
          </w:p>
        </w:tc>
        <w:tc>
          <w:tcPr>
            <w:tcW w:w="850" w:type="dxa"/>
            <w:tcBorders>
              <w:top w:val="nil"/>
              <w:left w:val="nil"/>
              <w:bottom w:val="single" w:sz="4" w:space="0" w:color="auto"/>
              <w:right w:val="single" w:sz="4" w:space="0" w:color="auto"/>
            </w:tcBorders>
            <w:shd w:val="clear" w:color="000000" w:fill="D9D9D9"/>
            <w:noWrap/>
            <w:vAlign w:val="center"/>
            <w:hideMark/>
          </w:tcPr>
          <w:p w14:paraId="1DDEFDB7" w14:textId="77777777" w:rsidR="0088258D" w:rsidRPr="00B92499" w:rsidRDefault="0088258D" w:rsidP="0088258D">
            <w:pPr>
              <w:jc w:val="center"/>
              <w:rPr>
                <w:rFonts w:ascii="Arial" w:hAnsi="Arial" w:cs="Arial"/>
                <w:color w:val="000000"/>
                <w:sz w:val="16"/>
                <w:szCs w:val="16"/>
              </w:rPr>
            </w:pPr>
            <w:r w:rsidRPr="00B92499">
              <w:rPr>
                <w:rFonts w:ascii="Arial" w:hAnsi="Arial" w:cs="Arial"/>
                <w:color w:val="000000"/>
                <w:sz w:val="16"/>
                <w:szCs w:val="16"/>
              </w:rPr>
              <w:t>0.46</w:t>
            </w:r>
          </w:p>
        </w:tc>
        <w:tc>
          <w:tcPr>
            <w:tcW w:w="850" w:type="dxa"/>
            <w:tcBorders>
              <w:top w:val="nil"/>
              <w:left w:val="nil"/>
              <w:bottom w:val="single" w:sz="4" w:space="0" w:color="auto"/>
              <w:right w:val="single" w:sz="4" w:space="0" w:color="auto"/>
            </w:tcBorders>
            <w:shd w:val="clear" w:color="auto" w:fill="auto"/>
            <w:noWrap/>
            <w:vAlign w:val="center"/>
            <w:hideMark/>
          </w:tcPr>
          <w:p w14:paraId="0EB80630" w14:textId="77777777" w:rsidR="0088258D" w:rsidRPr="00B92499" w:rsidRDefault="0088258D" w:rsidP="0088258D">
            <w:pPr>
              <w:jc w:val="center"/>
              <w:rPr>
                <w:rFonts w:ascii="Arial" w:hAnsi="Arial" w:cs="Arial"/>
                <w:color w:val="000000"/>
                <w:sz w:val="16"/>
                <w:szCs w:val="16"/>
              </w:rPr>
            </w:pPr>
            <w:r w:rsidRPr="00B92499">
              <w:rPr>
                <w:rFonts w:ascii="Arial" w:hAnsi="Arial" w:cs="Arial"/>
                <w:color w:val="000000"/>
                <w:sz w:val="16"/>
                <w:szCs w:val="16"/>
              </w:rPr>
              <w:t>98.77</w:t>
            </w:r>
          </w:p>
        </w:tc>
        <w:tc>
          <w:tcPr>
            <w:tcW w:w="850" w:type="dxa"/>
            <w:tcBorders>
              <w:top w:val="nil"/>
              <w:left w:val="nil"/>
              <w:bottom w:val="single" w:sz="4" w:space="0" w:color="auto"/>
              <w:right w:val="single" w:sz="4" w:space="0" w:color="auto"/>
            </w:tcBorders>
            <w:shd w:val="clear" w:color="000000" w:fill="BDD7EE"/>
            <w:noWrap/>
            <w:vAlign w:val="center"/>
            <w:hideMark/>
          </w:tcPr>
          <w:p w14:paraId="44D21576" w14:textId="77777777" w:rsidR="0088258D" w:rsidRPr="00B92499" w:rsidRDefault="0088258D" w:rsidP="0088258D">
            <w:pPr>
              <w:jc w:val="center"/>
              <w:rPr>
                <w:rFonts w:ascii="Arial" w:hAnsi="Arial" w:cs="Arial"/>
                <w:color w:val="000000"/>
                <w:sz w:val="16"/>
                <w:szCs w:val="16"/>
              </w:rPr>
            </w:pPr>
            <w:r w:rsidRPr="00B92499">
              <w:rPr>
                <w:rFonts w:ascii="Arial" w:hAnsi="Arial" w:cs="Arial"/>
                <w:color w:val="000000"/>
                <w:sz w:val="16"/>
                <w:szCs w:val="16"/>
              </w:rPr>
              <w:t>99.01</w:t>
            </w:r>
          </w:p>
        </w:tc>
        <w:tc>
          <w:tcPr>
            <w:tcW w:w="850" w:type="dxa"/>
            <w:tcBorders>
              <w:top w:val="nil"/>
              <w:left w:val="nil"/>
              <w:bottom w:val="single" w:sz="4" w:space="0" w:color="auto"/>
              <w:right w:val="single" w:sz="4" w:space="0" w:color="auto"/>
            </w:tcBorders>
            <w:shd w:val="clear" w:color="000000" w:fill="D9D9D9"/>
            <w:noWrap/>
            <w:vAlign w:val="center"/>
            <w:hideMark/>
          </w:tcPr>
          <w:p w14:paraId="4A8E2848" w14:textId="77777777" w:rsidR="0088258D" w:rsidRPr="00B92499" w:rsidRDefault="0088258D" w:rsidP="0088258D">
            <w:pPr>
              <w:jc w:val="center"/>
              <w:rPr>
                <w:rFonts w:ascii="Arial" w:hAnsi="Arial" w:cs="Arial"/>
                <w:color w:val="000000"/>
                <w:sz w:val="16"/>
                <w:szCs w:val="16"/>
              </w:rPr>
            </w:pPr>
            <w:r w:rsidRPr="00B92499">
              <w:rPr>
                <w:rFonts w:ascii="Arial" w:hAnsi="Arial" w:cs="Arial"/>
                <w:color w:val="000000"/>
                <w:sz w:val="16"/>
                <w:szCs w:val="16"/>
              </w:rPr>
              <w:t>0.44</w:t>
            </w:r>
          </w:p>
        </w:tc>
        <w:tc>
          <w:tcPr>
            <w:tcW w:w="850" w:type="dxa"/>
            <w:tcBorders>
              <w:top w:val="nil"/>
              <w:left w:val="nil"/>
              <w:bottom w:val="single" w:sz="4" w:space="0" w:color="auto"/>
              <w:right w:val="single" w:sz="4" w:space="0" w:color="auto"/>
            </w:tcBorders>
            <w:shd w:val="clear" w:color="auto" w:fill="auto"/>
            <w:noWrap/>
            <w:vAlign w:val="center"/>
            <w:hideMark/>
          </w:tcPr>
          <w:p w14:paraId="4AAC38E2" w14:textId="77777777" w:rsidR="0088258D" w:rsidRPr="00B92499" w:rsidRDefault="0088258D" w:rsidP="0088258D">
            <w:pPr>
              <w:jc w:val="center"/>
              <w:rPr>
                <w:rFonts w:ascii="Arial" w:hAnsi="Arial" w:cs="Arial"/>
                <w:color w:val="000000"/>
                <w:sz w:val="16"/>
                <w:szCs w:val="16"/>
              </w:rPr>
            </w:pPr>
            <w:r w:rsidRPr="00B92499">
              <w:rPr>
                <w:rFonts w:ascii="Arial" w:hAnsi="Arial" w:cs="Arial"/>
                <w:color w:val="000000"/>
                <w:sz w:val="16"/>
                <w:szCs w:val="16"/>
              </w:rPr>
              <w:t>99.46</w:t>
            </w:r>
          </w:p>
        </w:tc>
        <w:tc>
          <w:tcPr>
            <w:tcW w:w="850" w:type="dxa"/>
            <w:tcBorders>
              <w:top w:val="nil"/>
              <w:left w:val="nil"/>
              <w:bottom w:val="single" w:sz="4" w:space="0" w:color="auto"/>
              <w:right w:val="single" w:sz="4" w:space="0" w:color="auto"/>
            </w:tcBorders>
            <w:shd w:val="clear" w:color="000000" w:fill="BDD7EE"/>
            <w:noWrap/>
            <w:vAlign w:val="center"/>
            <w:hideMark/>
          </w:tcPr>
          <w:p w14:paraId="4C0F1110" w14:textId="77777777" w:rsidR="0088258D" w:rsidRPr="00B92499" w:rsidRDefault="0088258D" w:rsidP="0088258D">
            <w:pPr>
              <w:jc w:val="center"/>
              <w:rPr>
                <w:rFonts w:ascii="Arial" w:hAnsi="Arial" w:cs="Arial"/>
                <w:color w:val="000000"/>
                <w:sz w:val="16"/>
                <w:szCs w:val="16"/>
              </w:rPr>
            </w:pPr>
            <w:r w:rsidRPr="00B92499">
              <w:rPr>
                <w:rFonts w:ascii="Arial" w:hAnsi="Arial" w:cs="Arial"/>
                <w:color w:val="000000"/>
                <w:sz w:val="16"/>
                <w:szCs w:val="16"/>
              </w:rPr>
              <w:t>98.66</w:t>
            </w:r>
          </w:p>
        </w:tc>
        <w:tc>
          <w:tcPr>
            <w:tcW w:w="850" w:type="dxa"/>
            <w:tcBorders>
              <w:top w:val="nil"/>
              <w:left w:val="nil"/>
              <w:bottom w:val="single" w:sz="4" w:space="0" w:color="auto"/>
              <w:right w:val="single" w:sz="4" w:space="0" w:color="auto"/>
            </w:tcBorders>
            <w:shd w:val="clear" w:color="000000" w:fill="D9D9D9"/>
            <w:noWrap/>
            <w:vAlign w:val="center"/>
            <w:hideMark/>
          </w:tcPr>
          <w:p w14:paraId="790E8048" w14:textId="77777777" w:rsidR="0088258D" w:rsidRPr="00B92499" w:rsidRDefault="0088258D" w:rsidP="0088258D">
            <w:pPr>
              <w:jc w:val="center"/>
              <w:rPr>
                <w:rFonts w:ascii="Arial" w:hAnsi="Arial" w:cs="Arial"/>
                <w:color w:val="000000"/>
                <w:sz w:val="16"/>
                <w:szCs w:val="16"/>
              </w:rPr>
            </w:pPr>
            <w:r w:rsidRPr="00B92499">
              <w:rPr>
                <w:rFonts w:ascii="Arial" w:hAnsi="Arial" w:cs="Arial"/>
                <w:color w:val="000000"/>
                <w:sz w:val="16"/>
                <w:szCs w:val="16"/>
              </w:rPr>
              <w:t>0.45</w:t>
            </w:r>
          </w:p>
        </w:tc>
        <w:tc>
          <w:tcPr>
            <w:tcW w:w="850" w:type="dxa"/>
            <w:tcBorders>
              <w:top w:val="nil"/>
              <w:left w:val="nil"/>
              <w:bottom w:val="single" w:sz="4" w:space="0" w:color="auto"/>
              <w:right w:val="single" w:sz="4" w:space="0" w:color="auto"/>
            </w:tcBorders>
            <w:shd w:val="clear" w:color="auto" w:fill="auto"/>
            <w:noWrap/>
            <w:vAlign w:val="center"/>
            <w:hideMark/>
          </w:tcPr>
          <w:p w14:paraId="3C5C3275" w14:textId="77777777" w:rsidR="0088258D" w:rsidRPr="00B92499" w:rsidRDefault="0088258D" w:rsidP="0088258D">
            <w:pPr>
              <w:jc w:val="center"/>
              <w:rPr>
                <w:rFonts w:ascii="Arial" w:hAnsi="Arial" w:cs="Arial"/>
                <w:color w:val="000000"/>
                <w:sz w:val="16"/>
                <w:szCs w:val="16"/>
              </w:rPr>
            </w:pPr>
            <w:r w:rsidRPr="00B92499">
              <w:rPr>
                <w:rFonts w:ascii="Arial" w:hAnsi="Arial" w:cs="Arial"/>
                <w:color w:val="000000"/>
                <w:sz w:val="16"/>
                <w:szCs w:val="16"/>
              </w:rPr>
              <w:t>99.12</w:t>
            </w:r>
          </w:p>
        </w:tc>
      </w:tr>
      <w:tr w:rsidR="0088258D" w:rsidRPr="00B92499" w14:paraId="315CD046" w14:textId="77777777" w:rsidTr="00027F6E">
        <w:trPr>
          <w:trHeight w:val="680"/>
        </w:trPr>
        <w:tc>
          <w:tcPr>
            <w:tcW w:w="421" w:type="dxa"/>
            <w:tcBorders>
              <w:top w:val="nil"/>
              <w:left w:val="single" w:sz="4" w:space="0" w:color="auto"/>
              <w:bottom w:val="single" w:sz="4" w:space="0" w:color="auto"/>
              <w:right w:val="single" w:sz="4" w:space="0" w:color="auto"/>
            </w:tcBorders>
            <w:shd w:val="clear" w:color="000000" w:fill="FFFFFF"/>
            <w:vAlign w:val="center"/>
            <w:hideMark/>
          </w:tcPr>
          <w:p w14:paraId="3A16E7FD" w14:textId="77777777" w:rsidR="0088258D" w:rsidRPr="00B92499" w:rsidRDefault="0088258D" w:rsidP="0088258D">
            <w:pPr>
              <w:jc w:val="center"/>
              <w:rPr>
                <w:rFonts w:ascii="Arial" w:hAnsi="Arial" w:cs="Arial"/>
                <w:color w:val="000000"/>
                <w:sz w:val="16"/>
                <w:szCs w:val="16"/>
              </w:rPr>
            </w:pPr>
            <w:r w:rsidRPr="00B92499">
              <w:rPr>
                <w:rFonts w:ascii="Arial" w:hAnsi="Arial" w:cs="Arial"/>
                <w:color w:val="000000"/>
                <w:sz w:val="16"/>
                <w:szCs w:val="16"/>
              </w:rPr>
              <w:t>5</w:t>
            </w:r>
          </w:p>
        </w:tc>
        <w:tc>
          <w:tcPr>
            <w:tcW w:w="1304" w:type="dxa"/>
            <w:tcBorders>
              <w:top w:val="nil"/>
              <w:left w:val="nil"/>
              <w:bottom w:val="single" w:sz="4" w:space="0" w:color="auto"/>
              <w:right w:val="single" w:sz="4" w:space="0" w:color="auto"/>
            </w:tcBorders>
            <w:shd w:val="clear" w:color="000000" w:fill="FFFFFF"/>
            <w:vAlign w:val="center"/>
            <w:hideMark/>
          </w:tcPr>
          <w:p w14:paraId="1BCE9EB8" w14:textId="77777777" w:rsidR="0088258D" w:rsidRPr="00B92499" w:rsidRDefault="0088258D" w:rsidP="0088258D">
            <w:pPr>
              <w:rPr>
                <w:rFonts w:ascii="Arial" w:hAnsi="Arial" w:cs="Arial"/>
                <w:color w:val="000000"/>
                <w:sz w:val="16"/>
                <w:szCs w:val="16"/>
              </w:rPr>
            </w:pPr>
            <w:r w:rsidRPr="00B92499">
              <w:rPr>
                <w:rFonts w:ascii="Arial" w:hAnsi="Arial" w:cs="Arial"/>
                <w:color w:val="000000"/>
                <w:sz w:val="16"/>
                <w:szCs w:val="16"/>
              </w:rPr>
              <w:t>Alcaldía Cuauhtémoc</w:t>
            </w:r>
          </w:p>
        </w:tc>
        <w:tc>
          <w:tcPr>
            <w:tcW w:w="850" w:type="dxa"/>
            <w:tcBorders>
              <w:top w:val="nil"/>
              <w:left w:val="nil"/>
              <w:bottom w:val="single" w:sz="4" w:space="0" w:color="auto"/>
              <w:right w:val="single" w:sz="4" w:space="0" w:color="auto"/>
            </w:tcBorders>
            <w:shd w:val="clear" w:color="000000" w:fill="BDD7EE"/>
            <w:noWrap/>
            <w:vAlign w:val="center"/>
            <w:hideMark/>
          </w:tcPr>
          <w:p w14:paraId="60ABA919" w14:textId="77777777" w:rsidR="0088258D" w:rsidRPr="00B92499" w:rsidRDefault="0088258D" w:rsidP="0088258D">
            <w:pPr>
              <w:jc w:val="center"/>
              <w:rPr>
                <w:rFonts w:ascii="Arial" w:hAnsi="Arial" w:cs="Arial"/>
                <w:color w:val="000000"/>
                <w:sz w:val="16"/>
                <w:szCs w:val="16"/>
              </w:rPr>
            </w:pPr>
            <w:r w:rsidRPr="00B92499">
              <w:rPr>
                <w:rFonts w:ascii="Arial" w:hAnsi="Arial" w:cs="Arial"/>
                <w:color w:val="000000"/>
                <w:sz w:val="16"/>
                <w:szCs w:val="16"/>
              </w:rPr>
              <w:t>96.90</w:t>
            </w:r>
          </w:p>
        </w:tc>
        <w:tc>
          <w:tcPr>
            <w:tcW w:w="850" w:type="dxa"/>
            <w:tcBorders>
              <w:top w:val="nil"/>
              <w:left w:val="nil"/>
              <w:bottom w:val="single" w:sz="4" w:space="0" w:color="auto"/>
              <w:right w:val="single" w:sz="4" w:space="0" w:color="auto"/>
            </w:tcBorders>
            <w:shd w:val="clear" w:color="000000" w:fill="D9D9D9"/>
            <w:noWrap/>
            <w:vAlign w:val="center"/>
            <w:hideMark/>
          </w:tcPr>
          <w:p w14:paraId="3482FD06" w14:textId="77777777" w:rsidR="0088258D" w:rsidRPr="00B92499" w:rsidRDefault="0088258D" w:rsidP="0088258D">
            <w:pPr>
              <w:jc w:val="center"/>
              <w:rPr>
                <w:rFonts w:ascii="Arial" w:hAnsi="Arial" w:cs="Arial"/>
                <w:color w:val="000000"/>
                <w:sz w:val="16"/>
                <w:szCs w:val="16"/>
              </w:rPr>
            </w:pPr>
            <w:r w:rsidRPr="00B92499">
              <w:rPr>
                <w:rFonts w:ascii="Arial" w:hAnsi="Arial" w:cs="Arial"/>
                <w:color w:val="000000"/>
                <w:sz w:val="16"/>
                <w:szCs w:val="16"/>
              </w:rPr>
              <w:t>0.91</w:t>
            </w:r>
          </w:p>
        </w:tc>
        <w:tc>
          <w:tcPr>
            <w:tcW w:w="850" w:type="dxa"/>
            <w:tcBorders>
              <w:top w:val="nil"/>
              <w:left w:val="nil"/>
              <w:bottom w:val="single" w:sz="4" w:space="0" w:color="auto"/>
              <w:right w:val="single" w:sz="4" w:space="0" w:color="auto"/>
            </w:tcBorders>
            <w:shd w:val="clear" w:color="auto" w:fill="auto"/>
            <w:noWrap/>
            <w:vAlign w:val="center"/>
            <w:hideMark/>
          </w:tcPr>
          <w:p w14:paraId="203199F6" w14:textId="77777777" w:rsidR="0088258D" w:rsidRPr="00B92499" w:rsidRDefault="0088258D" w:rsidP="0088258D">
            <w:pPr>
              <w:jc w:val="center"/>
              <w:rPr>
                <w:rFonts w:ascii="Arial" w:hAnsi="Arial" w:cs="Arial"/>
                <w:color w:val="000000"/>
                <w:sz w:val="16"/>
                <w:szCs w:val="16"/>
              </w:rPr>
            </w:pPr>
            <w:r w:rsidRPr="00B92499">
              <w:rPr>
                <w:rFonts w:ascii="Arial" w:hAnsi="Arial" w:cs="Arial"/>
                <w:color w:val="000000"/>
                <w:sz w:val="16"/>
                <w:szCs w:val="16"/>
              </w:rPr>
              <w:t>97.81</w:t>
            </w:r>
          </w:p>
        </w:tc>
        <w:tc>
          <w:tcPr>
            <w:tcW w:w="850" w:type="dxa"/>
            <w:tcBorders>
              <w:top w:val="nil"/>
              <w:left w:val="nil"/>
              <w:bottom w:val="single" w:sz="4" w:space="0" w:color="auto"/>
              <w:right w:val="single" w:sz="4" w:space="0" w:color="auto"/>
            </w:tcBorders>
            <w:shd w:val="clear" w:color="000000" w:fill="BDD7EE"/>
            <w:noWrap/>
            <w:vAlign w:val="center"/>
            <w:hideMark/>
          </w:tcPr>
          <w:p w14:paraId="29EC307C" w14:textId="77777777" w:rsidR="0088258D" w:rsidRPr="00B92499" w:rsidRDefault="0088258D" w:rsidP="0088258D">
            <w:pPr>
              <w:jc w:val="center"/>
              <w:rPr>
                <w:rFonts w:ascii="Arial" w:hAnsi="Arial" w:cs="Arial"/>
                <w:color w:val="000000"/>
                <w:sz w:val="16"/>
                <w:szCs w:val="16"/>
              </w:rPr>
            </w:pPr>
            <w:r w:rsidRPr="00B92499">
              <w:rPr>
                <w:rFonts w:ascii="Arial" w:hAnsi="Arial" w:cs="Arial"/>
                <w:color w:val="000000"/>
                <w:sz w:val="16"/>
                <w:szCs w:val="16"/>
              </w:rPr>
              <w:t>95.68</w:t>
            </w:r>
          </w:p>
        </w:tc>
        <w:tc>
          <w:tcPr>
            <w:tcW w:w="850" w:type="dxa"/>
            <w:tcBorders>
              <w:top w:val="nil"/>
              <w:left w:val="nil"/>
              <w:bottom w:val="single" w:sz="4" w:space="0" w:color="auto"/>
              <w:right w:val="single" w:sz="4" w:space="0" w:color="auto"/>
            </w:tcBorders>
            <w:shd w:val="clear" w:color="000000" w:fill="D9D9D9"/>
            <w:noWrap/>
            <w:vAlign w:val="center"/>
            <w:hideMark/>
          </w:tcPr>
          <w:p w14:paraId="650CCEC6" w14:textId="77777777" w:rsidR="0088258D" w:rsidRPr="00B92499" w:rsidRDefault="0088258D" w:rsidP="0088258D">
            <w:pPr>
              <w:jc w:val="center"/>
              <w:rPr>
                <w:rFonts w:ascii="Arial" w:hAnsi="Arial" w:cs="Arial"/>
                <w:color w:val="000000"/>
                <w:sz w:val="16"/>
                <w:szCs w:val="16"/>
              </w:rPr>
            </w:pPr>
            <w:r w:rsidRPr="00B92499">
              <w:rPr>
                <w:rFonts w:ascii="Arial" w:hAnsi="Arial" w:cs="Arial"/>
                <w:color w:val="000000"/>
                <w:sz w:val="16"/>
                <w:szCs w:val="16"/>
              </w:rPr>
              <w:t>0.91</w:t>
            </w:r>
          </w:p>
        </w:tc>
        <w:tc>
          <w:tcPr>
            <w:tcW w:w="850" w:type="dxa"/>
            <w:tcBorders>
              <w:top w:val="nil"/>
              <w:left w:val="nil"/>
              <w:bottom w:val="single" w:sz="4" w:space="0" w:color="auto"/>
              <w:right w:val="single" w:sz="4" w:space="0" w:color="auto"/>
            </w:tcBorders>
            <w:shd w:val="clear" w:color="auto" w:fill="auto"/>
            <w:noWrap/>
            <w:vAlign w:val="center"/>
            <w:hideMark/>
          </w:tcPr>
          <w:p w14:paraId="376577F1" w14:textId="77777777" w:rsidR="0088258D" w:rsidRPr="00B92499" w:rsidRDefault="0088258D" w:rsidP="0088258D">
            <w:pPr>
              <w:jc w:val="center"/>
              <w:rPr>
                <w:rFonts w:ascii="Arial" w:hAnsi="Arial" w:cs="Arial"/>
                <w:color w:val="000000"/>
                <w:sz w:val="16"/>
                <w:szCs w:val="16"/>
              </w:rPr>
            </w:pPr>
            <w:r w:rsidRPr="00B92499">
              <w:rPr>
                <w:rFonts w:ascii="Arial" w:hAnsi="Arial" w:cs="Arial"/>
                <w:color w:val="000000"/>
                <w:sz w:val="16"/>
                <w:szCs w:val="16"/>
              </w:rPr>
              <w:t>96.59</w:t>
            </w:r>
          </w:p>
        </w:tc>
        <w:tc>
          <w:tcPr>
            <w:tcW w:w="850" w:type="dxa"/>
            <w:tcBorders>
              <w:top w:val="nil"/>
              <w:left w:val="nil"/>
              <w:bottom w:val="single" w:sz="4" w:space="0" w:color="auto"/>
              <w:right w:val="single" w:sz="4" w:space="0" w:color="auto"/>
            </w:tcBorders>
            <w:shd w:val="clear" w:color="000000" w:fill="BDD7EE"/>
            <w:noWrap/>
            <w:vAlign w:val="center"/>
            <w:hideMark/>
          </w:tcPr>
          <w:p w14:paraId="4AB7359D" w14:textId="77777777" w:rsidR="0088258D" w:rsidRPr="00B92499" w:rsidRDefault="0088258D" w:rsidP="0088258D">
            <w:pPr>
              <w:jc w:val="center"/>
              <w:rPr>
                <w:rFonts w:ascii="Arial" w:hAnsi="Arial" w:cs="Arial"/>
                <w:color w:val="000000"/>
                <w:sz w:val="16"/>
                <w:szCs w:val="16"/>
              </w:rPr>
            </w:pPr>
            <w:r w:rsidRPr="00B92499">
              <w:rPr>
                <w:rFonts w:ascii="Arial" w:hAnsi="Arial" w:cs="Arial"/>
                <w:color w:val="000000"/>
                <w:sz w:val="16"/>
                <w:szCs w:val="16"/>
              </w:rPr>
              <w:t>96.29</w:t>
            </w:r>
          </w:p>
        </w:tc>
        <w:tc>
          <w:tcPr>
            <w:tcW w:w="850" w:type="dxa"/>
            <w:tcBorders>
              <w:top w:val="nil"/>
              <w:left w:val="nil"/>
              <w:bottom w:val="single" w:sz="4" w:space="0" w:color="auto"/>
              <w:right w:val="single" w:sz="4" w:space="0" w:color="auto"/>
            </w:tcBorders>
            <w:shd w:val="clear" w:color="000000" w:fill="D9D9D9"/>
            <w:noWrap/>
            <w:vAlign w:val="center"/>
            <w:hideMark/>
          </w:tcPr>
          <w:p w14:paraId="71909270" w14:textId="77777777" w:rsidR="0088258D" w:rsidRPr="00B92499" w:rsidRDefault="0088258D" w:rsidP="0088258D">
            <w:pPr>
              <w:jc w:val="center"/>
              <w:rPr>
                <w:rFonts w:ascii="Arial" w:hAnsi="Arial" w:cs="Arial"/>
                <w:color w:val="000000"/>
                <w:sz w:val="16"/>
                <w:szCs w:val="16"/>
              </w:rPr>
            </w:pPr>
            <w:r w:rsidRPr="00B92499">
              <w:rPr>
                <w:rFonts w:ascii="Arial" w:hAnsi="Arial" w:cs="Arial"/>
                <w:color w:val="000000"/>
                <w:sz w:val="16"/>
                <w:szCs w:val="16"/>
              </w:rPr>
              <w:t>0.91</w:t>
            </w:r>
          </w:p>
        </w:tc>
        <w:tc>
          <w:tcPr>
            <w:tcW w:w="850" w:type="dxa"/>
            <w:tcBorders>
              <w:top w:val="nil"/>
              <w:left w:val="nil"/>
              <w:bottom w:val="single" w:sz="4" w:space="0" w:color="auto"/>
              <w:right w:val="single" w:sz="4" w:space="0" w:color="auto"/>
            </w:tcBorders>
            <w:shd w:val="clear" w:color="auto" w:fill="auto"/>
            <w:noWrap/>
            <w:vAlign w:val="center"/>
            <w:hideMark/>
          </w:tcPr>
          <w:p w14:paraId="524EBAB0" w14:textId="77777777" w:rsidR="0088258D" w:rsidRPr="00B92499" w:rsidRDefault="0088258D" w:rsidP="0088258D">
            <w:pPr>
              <w:jc w:val="center"/>
              <w:rPr>
                <w:rFonts w:ascii="Arial" w:hAnsi="Arial" w:cs="Arial"/>
                <w:color w:val="000000"/>
                <w:sz w:val="16"/>
                <w:szCs w:val="16"/>
              </w:rPr>
            </w:pPr>
            <w:r w:rsidRPr="00B92499">
              <w:rPr>
                <w:rFonts w:ascii="Arial" w:hAnsi="Arial" w:cs="Arial"/>
                <w:color w:val="000000"/>
                <w:sz w:val="16"/>
                <w:szCs w:val="16"/>
              </w:rPr>
              <w:t>97.20</w:t>
            </w:r>
          </w:p>
        </w:tc>
      </w:tr>
      <w:tr w:rsidR="0088258D" w:rsidRPr="00B92499" w14:paraId="76A67F05" w14:textId="77777777" w:rsidTr="00027F6E">
        <w:trPr>
          <w:trHeight w:val="680"/>
        </w:trPr>
        <w:tc>
          <w:tcPr>
            <w:tcW w:w="421" w:type="dxa"/>
            <w:tcBorders>
              <w:top w:val="nil"/>
              <w:left w:val="single" w:sz="4" w:space="0" w:color="auto"/>
              <w:bottom w:val="single" w:sz="4" w:space="0" w:color="auto"/>
              <w:right w:val="single" w:sz="4" w:space="0" w:color="auto"/>
            </w:tcBorders>
            <w:shd w:val="clear" w:color="000000" w:fill="FFFFFF"/>
            <w:vAlign w:val="center"/>
            <w:hideMark/>
          </w:tcPr>
          <w:p w14:paraId="50AEDB34" w14:textId="77777777" w:rsidR="0088258D" w:rsidRPr="00B92499" w:rsidRDefault="0088258D" w:rsidP="0088258D">
            <w:pPr>
              <w:jc w:val="center"/>
              <w:rPr>
                <w:rFonts w:ascii="Arial" w:hAnsi="Arial" w:cs="Arial"/>
                <w:color w:val="000000"/>
                <w:sz w:val="16"/>
                <w:szCs w:val="16"/>
              </w:rPr>
            </w:pPr>
            <w:r w:rsidRPr="00B92499">
              <w:rPr>
                <w:rFonts w:ascii="Arial" w:hAnsi="Arial" w:cs="Arial"/>
                <w:color w:val="000000"/>
                <w:sz w:val="16"/>
                <w:szCs w:val="16"/>
              </w:rPr>
              <w:t>6</w:t>
            </w:r>
          </w:p>
        </w:tc>
        <w:tc>
          <w:tcPr>
            <w:tcW w:w="1304" w:type="dxa"/>
            <w:tcBorders>
              <w:top w:val="nil"/>
              <w:left w:val="nil"/>
              <w:bottom w:val="single" w:sz="4" w:space="0" w:color="auto"/>
              <w:right w:val="single" w:sz="4" w:space="0" w:color="auto"/>
            </w:tcBorders>
            <w:shd w:val="clear" w:color="000000" w:fill="FFFFFF"/>
            <w:vAlign w:val="center"/>
            <w:hideMark/>
          </w:tcPr>
          <w:p w14:paraId="5F1C488F" w14:textId="77777777" w:rsidR="0088258D" w:rsidRPr="00B92499" w:rsidRDefault="0088258D" w:rsidP="0088258D">
            <w:pPr>
              <w:rPr>
                <w:rFonts w:ascii="Arial" w:hAnsi="Arial" w:cs="Arial"/>
                <w:color w:val="000000"/>
                <w:sz w:val="16"/>
                <w:szCs w:val="16"/>
              </w:rPr>
            </w:pPr>
            <w:r w:rsidRPr="00B92499">
              <w:rPr>
                <w:rFonts w:ascii="Arial" w:hAnsi="Arial" w:cs="Arial"/>
                <w:color w:val="000000"/>
                <w:sz w:val="16"/>
                <w:szCs w:val="16"/>
              </w:rPr>
              <w:t>Alcaldía Iztapalapa</w:t>
            </w:r>
          </w:p>
        </w:tc>
        <w:tc>
          <w:tcPr>
            <w:tcW w:w="850" w:type="dxa"/>
            <w:tcBorders>
              <w:top w:val="nil"/>
              <w:left w:val="nil"/>
              <w:bottom w:val="single" w:sz="4" w:space="0" w:color="auto"/>
              <w:right w:val="single" w:sz="4" w:space="0" w:color="auto"/>
            </w:tcBorders>
            <w:shd w:val="clear" w:color="000000" w:fill="BDD7EE"/>
            <w:noWrap/>
            <w:vAlign w:val="center"/>
            <w:hideMark/>
          </w:tcPr>
          <w:p w14:paraId="5B187AA7" w14:textId="77777777" w:rsidR="0088258D" w:rsidRPr="00B92499" w:rsidRDefault="0088258D" w:rsidP="0088258D">
            <w:pPr>
              <w:jc w:val="center"/>
              <w:rPr>
                <w:rFonts w:ascii="Arial" w:hAnsi="Arial" w:cs="Arial"/>
                <w:color w:val="000000"/>
                <w:sz w:val="16"/>
                <w:szCs w:val="16"/>
              </w:rPr>
            </w:pPr>
            <w:r w:rsidRPr="00B92499">
              <w:rPr>
                <w:rFonts w:ascii="Arial" w:hAnsi="Arial" w:cs="Arial"/>
                <w:color w:val="000000"/>
                <w:sz w:val="16"/>
                <w:szCs w:val="16"/>
              </w:rPr>
              <w:t>88.99</w:t>
            </w:r>
          </w:p>
        </w:tc>
        <w:tc>
          <w:tcPr>
            <w:tcW w:w="850" w:type="dxa"/>
            <w:tcBorders>
              <w:top w:val="nil"/>
              <w:left w:val="nil"/>
              <w:bottom w:val="single" w:sz="4" w:space="0" w:color="auto"/>
              <w:right w:val="single" w:sz="4" w:space="0" w:color="auto"/>
            </w:tcBorders>
            <w:shd w:val="clear" w:color="000000" w:fill="D9D9D9"/>
            <w:noWrap/>
            <w:vAlign w:val="center"/>
            <w:hideMark/>
          </w:tcPr>
          <w:p w14:paraId="5526374D" w14:textId="77777777" w:rsidR="0088258D" w:rsidRPr="00B92499" w:rsidRDefault="0088258D" w:rsidP="0088258D">
            <w:pPr>
              <w:jc w:val="center"/>
              <w:rPr>
                <w:rFonts w:ascii="Arial" w:hAnsi="Arial" w:cs="Arial"/>
                <w:color w:val="000000"/>
                <w:sz w:val="16"/>
                <w:szCs w:val="16"/>
              </w:rPr>
            </w:pPr>
            <w:r w:rsidRPr="00B92499">
              <w:rPr>
                <w:rFonts w:ascii="Arial" w:hAnsi="Arial" w:cs="Arial"/>
                <w:color w:val="000000"/>
                <w:sz w:val="16"/>
                <w:szCs w:val="16"/>
              </w:rPr>
              <w:t>2.63</w:t>
            </w:r>
          </w:p>
        </w:tc>
        <w:tc>
          <w:tcPr>
            <w:tcW w:w="850" w:type="dxa"/>
            <w:tcBorders>
              <w:top w:val="nil"/>
              <w:left w:val="nil"/>
              <w:bottom w:val="single" w:sz="4" w:space="0" w:color="auto"/>
              <w:right w:val="single" w:sz="4" w:space="0" w:color="auto"/>
            </w:tcBorders>
            <w:shd w:val="clear" w:color="auto" w:fill="auto"/>
            <w:noWrap/>
            <w:vAlign w:val="center"/>
            <w:hideMark/>
          </w:tcPr>
          <w:p w14:paraId="36246E9F" w14:textId="77777777" w:rsidR="0088258D" w:rsidRPr="00B92499" w:rsidRDefault="0088258D" w:rsidP="0088258D">
            <w:pPr>
              <w:jc w:val="center"/>
              <w:rPr>
                <w:rFonts w:ascii="Arial" w:hAnsi="Arial" w:cs="Arial"/>
                <w:color w:val="000000"/>
                <w:sz w:val="16"/>
                <w:szCs w:val="16"/>
              </w:rPr>
            </w:pPr>
            <w:r w:rsidRPr="00B92499">
              <w:rPr>
                <w:rFonts w:ascii="Arial" w:hAnsi="Arial" w:cs="Arial"/>
                <w:color w:val="000000"/>
                <w:sz w:val="16"/>
                <w:szCs w:val="16"/>
              </w:rPr>
              <w:t>91.63</w:t>
            </w:r>
          </w:p>
        </w:tc>
        <w:tc>
          <w:tcPr>
            <w:tcW w:w="850" w:type="dxa"/>
            <w:tcBorders>
              <w:top w:val="nil"/>
              <w:left w:val="nil"/>
              <w:bottom w:val="single" w:sz="4" w:space="0" w:color="auto"/>
              <w:right w:val="single" w:sz="4" w:space="0" w:color="auto"/>
            </w:tcBorders>
            <w:shd w:val="clear" w:color="000000" w:fill="BDD7EE"/>
            <w:noWrap/>
            <w:vAlign w:val="center"/>
            <w:hideMark/>
          </w:tcPr>
          <w:p w14:paraId="2EB4A7F3" w14:textId="77777777" w:rsidR="0088258D" w:rsidRPr="00B92499" w:rsidRDefault="0088258D" w:rsidP="0088258D">
            <w:pPr>
              <w:jc w:val="center"/>
              <w:rPr>
                <w:rFonts w:ascii="Arial" w:hAnsi="Arial" w:cs="Arial"/>
                <w:color w:val="000000"/>
                <w:sz w:val="16"/>
                <w:szCs w:val="16"/>
              </w:rPr>
            </w:pPr>
            <w:r w:rsidRPr="00B92499">
              <w:rPr>
                <w:rFonts w:ascii="Arial" w:hAnsi="Arial" w:cs="Arial"/>
                <w:color w:val="000000"/>
                <w:sz w:val="16"/>
                <w:szCs w:val="16"/>
              </w:rPr>
              <w:t>89.44</w:t>
            </w:r>
          </w:p>
        </w:tc>
        <w:tc>
          <w:tcPr>
            <w:tcW w:w="850" w:type="dxa"/>
            <w:tcBorders>
              <w:top w:val="nil"/>
              <w:left w:val="nil"/>
              <w:bottom w:val="single" w:sz="4" w:space="0" w:color="auto"/>
              <w:right w:val="single" w:sz="4" w:space="0" w:color="auto"/>
            </w:tcBorders>
            <w:shd w:val="clear" w:color="000000" w:fill="D9D9D9"/>
            <w:noWrap/>
            <w:vAlign w:val="center"/>
            <w:hideMark/>
          </w:tcPr>
          <w:p w14:paraId="639BD51D" w14:textId="77777777" w:rsidR="0088258D" w:rsidRPr="00B92499" w:rsidRDefault="0088258D" w:rsidP="0088258D">
            <w:pPr>
              <w:jc w:val="center"/>
              <w:rPr>
                <w:rFonts w:ascii="Arial" w:hAnsi="Arial" w:cs="Arial"/>
                <w:color w:val="000000"/>
                <w:sz w:val="16"/>
                <w:szCs w:val="16"/>
              </w:rPr>
            </w:pPr>
            <w:r w:rsidRPr="00B92499">
              <w:rPr>
                <w:rFonts w:ascii="Arial" w:hAnsi="Arial" w:cs="Arial"/>
                <w:color w:val="000000"/>
                <w:sz w:val="16"/>
                <w:szCs w:val="16"/>
              </w:rPr>
              <w:t>2.35</w:t>
            </w:r>
          </w:p>
        </w:tc>
        <w:tc>
          <w:tcPr>
            <w:tcW w:w="850" w:type="dxa"/>
            <w:tcBorders>
              <w:top w:val="nil"/>
              <w:left w:val="nil"/>
              <w:bottom w:val="single" w:sz="4" w:space="0" w:color="auto"/>
              <w:right w:val="single" w:sz="4" w:space="0" w:color="auto"/>
            </w:tcBorders>
            <w:shd w:val="clear" w:color="auto" w:fill="auto"/>
            <w:noWrap/>
            <w:vAlign w:val="center"/>
            <w:hideMark/>
          </w:tcPr>
          <w:p w14:paraId="6C4BB072" w14:textId="77777777" w:rsidR="0088258D" w:rsidRPr="00B92499" w:rsidRDefault="0088258D" w:rsidP="0088258D">
            <w:pPr>
              <w:jc w:val="center"/>
              <w:rPr>
                <w:rFonts w:ascii="Arial" w:hAnsi="Arial" w:cs="Arial"/>
                <w:color w:val="000000"/>
                <w:sz w:val="16"/>
                <w:szCs w:val="16"/>
              </w:rPr>
            </w:pPr>
            <w:r w:rsidRPr="00B92499">
              <w:rPr>
                <w:rFonts w:ascii="Arial" w:hAnsi="Arial" w:cs="Arial"/>
                <w:color w:val="000000"/>
                <w:sz w:val="16"/>
                <w:szCs w:val="16"/>
              </w:rPr>
              <w:t>91.79</w:t>
            </w:r>
          </w:p>
        </w:tc>
        <w:tc>
          <w:tcPr>
            <w:tcW w:w="850" w:type="dxa"/>
            <w:tcBorders>
              <w:top w:val="nil"/>
              <w:left w:val="nil"/>
              <w:bottom w:val="single" w:sz="4" w:space="0" w:color="auto"/>
              <w:right w:val="single" w:sz="4" w:space="0" w:color="auto"/>
            </w:tcBorders>
            <w:shd w:val="clear" w:color="000000" w:fill="BDD7EE"/>
            <w:noWrap/>
            <w:vAlign w:val="center"/>
            <w:hideMark/>
          </w:tcPr>
          <w:p w14:paraId="2EBCE95F" w14:textId="77777777" w:rsidR="0088258D" w:rsidRPr="00B92499" w:rsidRDefault="0088258D" w:rsidP="0088258D">
            <w:pPr>
              <w:jc w:val="center"/>
              <w:rPr>
                <w:rFonts w:ascii="Arial" w:hAnsi="Arial" w:cs="Arial"/>
                <w:color w:val="000000"/>
                <w:sz w:val="16"/>
                <w:szCs w:val="16"/>
              </w:rPr>
            </w:pPr>
            <w:r w:rsidRPr="00B92499">
              <w:rPr>
                <w:rFonts w:ascii="Arial" w:hAnsi="Arial" w:cs="Arial"/>
                <w:color w:val="000000"/>
                <w:sz w:val="16"/>
                <w:szCs w:val="16"/>
              </w:rPr>
              <w:t>89.22</w:t>
            </w:r>
          </w:p>
        </w:tc>
        <w:tc>
          <w:tcPr>
            <w:tcW w:w="850" w:type="dxa"/>
            <w:tcBorders>
              <w:top w:val="nil"/>
              <w:left w:val="nil"/>
              <w:bottom w:val="single" w:sz="4" w:space="0" w:color="auto"/>
              <w:right w:val="single" w:sz="4" w:space="0" w:color="auto"/>
            </w:tcBorders>
            <w:shd w:val="clear" w:color="000000" w:fill="D9D9D9"/>
            <w:noWrap/>
            <w:vAlign w:val="center"/>
            <w:hideMark/>
          </w:tcPr>
          <w:p w14:paraId="2051A0FA" w14:textId="77777777" w:rsidR="0088258D" w:rsidRPr="00B92499" w:rsidRDefault="0088258D" w:rsidP="0088258D">
            <w:pPr>
              <w:jc w:val="center"/>
              <w:rPr>
                <w:rFonts w:ascii="Arial" w:hAnsi="Arial" w:cs="Arial"/>
                <w:color w:val="000000"/>
                <w:sz w:val="16"/>
                <w:szCs w:val="16"/>
              </w:rPr>
            </w:pPr>
            <w:r w:rsidRPr="00B92499">
              <w:rPr>
                <w:rFonts w:ascii="Arial" w:hAnsi="Arial" w:cs="Arial"/>
                <w:color w:val="000000"/>
                <w:sz w:val="16"/>
                <w:szCs w:val="16"/>
              </w:rPr>
              <w:t>2.49</w:t>
            </w:r>
          </w:p>
        </w:tc>
        <w:tc>
          <w:tcPr>
            <w:tcW w:w="850" w:type="dxa"/>
            <w:tcBorders>
              <w:top w:val="nil"/>
              <w:left w:val="nil"/>
              <w:bottom w:val="single" w:sz="4" w:space="0" w:color="auto"/>
              <w:right w:val="single" w:sz="4" w:space="0" w:color="auto"/>
            </w:tcBorders>
            <w:shd w:val="clear" w:color="auto" w:fill="auto"/>
            <w:noWrap/>
            <w:vAlign w:val="center"/>
            <w:hideMark/>
          </w:tcPr>
          <w:p w14:paraId="76996AE3" w14:textId="77777777" w:rsidR="0088258D" w:rsidRPr="00B92499" w:rsidRDefault="0088258D" w:rsidP="0088258D">
            <w:pPr>
              <w:jc w:val="center"/>
              <w:rPr>
                <w:rFonts w:ascii="Arial" w:hAnsi="Arial" w:cs="Arial"/>
                <w:color w:val="000000"/>
                <w:sz w:val="16"/>
                <w:szCs w:val="16"/>
              </w:rPr>
            </w:pPr>
            <w:r w:rsidRPr="00B92499">
              <w:rPr>
                <w:rFonts w:ascii="Arial" w:hAnsi="Arial" w:cs="Arial"/>
                <w:color w:val="000000"/>
                <w:sz w:val="16"/>
                <w:szCs w:val="16"/>
              </w:rPr>
              <w:t>91.71</w:t>
            </w:r>
          </w:p>
        </w:tc>
      </w:tr>
      <w:tr w:rsidR="0088258D" w:rsidRPr="00B92499" w14:paraId="0F2E8819" w14:textId="77777777" w:rsidTr="00027F6E">
        <w:trPr>
          <w:trHeight w:val="1020"/>
        </w:trPr>
        <w:tc>
          <w:tcPr>
            <w:tcW w:w="421" w:type="dxa"/>
            <w:tcBorders>
              <w:top w:val="nil"/>
              <w:left w:val="single" w:sz="4" w:space="0" w:color="auto"/>
              <w:bottom w:val="single" w:sz="4" w:space="0" w:color="auto"/>
              <w:right w:val="single" w:sz="4" w:space="0" w:color="auto"/>
            </w:tcBorders>
            <w:shd w:val="clear" w:color="000000" w:fill="FFFFFF"/>
            <w:vAlign w:val="center"/>
            <w:hideMark/>
          </w:tcPr>
          <w:p w14:paraId="6C63ED0F" w14:textId="77777777" w:rsidR="0088258D" w:rsidRPr="00B92499" w:rsidRDefault="0088258D" w:rsidP="0088258D">
            <w:pPr>
              <w:jc w:val="center"/>
              <w:rPr>
                <w:rFonts w:ascii="Arial" w:hAnsi="Arial" w:cs="Arial"/>
                <w:color w:val="000000"/>
                <w:sz w:val="16"/>
                <w:szCs w:val="16"/>
              </w:rPr>
            </w:pPr>
            <w:r w:rsidRPr="00B92499">
              <w:rPr>
                <w:rFonts w:ascii="Arial" w:hAnsi="Arial" w:cs="Arial"/>
                <w:color w:val="000000"/>
                <w:sz w:val="16"/>
                <w:szCs w:val="16"/>
              </w:rPr>
              <w:t>7</w:t>
            </w:r>
          </w:p>
        </w:tc>
        <w:tc>
          <w:tcPr>
            <w:tcW w:w="1304" w:type="dxa"/>
            <w:tcBorders>
              <w:top w:val="nil"/>
              <w:left w:val="nil"/>
              <w:bottom w:val="single" w:sz="4" w:space="0" w:color="auto"/>
              <w:right w:val="single" w:sz="4" w:space="0" w:color="auto"/>
            </w:tcBorders>
            <w:shd w:val="clear" w:color="000000" w:fill="FFFFFF"/>
            <w:vAlign w:val="center"/>
            <w:hideMark/>
          </w:tcPr>
          <w:p w14:paraId="508A373C" w14:textId="77777777" w:rsidR="0088258D" w:rsidRPr="00B92499" w:rsidRDefault="0088258D" w:rsidP="0088258D">
            <w:pPr>
              <w:rPr>
                <w:rFonts w:ascii="Arial" w:hAnsi="Arial" w:cs="Arial"/>
                <w:color w:val="000000"/>
                <w:sz w:val="16"/>
                <w:szCs w:val="16"/>
              </w:rPr>
            </w:pPr>
            <w:r w:rsidRPr="00B92499">
              <w:rPr>
                <w:rFonts w:ascii="Arial" w:hAnsi="Arial" w:cs="Arial"/>
                <w:color w:val="000000"/>
                <w:sz w:val="16"/>
                <w:szCs w:val="16"/>
              </w:rPr>
              <w:t>Alcaldía Gustavo A Madero</w:t>
            </w:r>
          </w:p>
        </w:tc>
        <w:tc>
          <w:tcPr>
            <w:tcW w:w="850" w:type="dxa"/>
            <w:tcBorders>
              <w:top w:val="nil"/>
              <w:left w:val="nil"/>
              <w:bottom w:val="single" w:sz="4" w:space="0" w:color="auto"/>
              <w:right w:val="single" w:sz="4" w:space="0" w:color="auto"/>
            </w:tcBorders>
            <w:shd w:val="clear" w:color="000000" w:fill="BDD7EE"/>
            <w:noWrap/>
            <w:vAlign w:val="center"/>
            <w:hideMark/>
          </w:tcPr>
          <w:p w14:paraId="6175CA18" w14:textId="77777777" w:rsidR="0088258D" w:rsidRPr="00B92499" w:rsidRDefault="0088258D" w:rsidP="0088258D">
            <w:pPr>
              <w:jc w:val="center"/>
              <w:rPr>
                <w:rFonts w:ascii="Arial" w:hAnsi="Arial" w:cs="Arial"/>
                <w:color w:val="000000"/>
                <w:sz w:val="16"/>
                <w:szCs w:val="16"/>
              </w:rPr>
            </w:pPr>
            <w:r w:rsidRPr="00B92499">
              <w:rPr>
                <w:rFonts w:ascii="Arial" w:hAnsi="Arial" w:cs="Arial"/>
                <w:color w:val="000000"/>
                <w:sz w:val="16"/>
                <w:szCs w:val="16"/>
              </w:rPr>
              <w:t>90.01</w:t>
            </w:r>
          </w:p>
        </w:tc>
        <w:tc>
          <w:tcPr>
            <w:tcW w:w="850" w:type="dxa"/>
            <w:tcBorders>
              <w:top w:val="nil"/>
              <w:left w:val="nil"/>
              <w:bottom w:val="single" w:sz="4" w:space="0" w:color="auto"/>
              <w:right w:val="single" w:sz="4" w:space="0" w:color="auto"/>
            </w:tcBorders>
            <w:shd w:val="clear" w:color="000000" w:fill="D9D9D9"/>
            <w:noWrap/>
            <w:vAlign w:val="center"/>
            <w:hideMark/>
          </w:tcPr>
          <w:p w14:paraId="7ED6D7A0" w14:textId="77777777" w:rsidR="0088258D" w:rsidRPr="00B92499" w:rsidRDefault="0088258D" w:rsidP="0088258D">
            <w:pPr>
              <w:jc w:val="center"/>
              <w:rPr>
                <w:rFonts w:ascii="Arial" w:hAnsi="Arial" w:cs="Arial"/>
                <w:color w:val="000000"/>
                <w:sz w:val="16"/>
                <w:szCs w:val="16"/>
              </w:rPr>
            </w:pPr>
            <w:r w:rsidRPr="00B92499">
              <w:rPr>
                <w:rFonts w:ascii="Arial" w:hAnsi="Arial" w:cs="Arial"/>
                <w:color w:val="000000"/>
                <w:sz w:val="16"/>
                <w:szCs w:val="16"/>
              </w:rPr>
              <w:t>1.62</w:t>
            </w:r>
          </w:p>
        </w:tc>
        <w:tc>
          <w:tcPr>
            <w:tcW w:w="850" w:type="dxa"/>
            <w:tcBorders>
              <w:top w:val="nil"/>
              <w:left w:val="nil"/>
              <w:bottom w:val="single" w:sz="4" w:space="0" w:color="auto"/>
              <w:right w:val="single" w:sz="4" w:space="0" w:color="auto"/>
            </w:tcBorders>
            <w:shd w:val="clear" w:color="auto" w:fill="auto"/>
            <w:noWrap/>
            <w:vAlign w:val="center"/>
            <w:hideMark/>
          </w:tcPr>
          <w:p w14:paraId="131B1E52" w14:textId="77777777" w:rsidR="0088258D" w:rsidRPr="00B92499" w:rsidRDefault="0088258D" w:rsidP="0088258D">
            <w:pPr>
              <w:jc w:val="center"/>
              <w:rPr>
                <w:rFonts w:ascii="Arial" w:hAnsi="Arial" w:cs="Arial"/>
                <w:color w:val="000000"/>
                <w:sz w:val="16"/>
                <w:szCs w:val="16"/>
              </w:rPr>
            </w:pPr>
            <w:r w:rsidRPr="00B92499">
              <w:rPr>
                <w:rFonts w:ascii="Arial" w:hAnsi="Arial" w:cs="Arial"/>
                <w:color w:val="000000"/>
                <w:sz w:val="16"/>
                <w:szCs w:val="16"/>
              </w:rPr>
              <w:t>91.64</w:t>
            </w:r>
          </w:p>
        </w:tc>
        <w:tc>
          <w:tcPr>
            <w:tcW w:w="850" w:type="dxa"/>
            <w:tcBorders>
              <w:top w:val="nil"/>
              <w:left w:val="nil"/>
              <w:bottom w:val="single" w:sz="4" w:space="0" w:color="auto"/>
              <w:right w:val="single" w:sz="4" w:space="0" w:color="auto"/>
            </w:tcBorders>
            <w:shd w:val="clear" w:color="000000" w:fill="BDD7EE"/>
            <w:noWrap/>
            <w:vAlign w:val="center"/>
            <w:hideMark/>
          </w:tcPr>
          <w:p w14:paraId="1266F9BF" w14:textId="77777777" w:rsidR="0088258D" w:rsidRPr="00B92499" w:rsidRDefault="0088258D" w:rsidP="0088258D">
            <w:pPr>
              <w:jc w:val="center"/>
              <w:rPr>
                <w:rFonts w:ascii="Arial" w:hAnsi="Arial" w:cs="Arial"/>
                <w:color w:val="000000"/>
                <w:sz w:val="16"/>
                <w:szCs w:val="16"/>
              </w:rPr>
            </w:pPr>
            <w:r w:rsidRPr="00B92499">
              <w:rPr>
                <w:rFonts w:ascii="Arial" w:hAnsi="Arial" w:cs="Arial"/>
                <w:color w:val="000000"/>
                <w:sz w:val="16"/>
                <w:szCs w:val="16"/>
              </w:rPr>
              <w:t>89.31</w:t>
            </w:r>
          </w:p>
        </w:tc>
        <w:tc>
          <w:tcPr>
            <w:tcW w:w="850" w:type="dxa"/>
            <w:tcBorders>
              <w:top w:val="nil"/>
              <w:left w:val="nil"/>
              <w:bottom w:val="single" w:sz="4" w:space="0" w:color="auto"/>
              <w:right w:val="single" w:sz="4" w:space="0" w:color="auto"/>
            </w:tcBorders>
            <w:shd w:val="clear" w:color="000000" w:fill="D9D9D9"/>
            <w:noWrap/>
            <w:vAlign w:val="center"/>
            <w:hideMark/>
          </w:tcPr>
          <w:p w14:paraId="1387D295" w14:textId="77777777" w:rsidR="0088258D" w:rsidRPr="00B92499" w:rsidRDefault="0088258D" w:rsidP="0088258D">
            <w:pPr>
              <w:jc w:val="center"/>
              <w:rPr>
                <w:rFonts w:ascii="Arial" w:hAnsi="Arial" w:cs="Arial"/>
                <w:color w:val="000000"/>
                <w:sz w:val="16"/>
                <w:szCs w:val="16"/>
              </w:rPr>
            </w:pPr>
            <w:r w:rsidRPr="00B92499">
              <w:rPr>
                <w:rFonts w:ascii="Arial" w:hAnsi="Arial" w:cs="Arial"/>
                <w:color w:val="000000"/>
                <w:sz w:val="16"/>
                <w:szCs w:val="16"/>
              </w:rPr>
              <w:t>1.62</w:t>
            </w:r>
          </w:p>
        </w:tc>
        <w:tc>
          <w:tcPr>
            <w:tcW w:w="850" w:type="dxa"/>
            <w:tcBorders>
              <w:top w:val="nil"/>
              <w:left w:val="nil"/>
              <w:bottom w:val="single" w:sz="4" w:space="0" w:color="auto"/>
              <w:right w:val="single" w:sz="4" w:space="0" w:color="auto"/>
            </w:tcBorders>
            <w:shd w:val="clear" w:color="auto" w:fill="auto"/>
            <w:noWrap/>
            <w:vAlign w:val="center"/>
            <w:hideMark/>
          </w:tcPr>
          <w:p w14:paraId="5CA64876" w14:textId="77777777" w:rsidR="0088258D" w:rsidRPr="00B92499" w:rsidRDefault="0088258D" w:rsidP="0088258D">
            <w:pPr>
              <w:jc w:val="center"/>
              <w:rPr>
                <w:rFonts w:ascii="Arial" w:hAnsi="Arial" w:cs="Arial"/>
                <w:color w:val="000000"/>
                <w:sz w:val="16"/>
                <w:szCs w:val="16"/>
              </w:rPr>
            </w:pPr>
            <w:r w:rsidRPr="00B92499">
              <w:rPr>
                <w:rFonts w:ascii="Arial" w:hAnsi="Arial" w:cs="Arial"/>
                <w:color w:val="000000"/>
                <w:sz w:val="16"/>
                <w:szCs w:val="16"/>
              </w:rPr>
              <w:t>90.94</w:t>
            </w:r>
          </w:p>
        </w:tc>
        <w:tc>
          <w:tcPr>
            <w:tcW w:w="850" w:type="dxa"/>
            <w:tcBorders>
              <w:top w:val="nil"/>
              <w:left w:val="nil"/>
              <w:bottom w:val="single" w:sz="4" w:space="0" w:color="auto"/>
              <w:right w:val="single" w:sz="4" w:space="0" w:color="auto"/>
            </w:tcBorders>
            <w:shd w:val="clear" w:color="000000" w:fill="BDD7EE"/>
            <w:noWrap/>
            <w:vAlign w:val="center"/>
            <w:hideMark/>
          </w:tcPr>
          <w:p w14:paraId="7236C8C1" w14:textId="77777777" w:rsidR="0088258D" w:rsidRPr="00B92499" w:rsidRDefault="0088258D" w:rsidP="0088258D">
            <w:pPr>
              <w:jc w:val="center"/>
              <w:rPr>
                <w:rFonts w:ascii="Arial" w:hAnsi="Arial" w:cs="Arial"/>
                <w:color w:val="000000"/>
                <w:sz w:val="16"/>
                <w:szCs w:val="16"/>
              </w:rPr>
            </w:pPr>
            <w:r w:rsidRPr="00B92499">
              <w:rPr>
                <w:rFonts w:ascii="Arial" w:hAnsi="Arial" w:cs="Arial"/>
                <w:color w:val="000000"/>
                <w:sz w:val="16"/>
                <w:szCs w:val="16"/>
              </w:rPr>
              <w:t>89.66</w:t>
            </w:r>
          </w:p>
        </w:tc>
        <w:tc>
          <w:tcPr>
            <w:tcW w:w="850" w:type="dxa"/>
            <w:tcBorders>
              <w:top w:val="nil"/>
              <w:left w:val="nil"/>
              <w:bottom w:val="single" w:sz="4" w:space="0" w:color="auto"/>
              <w:right w:val="single" w:sz="4" w:space="0" w:color="auto"/>
            </w:tcBorders>
            <w:shd w:val="clear" w:color="000000" w:fill="D9D9D9"/>
            <w:noWrap/>
            <w:vAlign w:val="center"/>
            <w:hideMark/>
          </w:tcPr>
          <w:p w14:paraId="3AC097EA" w14:textId="77777777" w:rsidR="0088258D" w:rsidRPr="00B92499" w:rsidRDefault="0088258D" w:rsidP="0088258D">
            <w:pPr>
              <w:jc w:val="center"/>
              <w:rPr>
                <w:rFonts w:ascii="Arial" w:hAnsi="Arial" w:cs="Arial"/>
                <w:color w:val="000000"/>
                <w:sz w:val="16"/>
                <w:szCs w:val="16"/>
              </w:rPr>
            </w:pPr>
            <w:r w:rsidRPr="00B92499">
              <w:rPr>
                <w:rFonts w:ascii="Arial" w:hAnsi="Arial" w:cs="Arial"/>
                <w:color w:val="000000"/>
                <w:sz w:val="16"/>
                <w:szCs w:val="16"/>
              </w:rPr>
              <w:t>1.62</w:t>
            </w:r>
          </w:p>
        </w:tc>
        <w:tc>
          <w:tcPr>
            <w:tcW w:w="850" w:type="dxa"/>
            <w:tcBorders>
              <w:top w:val="nil"/>
              <w:left w:val="nil"/>
              <w:bottom w:val="single" w:sz="4" w:space="0" w:color="auto"/>
              <w:right w:val="single" w:sz="4" w:space="0" w:color="auto"/>
            </w:tcBorders>
            <w:shd w:val="clear" w:color="auto" w:fill="auto"/>
            <w:noWrap/>
            <w:vAlign w:val="center"/>
            <w:hideMark/>
          </w:tcPr>
          <w:p w14:paraId="0990B2F8" w14:textId="77777777" w:rsidR="0088258D" w:rsidRPr="00B92499" w:rsidRDefault="0088258D" w:rsidP="0088258D">
            <w:pPr>
              <w:jc w:val="center"/>
              <w:rPr>
                <w:rFonts w:ascii="Arial" w:hAnsi="Arial" w:cs="Arial"/>
                <w:color w:val="000000"/>
                <w:sz w:val="16"/>
                <w:szCs w:val="16"/>
              </w:rPr>
            </w:pPr>
            <w:r w:rsidRPr="00B92499">
              <w:rPr>
                <w:rFonts w:ascii="Arial" w:hAnsi="Arial" w:cs="Arial"/>
                <w:color w:val="000000"/>
                <w:sz w:val="16"/>
                <w:szCs w:val="16"/>
              </w:rPr>
              <w:t>91.29</w:t>
            </w:r>
          </w:p>
        </w:tc>
      </w:tr>
      <w:tr w:rsidR="0088258D" w:rsidRPr="00B92499" w14:paraId="53321E89" w14:textId="77777777" w:rsidTr="00027F6E">
        <w:trPr>
          <w:trHeight w:val="680"/>
        </w:trPr>
        <w:tc>
          <w:tcPr>
            <w:tcW w:w="421" w:type="dxa"/>
            <w:tcBorders>
              <w:top w:val="nil"/>
              <w:left w:val="single" w:sz="4" w:space="0" w:color="auto"/>
              <w:bottom w:val="single" w:sz="4" w:space="0" w:color="auto"/>
              <w:right w:val="single" w:sz="4" w:space="0" w:color="auto"/>
            </w:tcBorders>
            <w:shd w:val="clear" w:color="000000" w:fill="FFFFFF"/>
            <w:vAlign w:val="center"/>
            <w:hideMark/>
          </w:tcPr>
          <w:p w14:paraId="0727DCCF" w14:textId="77777777" w:rsidR="0088258D" w:rsidRPr="00B92499" w:rsidRDefault="0088258D" w:rsidP="0088258D">
            <w:pPr>
              <w:jc w:val="center"/>
              <w:rPr>
                <w:rFonts w:ascii="Arial" w:hAnsi="Arial" w:cs="Arial"/>
                <w:color w:val="000000"/>
                <w:sz w:val="16"/>
                <w:szCs w:val="16"/>
              </w:rPr>
            </w:pPr>
            <w:r w:rsidRPr="00B92499">
              <w:rPr>
                <w:rFonts w:ascii="Arial" w:hAnsi="Arial" w:cs="Arial"/>
                <w:color w:val="000000"/>
                <w:sz w:val="16"/>
                <w:szCs w:val="16"/>
              </w:rPr>
              <w:t>8</w:t>
            </w:r>
          </w:p>
        </w:tc>
        <w:tc>
          <w:tcPr>
            <w:tcW w:w="1304" w:type="dxa"/>
            <w:tcBorders>
              <w:top w:val="nil"/>
              <w:left w:val="nil"/>
              <w:bottom w:val="single" w:sz="4" w:space="0" w:color="auto"/>
              <w:right w:val="single" w:sz="4" w:space="0" w:color="auto"/>
            </w:tcBorders>
            <w:shd w:val="clear" w:color="000000" w:fill="FFFFFF"/>
            <w:vAlign w:val="center"/>
            <w:hideMark/>
          </w:tcPr>
          <w:p w14:paraId="1F4EADBE" w14:textId="77777777" w:rsidR="0088258D" w:rsidRPr="00B92499" w:rsidRDefault="0088258D" w:rsidP="0088258D">
            <w:pPr>
              <w:rPr>
                <w:rFonts w:ascii="Arial" w:hAnsi="Arial" w:cs="Arial"/>
                <w:color w:val="000000"/>
                <w:sz w:val="16"/>
                <w:szCs w:val="16"/>
              </w:rPr>
            </w:pPr>
            <w:r w:rsidRPr="00B92499">
              <w:rPr>
                <w:rFonts w:ascii="Arial" w:hAnsi="Arial" w:cs="Arial"/>
                <w:color w:val="000000"/>
                <w:sz w:val="16"/>
                <w:szCs w:val="16"/>
              </w:rPr>
              <w:t>Alcaldía Azcapotzalco</w:t>
            </w:r>
          </w:p>
        </w:tc>
        <w:tc>
          <w:tcPr>
            <w:tcW w:w="850" w:type="dxa"/>
            <w:tcBorders>
              <w:top w:val="nil"/>
              <w:left w:val="nil"/>
              <w:bottom w:val="single" w:sz="4" w:space="0" w:color="auto"/>
              <w:right w:val="single" w:sz="4" w:space="0" w:color="auto"/>
            </w:tcBorders>
            <w:shd w:val="clear" w:color="000000" w:fill="BDD7EE"/>
            <w:noWrap/>
            <w:vAlign w:val="center"/>
            <w:hideMark/>
          </w:tcPr>
          <w:p w14:paraId="286C22DF" w14:textId="77777777" w:rsidR="0088258D" w:rsidRPr="00B92499" w:rsidRDefault="0088258D" w:rsidP="0088258D">
            <w:pPr>
              <w:jc w:val="center"/>
              <w:rPr>
                <w:rFonts w:ascii="Arial" w:hAnsi="Arial" w:cs="Arial"/>
                <w:color w:val="000000"/>
                <w:sz w:val="16"/>
                <w:szCs w:val="16"/>
              </w:rPr>
            </w:pPr>
            <w:r w:rsidRPr="00B92499">
              <w:rPr>
                <w:rFonts w:ascii="Arial" w:hAnsi="Arial" w:cs="Arial"/>
                <w:color w:val="000000"/>
                <w:sz w:val="16"/>
                <w:szCs w:val="16"/>
              </w:rPr>
              <w:t>86.33</w:t>
            </w:r>
          </w:p>
        </w:tc>
        <w:tc>
          <w:tcPr>
            <w:tcW w:w="850" w:type="dxa"/>
            <w:tcBorders>
              <w:top w:val="nil"/>
              <w:left w:val="nil"/>
              <w:bottom w:val="single" w:sz="4" w:space="0" w:color="auto"/>
              <w:right w:val="single" w:sz="4" w:space="0" w:color="auto"/>
            </w:tcBorders>
            <w:shd w:val="clear" w:color="000000" w:fill="D9D9D9"/>
            <w:noWrap/>
            <w:vAlign w:val="center"/>
            <w:hideMark/>
          </w:tcPr>
          <w:p w14:paraId="57829E7A" w14:textId="77777777" w:rsidR="0088258D" w:rsidRPr="00B92499" w:rsidRDefault="0088258D" w:rsidP="0088258D">
            <w:pPr>
              <w:jc w:val="center"/>
              <w:rPr>
                <w:rFonts w:ascii="Arial" w:hAnsi="Arial" w:cs="Arial"/>
                <w:color w:val="000000"/>
                <w:sz w:val="16"/>
                <w:szCs w:val="16"/>
              </w:rPr>
            </w:pPr>
            <w:r w:rsidRPr="00B92499">
              <w:rPr>
                <w:rFonts w:ascii="Arial" w:hAnsi="Arial" w:cs="Arial"/>
                <w:color w:val="000000"/>
                <w:sz w:val="16"/>
                <w:szCs w:val="16"/>
              </w:rPr>
              <w:t>3.20</w:t>
            </w:r>
          </w:p>
        </w:tc>
        <w:tc>
          <w:tcPr>
            <w:tcW w:w="850" w:type="dxa"/>
            <w:tcBorders>
              <w:top w:val="nil"/>
              <w:left w:val="nil"/>
              <w:bottom w:val="single" w:sz="4" w:space="0" w:color="auto"/>
              <w:right w:val="single" w:sz="4" w:space="0" w:color="auto"/>
            </w:tcBorders>
            <w:shd w:val="clear" w:color="auto" w:fill="auto"/>
            <w:noWrap/>
            <w:vAlign w:val="center"/>
            <w:hideMark/>
          </w:tcPr>
          <w:p w14:paraId="49068383" w14:textId="77777777" w:rsidR="0088258D" w:rsidRPr="00B92499" w:rsidRDefault="0088258D" w:rsidP="0088258D">
            <w:pPr>
              <w:jc w:val="center"/>
              <w:rPr>
                <w:rFonts w:ascii="Arial" w:hAnsi="Arial" w:cs="Arial"/>
                <w:color w:val="000000"/>
                <w:sz w:val="16"/>
                <w:szCs w:val="16"/>
              </w:rPr>
            </w:pPr>
            <w:r w:rsidRPr="00B92499">
              <w:rPr>
                <w:rFonts w:ascii="Arial" w:hAnsi="Arial" w:cs="Arial"/>
                <w:color w:val="000000"/>
                <w:sz w:val="16"/>
                <w:szCs w:val="16"/>
              </w:rPr>
              <w:t>89.53</w:t>
            </w:r>
          </w:p>
        </w:tc>
        <w:tc>
          <w:tcPr>
            <w:tcW w:w="850" w:type="dxa"/>
            <w:tcBorders>
              <w:top w:val="nil"/>
              <w:left w:val="nil"/>
              <w:bottom w:val="single" w:sz="4" w:space="0" w:color="auto"/>
              <w:right w:val="single" w:sz="4" w:space="0" w:color="auto"/>
            </w:tcBorders>
            <w:shd w:val="clear" w:color="000000" w:fill="BDD7EE"/>
            <w:noWrap/>
            <w:vAlign w:val="center"/>
            <w:hideMark/>
          </w:tcPr>
          <w:p w14:paraId="19F02696" w14:textId="77777777" w:rsidR="0088258D" w:rsidRPr="00B92499" w:rsidRDefault="0088258D" w:rsidP="0088258D">
            <w:pPr>
              <w:jc w:val="center"/>
              <w:rPr>
                <w:rFonts w:ascii="Arial" w:hAnsi="Arial" w:cs="Arial"/>
                <w:color w:val="000000"/>
                <w:sz w:val="16"/>
                <w:szCs w:val="16"/>
              </w:rPr>
            </w:pPr>
            <w:r w:rsidRPr="00B92499">
              <w:rPr>
                <w:rFonts w:ascii="Arial" w:hAnsi="Arial" w:cs="Arial"/>
                <w:color w:val="000000"/>
                <w:sz w:val="16"/>
                <w:szCs w:val="16"/>
              </w:rPr>
              <w:t>88.48</w:t>
            </w:r>
          </w:p>
        </w:tc>
        <w:tc>
          <w:tcPr>
            <w:tcW w:w="850" w:type="dxa"/>
            <w:tcBorders>
              <w:top w:val="nil"/>
              <w:left w:val="nil"/>
              <w:bottom w:val="single" w:sz="4" w:space="0" w:color="auto"/>
              <w:right w:val="single" w:sz="4" w:space="0" w:color="auto"/>
            </w:tcBorders>
            <w:shd w:val="clear" w:color="000000" w:fill="D9D9D9"/>
            <w:noWrap/>
            <w:vAlign w:val="center"/>
            <w:hideMark/>
          </w:tcPr>
          <w:p w14:paraId="2D0514D8" w14:textId="77777777" w:rsidR="0088258D" w:rsidRPr="00B92499" w:rsidRDefault="0088258D" w:rsidP="0088258D">
            <w:pPr>
              <w:jc w:val="center"/>
              <w:rPr>
                <w:rFonts w:ascii="Arial" w:hAnsi="Arial" w:cs="Arial"/>
                <w:color w:val="000000"/>
                <w:sz w:val="16"/>
                <w:szCs w:val="16"/>
              </w:rPr>
            </w:pPr>
            <w:r w:rsidRPr="00B92499">
              <w:rPr>
                <w:rFonts w:ascii="Arial" w:hAnsi="Arial" w:cs="Arial"/>
                <w:color w:val="000000"/>
                <w:sz w:val="16"/>
                <w:szCs w:val="16"/>
              </w:rPr>
              <w:t>3.22</w:t>
            </w:r>
          </w:p>
        </w:tc>
        <w:tc>
          <w:tcPr>
            <w:tcW w:w="850" w:type="dxa"/>
            <w:tcBorders>
              <w:top w:val="nil"/>
              <w:left w:val="nil"/>
              <w:bottom w:val="single" w:sz="4" w:space="0" w:color="auto"/>
              <w:right w:val="single" w:sz="4" w:space="0" w:color="auto"/>
            </w:tcBorders>
            <w:shd w:val="clear" w:color="auto" w:fill="auto"/>
            <w:noWrap/>
            <w:vAlign w:val="center"/>
            <w:hideMark/>
          </w:tcPr>
          <w:p w14:paraId="36FD7FD5" w14:textId="77777777" w:rsidR="0088258D" w:rsidRPr="00B92499" w:rsidRDefault="0088258D" w:rsidP="0088258D">
            <w:pPr>
              <w:jc w:val="center"/>
              <w:rPr>
                <w:rFonts w:ascii="Arial" w:hAnsi="Arial" w:cs="Arial"/>
                <w:color w:val="000000"/>
                <w:sz w:val="16"/>
                <w:szCs w:val="16"/>
              </w:rPr>
            </w:pPr>
            <w:r w:rsidRPr="00B92499">
              <w:rPr>
                <w:rFonts w:ascii="Arial" w:hAnsi="Arial" w:cs="Arial"/>
                <w:color w:val="000000"/>
                <w:sz w:val="16"/>
                <w:szCs w:val="16"/>
              </w:rPr>
              <w:t>91.71</w:t>
            </w:r>
          </w:p>
        </w:tc>
        <w:tc>
          <w:tcPr>
            <w:tcW w:w="850" w:type="dxa"/>
            <w:tcBorders>
              <w:top w:val="nil"/>
              <w:left w:val="nil"/>
              <w:bottom w:val="single" w:sz="4" w:space="0" w:color="auto"/>
              <w:right w:val="single" w:sz="4" w:space="0" w:color="auto"/>
            </w:tcBorders>
            <w:shd w:val="clear" w:color="000000" w:fill="BDD7EE"/>
            <w:noWrap/>
            <w:vAlign w:val="center"/>
            <w:hideMark/>
          </w:tcPr>
          <w:p w14:paraId="361DCE4B" w14:textId="77777777" w:rsidR="0088258D" w:rsidRPr="00B92499" w:rsidRDefault="0088258D" w:rsidP="0088258D">
            <w:pPr>
              <w:jc w:val="center"/>
              <w:rPr>
                <w:rFonts w:ascii="Arial" w:hAnsi="Arial" w:cs="Arial"/>
                <w:color w:val="000000"/>
                <w:sz w:val="16"/>
                <w:szCs w:val="16"/>
              </w:rPr>
            </w:pPr>
            <w:r w:rsidRPr="00B92499">
              <w:rPr>
                <w:rFonts w:ascii="Arial" w:hAnsi="Arial" w:cs="Arial"/>
                <w:color w:val="000000"/>
                <w:sz w:val="16"/>
                <w:szCs w:val="16"/>
              </w:rPr>
              <w:t>87.41</w:t>
            </w:r>
          </w:p>
        </w:tc>
        <w:tc>
          <w:tcPr>
            <w:tcW w:w="850" w:type="dxa"/>
            <w:tcBorders>
              <w:top w:val="nil"/>
              <w:left w:val="nil"/>
              <w:bottom w:val="single" w:sz="4" w:space="0" w:color="auto"/>
              <w:right w:val="single" w:sz="4" w:space="0" w:color="auto"/>
            </w:tcBorders>
            <w:shd w:val="clear" w:color="000000" w:fill="D9D9D9"/>
            <w:noWrap/>
            <w:vAlign w:val="center"/>
            <w:hideMark/>
          </w:tcPr>
          <w:p w14:paraId="307FEAC3" w14:textId="77777777" w:rsidR="0088258D" w:rsidRPr="00B92499" w:rsidRDefault="0088258D" w:rsidP="0088258D">
            <w:pPr>
              <w:jc w:val="center"/>
              <w:rPr>
                <w:rFonts w:ascii="Arial" w:hAnsi="Arial" w:cs="Arial"/>
                <w:color w:val="000000"/>
                <w:sz w:val="16"/>
                <w:szCs w:val="16"/>
              </w:rPr>
            </w:pPr>
            <w:r w:rsidRPr="00B92499">
              <w:rPr>
                <w:rFonts w:ascii="Arial" w:hAnsi="Arial" w:cs="Arial"/>
                <w:color w:val="000000"/>
                <w:sz w:val="16"/>
                <w:szCs w:val="16"/>
              </w:rPr>
              <w:t>3.21</w:t>
            </w:r>
          </w:p>
        </w:tc>
        <w:tc>
          <w:tcPr>
            <w:tcW w:w="850" w:type="dxa"/>
            <w:tcBorders>
              <w:top w:val="nil"/>
              <w:left w:val="nil"/>
              <w:bottom w:val="single" w:sz="4" w:space="0" w:color="auto"/>
              <w:right w:val="single" w:sz="4" w:space="0" w:color="auto"/>
            </w:tcBorders>
            <w:shd w:val="clear" w:color="auto" w:fill="auto"/>
            <w:noWrap/>
            <w:vAlign w:val="center"/>
            <w:hideMark/>
          </w:tcPr>
          <w:p w14:paraId="365E1AAD" w14:textId="77777777" w:rsidR="0088258D" w:rsidRPr="00B92499" w:rsidRDefault="0088258D" w:rsidP="0088258D">
            <w:pPr>
              <w:jc w:val="center"/>
              <w:rPr>
                <w:rFonts w:ascii="Arial" w:hAnsi="Arial" w:cs="Arial"/>
                <w:color w:val="000000"/>
                <w:sz w:val="16"/>
                <w:szCs w:val="16"/>
              </w:rPr>
            </w:pPr>
            <w:r w:rsidRPr="00B92499">
              <w:rPr>
                <w:rFonts w:ascii="Arial" w:hAnsi="Arial" w:cs="Arial"/>
                <w:color w:val="000000"/>
                <w:sz w:val="16"/>
                <w:szCs w:val="16"/>
              </w:rPr>
              <w:t>90.62</w:t>
            </w:r>
          </w:p>
        </w:tc>
      </w:tr>
      <w:tr w:rsidR="0088258D" w:rsidRPr="00B92499" w14:paraId="7D5ED93B" w14:textId="77777777" w:rsidTr="00027F6E">
        <w:trPr>
          <w:trHeight w:val="680"/>
        </w:trPr>
        <w:tc>
          <w:tcPr>
            <w:tcW w:w="421" w:type="dxa"/>
            <w:tcBorders>
              <w:top w:val="nil"/>
              <w:left w:val="single" w:sz="4" w:space="0" w:color="auto"/>
              <w:bottom w:val="single" w:sz="4" w:space="0" w:color="auto"/>
              <w:right w:val="single" w:sz="4" w:space="0" w:color="auto"/>
            </w:tcBorders>
            <w:shd w:val="clear" w:color="000000" w:fill="FFFFFF"/>
            <w:vAlign w:val="center"/>
            <w:hideMark/>
          </w:tcPr>
          <w:p w14:paraId="44CA56BE" w14:textId="77777777" w:rsidR="0088258D" w:rsidRPr="00B92499" w:rsidRDefault="0088258D" w:rsidP="0088258D">
            <w:pPr>
              <w:jc w:val="center"/>
              <w:rPr>
                <w:rFonts w:ascii="Arial" w:hAnsi="Arial" w:cs="Arial"/>
                <w:color w:val="000000"/>
                <w:sz w:val="16"/>
                <w:szCs w:val="16"/>
              </w:rPr>
            </w:pPr>
            <w:r w:rsidRPr="00B92499">
              <w:rPr>
                <w:rFonts w:ascii="Arial" w:hAnsi="Arial" w:cs="Arial"/>
                <w:color w:val="000000"/>
                <w:sz w:val="16"/>
                <w:szCs w:val="16"/>
              </w:rPr>
              <w:lastRenderedPageBreak/>
              <w:t>9</w:t>
            </w:r>
          </w:p>
        </w:tc>
        <w:tc>
          <w:tcPr>
            <w:tcW w:w="1304" w:type="dxa"/>
            <w:tcBorders>
              <w:top w:val="nil"/>
              <w:left w:val="nil"/>
              <w:bottom w:val="single" w:sz="4" w:space="0" w:color="auto"/>
              <w:right w:val="single" w:sz="4" w:space="0" w:color="auto"/>
            </w:tcBorders>
            <w:shd w:val="clear" w:color="000000" w:fill="FFFFFF"/>
            <w:vAlign w:val="center"/>
            <w:hideMark/>
          </w:tcPr>
          <w:p w14:paraId="216EA339" w14:textId="77777777" w:rsidR="0088258D" w:rsidRPr="00B92499" w:rsidRDefault="0088258D" w:rsidP="0088258D">
            <w:pPr>
              <w:rPr>
                <w:rFonts w:ascii="Arial" w:hAnsi="Arial" w:cs="Arial"/>
                <w:color w:val="000000"/>
                <w:sz w:val="16"/>
                <w:szCs w:val="16"/>
              </w:rPr>
            </w:pPr>
            <w:r w:rsidRPr="00B92499">
              <w:rPr>
                <w:rFonts w:ascii="Arial" w:hAnsi="Arial" w:cs="Arial"/>
                <w:color w:val="000000"/>
                <w:sz w:val="16"/>
                <w:szCs w:val="16"/>
              </w:rPr>
              <w:t>Alcaldía Milpa Alta</w:t>
            </w:r>
          </w:p>
        </w:tc>
        <w:tc>
          <w:tcPr>
            <w:tcW w:w="850" w:type="dxa"/>
            <w:tcBorders>
              <w:top w:val="nil"/>
              <w:left w:val="nil"/>
              <w:bottom w:val="single" w:sz="4" w:space="0" w:color="auto"/>
              <w:right w:val="single" w:sz="4" w:space="0" w:color="auto"/>
            </w:tcBorders>
            <w:shd w:val="clear" w:color="000000" w:fill="BDD7EE"/>
            <w:noWrap/>
            <w:vAlign w:val="center"/>
            <w:hideMark/>
          </w:tcPr>
          <w:p w14:paraId="2C788046" w14:textId="77777777" w:rsidR="0088258D" w:rsidRPr="00B92499" w:rsidRDefault="0088258D" w:rsidP="0088258D">
            <w:pPr>
              <w:jc w:val="center"/>
              <w:rPr>
                <w:rFonts w:ascii="Arial" w:hAnsi="Arial" w:cs="Arial"/>
                <w:color w:val="000000"/>
                <w:sz w:val="16"/>
                <w:szCs w:val="16"/>
              </w:rPr>
            </w:pPr>
            <w:r w:rsidRPr="00B92499">
              <w:rPr>
                <w:rFonts w:ascii="Arial" w:hAnsi="Arial" w:cs="Arial"/>
                <w:color w:val="000000"/>
                <w:sz w:val="16"/>
                <w:szCs w:val="16"/>
              </w:rPr>
              <w:t>86.36</w:t>
            </w:r>
          </w:p>
        </w:tc>
        <w:tc>
          <w:tcPr>
            <w:tcW w:w="850" w:type="dxa"/>
            <w:tcBorders>
              <w:top w:val="nil"/>
              <w:left w:val="nil"/>
              <w:bottom w:val="single" w:sz="4" w:space="0" w:color="auto"/>
              <w:right w:val="single" w:sz="4" w:space="0" w:color="auto"/>
            </w:tcBorders>
            <w:shd w:val="clear" w:color="000000" w:fill="D9D9D9"/>
            <w:noWrap/>
            <w:vAlign w:val="center"/>
            <w:hideMark/>
          </w:tcPr>
          <w:p w14:paraId="25DDCA9C" w14:textId="77777777" w:rsidR="0088258D" w:rsidRPr="00B92499" w:rsidRDefault="0088258D" w:rsidP="0088258D">
            <w:pPr>
              <w:jc w:val="center"/>
              <w:rPr>
                <w:rFonts w:ascii="Arial" w:hAnsi="Arial" w:cs="Arial"/>
                <w:color w:val="000000"/>
                <w:sz w:val="16"/>
                <w:szCs w:val="16"/>
              </w:rPr>
            </w:pPr>
            <w:r w:rsidRPr="00B92499">
              <w:rPr>
                <w:rFonts w:ascii="Arial" w:hAnsi="Arial" w:cs="Arial"/>
                <w:color w:val="000000"/>
                <w:sz w:val="16"/>
                <w:szCs w:val="16"/>
              </w:rPr>
              <w:t>0.02</w:t>
            </w:r>
          </w:p>
        </w:tc>
        <w:tc>
          <w:tcPr>
            <w:tcW w:w="850" w:type="dxa"/>
            <w:tcBorders>
              <w:top w:val="nil"/>
              <w:left w:val="nil"/>
              <w:bottom w:val="single" w:sz="4" w:space="0" w:color="auto"/>
              <w:right w:val="single" w:sz="4" w:space="0" w:color="auto"/>
            </w:tcBorders>
            <w:shd w:val="clear" w:color="auto" w:fill="auto"/>
            <w:noWrap/>
            <w:vAlign w:val="center"/>
            <w:hideMark/>
          </w:tcPr>
          <w:p w14:paraId="48B27998" w14:textId="77777777" w:rsidR="0088258D" w:rsidRPr="00B92499" w:rsidRDefault="0088258D" w:rsidP="0088258D">
            <w:pPr>
              <w:jc w:val="center"/>
              <w:rPr>
                <w:rFonts w:ascii="Arial" w:hAnsi="Arial" w:cs="Arial"/>
                <w:color w:val="000000"/>
                <w:sz w:val="16"/>
                <w:szCs w:val="16"/>
              </w:rPr>
            </w:pPr>
            <w:r w:rsidRPr="00B92499">
              <w:rPr>
                <w:rFonts w:ascii="Arial" w:hAnsi="Arial" w:cs="Arial"/>
                <w:color w:val="000000"/>
                <w:sz w:val="16"/>
                <w:szCs w:val="16"/>
              </w:rPr>
              <w:t>86.38</w:t>
            </w:r>
          </w:p>
        </w:tc>
        <w:tc>
          <w:tcPr>
            <w:tcW w:w="850" w:type="dxa"/>
            <w:tcBorders>
              <w:top w:val="nil"/>
              <w:left w:val="nil"/>
              <w:bottom w:val="single" w:sz="4" w:space="0" w:color="auto"/>
              <w:right w:val="single" w:sz="4" w:space="0" w:color="auto"/>
            </w:tcBorders>
            <w:shd w:val="clear" w:color="000000" w:fill="BDD7EE"/>
            <w:noWrap/>
            <w:vAlign w:val="center"/>
            <w:hideMark/>
          </w:tcPr>
          <w:p w14:paraId="01EF9B88" w14:textId="77777777" w:rsidR="0088258D" w:rsidRPr="00B92499" w:rsidRDefault="0088258D" w:rsidP="0088258D">
            <w:pPr>
              <w:jc w:val="center"/>
              <w:rPr>
                <w:rFonts w:ascii="Arial" w:hAnsi="Arial" w:cs="Arial"/>
                <w:color w:val="000000"/>
                <w:sz w:val="16"/>
                <w:szCs w:val="16"/>
              </w:rPr>
            </w:pPr>
            <w:r w:rsidRPr="00B92499">
              <w:rPr>
                <w:rFonts w:ascii="Arial" w:hAnsi="Arial" w:cs="Arial"/>
                <w:color w:val="000000"/>
                <w:sz w:val="16"/>
                <w:szCs w:val="16"/>
              </w:rPr>
              <w:t>91.49</w:t>
            </w:r>
          </w:p>
        </w:tc>
        <w:tc>
          <w:tcPr>
            <w:tcW w:w="850" w:type="dxa"/>
            <w:tcBorders>
              <w:top w:val="nil"/>
              <w:left w:val="nil"/>
              <w:bottom w:val="single" w:sz="4" w:space="0" w:color="auto"/>
              <w:right w:val="single" w:sz="4" w:space="0" w:color="auto"/>
            </w:tcBorders>
            <w:shd w:val="clear" w:color="000000" w:fill="D9D9D9"/>
            <w:noWrap/>
            <w:vAlign w:val="center"/>
            <w:hideMark/>
          </w:tcPr>
          <w:p w14:paraId="602E65AE" w14:textId="77777777" w:rsidR="0088258D" w:rsidRPr="00B92499" w:rsidRDefault="0088258D" w:rsidP="0088258D">
            <w:pPr>
              <w:jc w:val="center"/>
              <w:rPr>
                <w:rFonts w:ascii="Arial" w:hAnsi="Arial" w:cs="Arial"/>
                <w:color w:val="000000"/>
                <w:sz w:val="16"/>
                <w:szCs w:val="16"/>
              </w:rPr>
            </w:pPr>
            <w:r w:rsidRPr="00B92499">
              <w:rPr>
                <w:rFonts w:ascii="Arial" w:hAnsi="Arial" w:cs="Arial"/>
                <w:color w:val="000000"/>
                <w:sz w:val="16"/>
                <w:szCs w:val="16"/>
              </w:rPr>
              <w:t>0.23</w:t>
            </w:r>
          </w:p>
        </w:tc>
        <w:tc>
          <w:tcPr>
            <w:tcW w:w="850" w:type="dxa"/>
            <w:tcBorders>
              <w:top w:val="nil"/>
              <w:left w:val="nil"/>
              <w:bottom w:val="single" w:sz="4" w:space="0" w:color="auto"/>
              <w:right w:val="single" w:sz="4" w:space="0" w:color="auto"/>
            </w:tcBorders>
            <w:shd w:val="clear" w:color="auto" w:fill="auto"/>
            <w:noWrap/>
            <w:vAlign w:val="center"/>
            <w:hideMark/>
          </w:tcPr>
          <w:p w14:paraId="6EFFA3AB" w14:textId="77777777" w:rsidR="0088258D" w:rsidRPr="00B92499" w:rsidRDefault="0088258D" w:rsidP="0088258D">
            <w:pPr>
              <w:jc w:val="center"/>
              <w:rPr>
                <w:rFonts w:ascii="Arial" w:hAnsi="Arial" w:cs="Arial"/>
                <w:color w:val="000000"/>
                <w:sz w:val="16"/>
                <w:szCs w:val="16"/>
              </w:rPr>
            </w:pPr>
            <w:r w:rsidRPr="00B92499">
              <w:rPr>
                <w:rFonts w:ascii="Arial" w:hAnsi="Arial" w:cs="Arial"/>
                <w:color w:val="000000"/>
                <w:sz w:val="16"/>
                <w:szCs w:val="16"/>
              </w:rPr>
              <w:t>91.72</w:t>
            </w:r>
          </w:p>
        </w:tc>
        <w:tc>
          <w:tcPr>
            <w:tcW w:w="850" w:type="dxa"/>
            <w:tcBorders>
              <w:top w:val="nil"/>
              <w:left w:val="nil"/>
              <w:bottom w:val="single" w:sz="4" w:space="0" w:color="auto"/>
              <w:right w:val="single" w:sz="4" w:space="0" w:color="auto"/>
            </w:tcBorders>
            <w:shd w:val="clear" w:color="000000" w:fill="BDD7EE"/>
            <w:noWrap/>
            <w:vAlign w:val="center"/>
            <w:hideMark/>
          </w:tcPr>
          <w:p w14:paraId="6036D7B2" w14:textId="77777777" w:rsidR="0088258D" w:rsidRPr="00B92499" w:rsidRDefault="0088258D" w:rsidP="0088258D">
            <w:pPr>
              <w:jc w:val="center"/>
              <w:rPr>
                <w:rFonts w:ascii="Arial" w:hAnsi="Arial" w:cs="Arial"/>
                <w:color w:val="000000"/>
                <w:sz w:val="16"/>
                <w:szCs w:val="16"/>
              </w:rPr>
            </w:pPr>
            <w:r w:rsidRPr="00B92499">
              <w:rPr>
                <w:rFonts w:ascii="Arial" w:hAnsi="Arial" w:cs="Arial"/>
                <w:color w:val="000000"/>
                <w:sz w:val="16"/>
                <w:szCs w:val="16"/>
              </w:rPr>
              <w:t>88.92</w:t>
            </w:r>
          </w:p>
        </w:tc>
        <w:tc>
          <w:tcPr>
            <w:tcW w:w="850" w:type="dxa"/>
            <w:tcBorders>
              <w:top w:val="nil"/>
              <w:left w:val="nil"/>
              <w:bottom w:val="single" w:sz="4" w:space="0" w:color="auto"/>
              <w:right w:val="single" w:sz="4" w:space="0" w:color="auto"/>
            </w:tcBorders>
            <w:shd w:val="clear" w:color="000000" w:fill="D9D9D9"/>
            <w:noWrap/>
            <w:vAlign w:val="center"/>
            <w:hideMark/>
          </w:tcPr>
          <w:p w14:paraId="32FDBC2E" w14:textId="77777777" w:rsidR="0088258D" w:rsidRPr="00B92499" w:rsidRDefault="0088258D" w:rsidP="0088258D">
            <w:pPr>
              <w:jc w:val="center"/>
              <w:rPr>
                <w:rFonts w:ascii="Arial" w:hAnsi="Arial" w:cs="Arial"/>
                <w:color w:val="000000"/>
                <w:sz w:val="16"/>
                <w:szCs w:val="16"/>
              </w:rPr>
            </w:pPr>
            <w:r w:rsidRPr="00B92499">
              <w:rPr>
                <w:rFonts w:ascii="Arial" w:hAnsi="Arial" w:cs="Arial"/>
                <w:color w:val="000000"/>
                <w:sz w:val="16"/>
                <w:szCs w:val="16"/>
              </w:rPr>
              <w:t>0.13</w:t>
            </w:r>
          </w:p>
        </w:tc>
        <w:tc>
          <w:tcPr>
            <w:tcW w:w="850" w:type="dxa"/>
            <w:tcBorders>
              <w:top w:val="nil"/>
              <w:left w:val="nil"/>
              <w:bottom w:val="single" w:sz="4" w:space="0" w:color="auto"/>
              <w:right w:val="single" w:sz="4" w:space="0" w:color="auto"/>
            </w:tcBorders>
            <w:shd w:val="clear" w:color="auto" w:fill="auto"/>
            <w:noWrap/>
            <w:vAlign w:val="center"/>
            <w:hideMark/>
          </w:tcPr>
          <w:p w14:paraId="4B28F57F" w14:textId="77777777" w:rsidR="0088258D" w:rsidRPr="00B92499" w:rsidRDefault="0088258D" w:rsidP="0088258D">
            <w:pPr>
              <w:jc w:val="center"/>
              <w:rPr>
                <w:rFonts w:ascii="Arial" w:hAnsi="Arial" w:cs="Arial"/>
                <w:color w:val="000000"/>
                <w:sz w:val="16"/>
                <w:szCs w:val="16"/>
              </w:rPr>
            </w:pPr>
            <w:r w:rsidRPr="00B92499">
              <w:rPr>
                <w:rFonts w:ascii="Arial" w:hAnsi="Arial" w:cs="Arial"/>
                <w:color w:val="000000"/>
                <w:sz w:val="16"/>
                <w:szCs w:val="16"/>
              </w:rPr>
              <w:t>89.05</w:t>
            </w:r>
          </w:p>
        </w:tc>
      </w:tr>
      <w:tr w:rsidR="0088258D" w:rsidRPr="00B92499" w14:paraId="03B7354D" w14:textId="77777777" w:rsidTr="00027F6E">
        <w:trPr>
          <w:trHeight w:val="1020"/>
        </w:trPr>
        <w:tc>
          <w:tcPr>
            <w:tcW w:w="421" w:type="dxa"/>
            <w:tcBorders>
              <w:top w:val="nil"/>
              <w:left w:val="single" w:sz="4" w:space="0" w:color="auto"/>
              <w:bottom w:val="single" w:sz="4" w:space="0" w:color="auto"/>
              <w:right w:val="single" w:sz="4" w:space="0" w:color="auto"/>
            </w:tcBorders>
            <w:shd w:val="clear" w:color="000000" w:fill="FFFFFF"/>
            <w:vAlign w:val="center"/>
            <w:hideMark/>
          </w:tcPr>
          <w:p w14:paraId="3AC0B34E" w14:textId="77777777" w:rsidR="0088258D" w:rsidRPr="00B92499" w:rsidRDefault="0088258D" w:rsidP="0088258D">
            <w:pPr>
              <w:jc w:val="center"/>
              <w:rPr>
                <w:rFonts w:ascii="Arial" w:hAnsi="Arial" w:cs="Arial"/>
                <w:color w:val="000000"/>
                <w:sz w:val="16"/>
                <w:szCs w:val="16"/>
              </w:rPr>
            </w:pPr>
            <w:r w:rsidRPr="00B92499">
              <w:rPr>
                <w:rFonts w:ascii="Arial" w:hAnsi="Arial" w:cs="Arial"/>
                <w:color w:val="000000"/>
                <w:sz w:val="16"/>
                <w:szCs w:val="16"/>
              </w:rPr>
              <w:t>10</w:t>
            </w:r>
          </w:p>
        </w:tc>
        <w:tc>
          <w:tcPr>
            <w:tcW w:w="1304" w:type="dxa"/>
            <w:tcBorders>
              <w:top w:val="nil"/>
              <w:left w:val="nil"/>
              <w:bottom w:val="single" w:sz="4" w:space="0" w:color="auto"/>
              <w:right w:val="single" w:sz="4" w:space="0" w:color="auto"/>
            </w:tcBorders>
            <w:shd w:val="clear" w:color="000000" w:fill="FFFFFF"/>
            <w:vAlign w:val="center"/>
            <w:hideMark/>
          </w:tcPr>
          <w:p w14:paraId="0DAB8F61" w14:textId="77777777" w:rsidR="0088258D" w:rsidRPr="00B92499" w:rsidRDefault="0088258D" w:rsidP="0088258D">
            <w:pPr>
              <w:rPr>
                <w:rFonts w:ascii="Arial" w:hAnsi="Arial" w:cs="Arial"/>
                <w:color w:val="000000"/>
                <w:sz w:val="16"/>
                <w:szCs w:val="16"/>
              </w:rPr>
            </w:pPr>
            <w:r w:rsidRPr="00B92499">
              <w:rPr>
                <w:rFonts w:ascii="Arial" w:hAnsi="Arial" w:cs="Arial"/>
                <w:color w:val="000000"/>
                <w:sz w:val="16"/>
                <w:szCs w:val="16"/>
              </w:rPr>
              <w:t>Alcaldía Cuajimalpa de Morelos</w:t>
            </w:r>
          </w:p>
        </w:tc>
        <w:tc>
          <w:tcPr>
            <w:tcW w:w="850" w:type="dxa"/>
            <w:tcBorders>
              <w:top w:val="nil"/>
              <w:left w:val="nil"/>
              <w:bottom w:val="single" w:sz="4" w:space="0" w:color="auto"/>
              <w:right w:val="single" w:sz="4" w:space="0" w:color="auto"/>
            </w:tcBorders>
            <w:shd w:val="clear" w:color="000000" w:fill="BDD7EE"/>
            <w:noWrap/>
            <w:vAlign w:val="center"/>
            <w:hideMark/>
          </w:tcPr>
          <w:p w14:paraId="09A84021" w14:textId="77777777" w:rsidR="0088258D" w:rsidRPr="00B92499" w:rsidRDefault="0088258D" w:rsidP="0088258D">
            <w:pPr>
              <w:jc w:val="center"/>
              <w:rPr>
                <w:rFonts w:ascii="Arial" w:hAnsi="Arial" w:cs="Arial"/>
                <w:color w:val="000000"/>
                <w:sz w:val="16"/>
                <w:szCs w:val="16"/>
              </w:rPr>
            </w:pPr>
            <w:r w:rsidRPr="00B92499">
              <w:rPr>
                <w:rFonts w:ascii="Arial" w:hAnsi="Arial" w:cs="Arial"/>
                <w:color w:val="000000"/>
                <w:sz w:val="16"/>
                <w:szCs w:val="16"/>
              </w:rPr>
              <w:t>82.28</w:t>
            </w:r>
          </w:p>
        </w:tc>
        <w:tc>
          <w:tcPr>
            <w:tcW w:w="850" w:type="dxa"/>
            <w:tcBorders>
              <w:top w:val="nil"/>
              <w:left w:val="nil"/>
              <w:bottom w:val="single" w:sz="4" w:space="0" w:color="auto"/>
              <w:right w:val="single" w:sz="4" w:space="0" w:color="auto"/>
            </w:tcBorders>
            <w:shd w:val="clear" w:color="000000" w:fill="D9D9D9"/>
            <w:noWrap/>
            <w:vAlign w:val="center"/>
            <w:hideMark/>
          </w:tcPr>
          <w:p w14:paraId="16B0D4D5" w14:textId="77777777" w:rsidR="0088258D" w:rsidRPr="00B92499" w:rsidRDefault="0088258D" w:rsidP="0088258D">
            <w:pPr>
              <w:jc w:val="center"/>
              <w:rPr>
                <w:rFonts w:ascii="Arial" w:hAnsi="Arial" w:cs="Arial"/>
                <w:color w:val="000000"/>
                <w:sz w:val="16"/>
                <w:szCs w:val="16"/>
              </w:rPr>
            </w:pPr>
            <w:r w:rsidRPr="00B92499">
              <w:rPr>
                <w:rFonts w:ascii="Arial" w:hAnsi="Arial" w:cs="Arial"/>
                <w:color w:val="000000"/>
                <w:sz w:val="16"/>
                <w:szCs w:val="16"/>
              </w:rPr>
              <w:t>1.46</w:t>
            </w:r>
          </w:p>
        </w:tc>
        <w:tc>
          <w:tcPr>
            <w:tcW w:w="850" w:type="dxa"/>
            <w:tcBorders>
              <w:top w:val="nil"/>
              <w:left w:val="nil"/>
              <w:bottom w:val="single" w:sz="4" w:space="0" w:color="auto"/>
              <w:right w:val="single" w:sz="4" w:space="0" w:color="auto"/>
            </w:tcBorders>
            <w:shd w:val="clear" w:color="auto" w:fill="auto"/>
            <w:noWrap/>
            <w:vAlign w:val="center"/>
            <w:hideMark/>
          </w:tcPr>
          <w:p w14:paraId="18E1B49E" w14:textId="77777777" w:rsidR="0088258D" w:rsidRPr="00B92499" w:rsidRDefault="0088258D" w:rsidP="0088258D">
            <w:pPr>
              <w:jc w:val="center"/>
              <w:rPr>
                <w:rFonts w:ascii="Arial" w:hAnsi="Arial" w:cs="Arial"/>
                <w:color w:val="000000"/>
                <w:sz w:val="16"/>
                <w:szCs w:val="16"/>
              </w:rPr>
            </w:pPr>
            <w:r w:rsidRPr="00B92499">
              <w:rPr>
                <w:rFonts w:ascii="Arial" w:hAnsi="Arial" w:cs="Arial"/>
                <w:color w:val="000000"/>
                <w:sz w:val="16"/>
                <w:szCs w:val="16"/>
              </w:rPr>
              <w:t>83.73</w:t>
            </w:r>
          </w:p>
        </w:tc>
        <w:tc>
          <w:tcPr>
            <w:tcW w:w="850" w:type="dxa"/>
            <w:tcBorders>
              <w:top w:val="nil"/>
              <w:left w:val="nil"/>
              <w:bottom w:val="single" w:sz="4" w:space="0" w:color="auto"/>
              <w:right w:val="single" w:sz="4" w:space="0" w:color="auto"/>
            </w:tcBorders>
            <w:shd w:val="clear" w:color="000000" w:fill="BDD7EE"/>
            <w:noWrap/>
            <w:vAlign w:val="center"/>
            <w:hideMark/>
          </w:tcPr>
          <w:p w14:paraId="25DABE95" w14:textId="77777777" w:rsidR="0088258D" w:rsidRPr="00B92499" w:rsidRDefault="0088258D" w:rsidP="0088258D">
            <w:pPr>
              <w:jc w:val="center"/>
              <w:rPr>
                <w:rFonts w:ascii="Arial" w:hAnsi="Arial" w:cs="Arial"/>
                <w:color w:val="000000"/>
                <w:sz w:val="16"/>
                <w:szCs w:val="16"/>
              </w:rPr>
            </w:pPr>
            <w:r w:rsidRPr="00B92499">
              <w:rPr>
                <w:rFonts w:ascii="Arial" w:hAnsi="Arial" w:cs="Arial"/>
                <w:color w:val="000000"/>
                <w:sz w:val="16"/>
                <w:szCs w:val="16"/>
              </w:rPr>
              <w:t>87.99</w:t>
            </w:r>
          </w:p>
        </w:tc>
        <w:tc>
          <w:tcPr>
            <w:tcW w:w="850" w:type="dxa"/>
            <w:tcBorders>
              <w:top w:val="nil"/>
              <w:left w:val="nil"/>
              <w:bottom w:val="single" w:sz="4" w:space="0" w:color="auto"/>
              <w:right w:val="single" w:sz="4" w:space="0" w:color="auto"/>
            </w:tcBorders>
            <w:shd w:val="clear" w:color="000000" w:fill="D9D9D9"/>
            <w:noWrap/>
            <w:vAlign w:val="center"/>
            <w:hideMark/>
          </w:tcPr>
          <w:p w14:paraId="53CE21E9" w14:textId="77777777" w:rsidR="0088258D" w:rsidRPr="00B92499" w:rsidRDefault="0088258D" w:rsidP="0088258D">
            <w:pPr>
              <w:jc w:val="center"/>
              <w:rPr>
                <w:rFonts w:ascii="Arial" w:hAnsi="Arial" w:cs="Arial"/>
                <w:color w:val="000000"/>
                <w:sz w:val="16"/>
                <w:szCs w:val="16"/>
              </w:rPr>
            </w:pPr>
            <w:r w:rsidRPr="00B92499">
              <w:rPr>
                <w:rFonts w:ascii="Arial" w:hAnsi="Arial" w:cs="Arial"/>
                <w:color w:val="000000"/>
                <w:sz w:val="16"/>
                <w:szCs w:val="16"/>
              </w:rPr>
              <w:t>1.35</w:t>
            </w:r>
          </w:p>
        </w:tc>
        <w:tc>
          <w:tcPr>
            <w:tcW w:w="850" w:type="dxa"/>
            <w:tcBorders>
              <w:top w:val="nil"/>
              <w:left w:val="nil"/>
              <w:bottom w:val="single" w:sz="4" w:space="0" w:color="auto"/>
              <w:right w:val="single" w:sz="4" w:space="0" w:color="auto"/>
            </w:tcBorders>
            <w:shd w:val="clear" w:color="auto" w:fill="auto"/>
            <w:noWrap/>
            <w:vAlign w:val="center"/>
            <w:hideMark/>
          </w:tcPr>
          <w:p w14:paraId="25F7C1EF" w14:textId="77777777" w:rsidR="0088258D" w:rsidRPr="00B92499" w:rsidRDefault="0088258D" w:rsidP="0088258D">
            <w:pPr>
              <w:jc w:val="center"/>
              <w:rPr>
                <w:rFonts w:ascii="Arial" w:hAnsi="Arial" w:cs="Arial"/>
                <w:color w:val="000000"/>
                <w:sz w:val="16"/>
                <w:szCs w:val="16"/>
              </w:rPr>
            </w:pPr>
            <w:r w:rsidRPr="00B92499">
              <w:rPr>
                <w:rFonts w:ascii="Arial" w:hAnsi="Arial" w:cs="Arial"/>
                <w:color w:val="000000"/>
                <w:sz w:val="16"/>
                <w:szCs w:val="16"/>
              </w:rPr>
              <w:t>89.34</w:t>
            </w:r>
          </w:p>
        </w:tc>
        <w:tc>
          <w:tcPr>
            <w:tcW w:w="850" w:type="dxa"/>
            <w:tcBorders>
              <w:top w:val="nil"/>
              <w:left w:val="nil"/>
              <w:bottom w:val="single" w:sz="4" w:space="0" w:color="auto"/>
              <w:right w:val="single" w:sz="4" w:space="0" w:color="auto"/>
            </w:tcBorders>
            <w:shd w:val="clear" w:color="000000" w:fill="BDD7EE"/>
            <w:noWrap/>
            <w:vAlign w:val="center"/>
            <w:hideMark/>
          </w:tcPr>
          <w:p w14:paraId="2CD7C2F2" w14:textId="77777777" w:rsidR="0088258D" w:rsidRPr="00B92499" w:rsidRDefault="0088258D" w:rsidP="0088258D">
            <w:pPr>
              <w:jc w:val="center"/>
              <w:rPr>
                <w:rFonts w:ascii="Arial" w:hAnsi="Arial" w:cs="Arial"/>
                <w:color w:val="000000"/>
                <w:sz w:val="16"/>
                <w:szCs w:val="16"/>
              </w:rPr>
            </w:pPr>
            <w:r w:rsidRPr="00B92499">
              <w:rPr>
                <w:rFonts w:ascii="Arial" w:hAnsi="Arial" w:cs="Arial"/>
                <w:color w:val="000000"/>
                <w:sz w:val="16"/>
                <w:szCs w:val="16"/>
              </w:rPr>
              <w:t>85.13</w:t>
            </w:r>
          </w:p>
        </w:tc>
        <w:tc>
          <w:tcPr>
            <w:tcW w:w="850" w:type="dxa"/>
            <w:tcBorders>
              <w:top w:val="nil"/>
              <w:left w:val="nil"/>
              <w:bottom w:val="single" w:sz="4" w:space="0" w:color="auto"/>
              <w:right w:val="single" w:sz="4" w:space="0" w:color="auto"/>
            </w:tcBorders>
            <w:shd w:val="clear" w:color="000000" w:fill="D9D9D9"/>
            <w:noWrap/>
            <w:vAlign w:val="center"/>
            <w:hideMark/>
          </w:tcPr>
          <w:p w14:paraId="6C5E7E93" w14:textId="77777777" w:rsidR="0088258D" w:rsidRPr="00B92499" w:rsidRDefault="0088258D" w:rsidP="0088258D">
            <w:pPr>
              <w:jc w:val="center"/>
              <w:rPr>
                <w:rFonts w:ascii="Arial" w:hAnsi="Arial" w:cs="Arial"/>
                <w:color w:val="000000"/>
                <w:sz w:val="16"/>
                <w:szCs w:val="16"/>
              </w:rPr>
            </w:pPr>
            <w:r w:rsidRPr="00B92499">
              <w:rPr>
                <w:rFonts w:ascii="Arial" w:hAnsi="Arial" w:cs="Arial"/>
                <w:color w:val="000000"/>
                <w:sz w:val="16"/>
                <w:szCs w:val="16"/>
              </w:rPr>
              <w:t>1.40</w:t>
            </w:r>
          </w:p>
        </w:tc>
        <w:tc>
          <w:tcPr>
            <w:tcW w:w="850" w:type="dxa"/>
            <w:tcBorders>
              <w:top w:val="nil"/>
              <w:left w:val="nil"/>
              <w:bottom w:val="single" w:sz="4" w:space="0" w:color="auto"/>
              <w:right w:val="single" w:sz="4" w:space="0" w:color="auto"/>
            </w:tcBorders>
            <w:shd w:val="clear" w:color="auto" w:fill="auto"/>
            <w:noWrap/>
            <w:vAlign w:val="center"/>
            <w:hideMark/>
          </w:tcPr>
          <w:p w14:paraId="002AC43E" w14:textId="77777777" w:rsidR="0088258D" w:rsidRPr="00B92499" w:rsidRDefault="0088258D" w:rsidP="0088258D">
            <w:pPr>
              <w:jc w:val="center"/>
              <w:rPr>
                <w:rFonts w:ascii="Arial" w:hAnsi="Arial" w:cs="Arial"/>
                <w:color w:val="000000"/>
                <w:sz w:val="16"/>
                <w:szCs w:val="16"/>
              </w:rPr>
            </w:pPr>
            <w:r w:rsidRPr="00B92499">
              <w:rPr>
                <w:rFonts w:ascii="Arial" w:hAnsi="Arial" w:cs="Arial"/>
                <w:color w:val="000000"/>
                <w:sz w:val="16"/>
                <w:szCs w:val="16"/>
              </w:rPr>
              <w:t>86.54</w:t>
            </w:r>
          </w:p>
        </w:tc>
      </w:tr>
      <w:tr w:rsidR="0088258D" w:rsidRPr="00B92499" w14:paraId="250ACBD6" w14:textId="77777777" w:rsidTr="00027F6E">
        <w:trPr>
          <w:trHeight w:val="680"/>
        </w:trPr>
        <w:tc>
          <w:tcPr>
            <w:tcW w:w="421" w:type="dxa"/>
            <w:tcBorders>
              <w:top w:val="nil"/>
              <w:left w:val="single" w:sz="4" w:space="0" w:color="auto"/>
              <w:bottom w:val="single" w:sz="4" w:space="0" w:color="auto"/>
              <w:right w:val="single" w:sz="4" w:space="0" w:color="auto"/>
            </w:tcBorders>
            <w:shd w:val="clear" w:color="000000" w:fill="FFFFFF"/>
            <w:vAlign w:val="center"/>
            <w:hideMark/>
          </w:tcPr>
          <w:p w14:paraId="268475FC" w14:textId="77777777" w:rsidR="0088258D" w:rsidRPr="00B92499" w:rsidRDefault="0088258D" w:rsidP="0088258D">
            <w:pPr>
              <w:jc w:val="center"/>
              <w:rPr>
                <w:rFonts w:ascii="Arial" w:hAnsi="Arial" w:cs="Arial"/>
                <w:color w:val="000000"/>
                <w:sz w:val="16"/>
                <w:szCs w:val="16"/>
              </w:rPr>
            </w:pPr>
            <w:r w:rsidRPr="00B92499">
              <w:rPr>
                <w:rFonts w:ascii="Arial" w:hAnsi="Arial" w:cs="Arial"/>
                <w:color w:val="000000"/>
                <w:sz w:val="16"/>
                <w:szCs w:val="16"/>
              </w:rPr>
              <w:t>11</w:t>
            </w:r>
          </w:p>
        </w:tc>
        <w:tc>
          <w:tcPr>
            <w:tcW w:w="1304" w:type="dxa"/>
            <w:tcBorders>
              <w:top w:val="nil"/>
              <w:left w:val="nil"/>
              <w:bottom w:val="single" w:sz="4" w:space="0" w:color="auto"/>
              <w:right w:val="single" w:sz="4" w:space="0" w:color="auto"/>
            </w:tcBorders>
            <w:shd w:val="clear" w:color="000000" w:fill="FFFFFF"/>
            <w:vAlign w:val="center"/>
            <w:hideMark/>
          </w:tcPr>
          <w:p w14:paraId="42AF106F" w14:textId="77777777" w:rsidR="0088258D" w:rsidRPr="00B92499" w:rsidRDefault="0088258D" w:rsidP="0088258D">
            <w:pPr>
              <w:rPr>
                <w:rFonts w:ascii="Arial" w:hAnsi="Arial" w:cs="Arial"/>
                <w:color w:val="000000"/>
                <w:sz w:val="16"/>
                <w:szCs w:val="16"/>
              </w:rPr>
            </w:pPr>
            <w:r w:rsidRPr="00B92499">
              <w:rPr>
                <w:rFonts w:ascii="Arial" w:hAnsi="Arial" w:cs="Arial"/>
                <w:color w:val="000000"/>
                <w:sz w:val="16"/>
                <w:szCs w:val="16"/>
              </w:rPr>
              <w:t>Alcaldía Tlalpan</w:t>
            </w:r>
          </w:p>
        </w:tc>
        <w:tc>
          <w:tcPr>
            <w:tcW w:w="850" w:type="dxa"/>
            <w:tcBorders>
              <w:top w:val="nil"/>
              <w:left w:val="nil"/>
              <w:bottom w:val="single" w:sz="4" w:space="0" w:color="auto"/>
              <w:right w:val="single" w:sz="4" w:space="0" w:color="auto"/>
            </w:tcBorders>
            <w:shd w:val="clear" w:color="000000" w:fill="BDD7EE"/>
            <w:noWrap/>
            <w:vAlign w:val="center"/>
            <w:hideMark/>
          </w:tcPr>
          <w:p w14:paraId="51165BB6" w14:textId="77777777" w:rsidR="0088258D" w:rsidRPr="00B92499" w:rsidRDefault="0088258D" w:rsidP="0088258D">
            <w:pPr>
              <w:jc w:val="center"/>
              <w:rPr>
                <w:rFonts w:ascii="Arial" w:hAnsi="Arial" w:cs="Arial"/>
                <w:color w:val="000000"/>
                <w:sz w:val="16"/>
                <w:szCs w:val="16"/>
              </w:rPr>
            </w:pPr>
            <w:r w:rsidRPr="00B92499">
              <w:rPr>
                <w:rFonts w:ascii="Arial" w:hAnsi="Arial" w:cs="Arial"/>
                <w:color w:val="000000"/>
                <w:sz w:val="16"/>
                <w:szCs w:val="16"/>
              </w:rPr>
              <w:t>84.17</w:t>
            </w:r>
          </w:p>
        </w:tc>
        <w:tc>
          <w:tcPr>
            <w:tcW w:w="850" w:type="dxa"/>
            <w:tcBorders>
              <w:top w:val="nil"/>
              <w:left w:val="nil"/>
              <w:bottom w:val="single" w:sz="4" w:space="0" w:color="auto"/>
              <w:right w:val="single" w:sz="4" w:space="0" w:color="auto"/>
            </w:tcBorders>
            <w:shd w:val="clear" w:color="000000" w:fill="D9D9D9"/>
            <w:noWrap/>
            <w:vAlign w:val="center"/>
            <w:hideMark/>
          </w:tcPr>
          <w:p w14:paraId="61C92E21" w14:textId="77777777" w:rsidR="0088258D" w:rsidRPr="00B92499" w:rsidRDefault="0088258D" w:rsidP="0088258D">
            <w:pPr>
              <w:jc w:val="center"/>
              <w:rPr>
                <w:rFonts w:ascii="Arial" w:hAnsi="Arial" w:cs="Arial"/>
                <w:color w:val="000000"/>
                <w:sz w:val="16"/>
                <w:szCs w:val="16"/>
              </w:rPr>
            </w:pPr>
            <w:r w:rsidRPr="00B92499">
              <w:rPr>
                <w:rFonts w:ascii="Arial" w:hAnsi="Arial" w:cs="Arial"/>
                <w:color w:val="000000"/>
                <w:sz w:val="16"/>
                <w:szCs w:val="16"/>
              </w:rPr>
              <w:t>0.95</w:t>
            </w:r>
          </w:p>
        </w:tc>
        <w:tc>
          <w:tcPr>
            <w:tcW w:w="850" w:type="dxa"/>
            <w:tcBorders>
              <w:top w:val="nil"/>
              <w:left w:val="nil"/>
              <w:bottom w:val="single" w:sz="4" w:space="0" w:color="auto"/>
              <w:right w:val="single" w:sz="4" w:space="0" w:color="auto"/>
            </w:tcBorders>
            <w:shd w:val="clear" w:color="auto" w:fill="auto"/>
            <w:noWrap/>
            <w:vAlign w:val="center"/>
            <w:hideMark/>
          </w:tcPr>
          <w:p w14:paraId="7DFBA018" w14:textId="77777777" w:rsidR="0088258D" w:rsidRPr="00B92499" w:rsidRDefault="0088258D" w:rsidP="0088258D">
            <w:pPr>
              <w:jc w:val="center"/>
              <w:rPr>
                <w:rFonts w:ascii="Arial" w:hAnsi="Arial" w:cs="Arial"/>
                <w:color w:val="000000"/>
                <w:sz w:val="16"/>
                <w:szCs w:val="16"/>
              </w:rPr>
            </w:pPr>
            <w:r w:rsidRPr="00B92499">
              <w:rPr>
                <w:rFonts w:ascii="Arial" w:hAnsi="Arial" w:cs="Arial"/>
                <w:color w:val="000000"/>
                <w:sz w:val="16"/>
                <w:szCs w:val="16"/>
              </w:rPr>
              <w:t>85.13</w:t>
            </w:r>
          </w:p>
        </w:tc>
        <w:tc>
          <w:tcPr>
            <w:tcW w:w="850" w:type="dxa"/>
            <w:tcBorders>
              <w:top w:val="nil"/>
              <w:left w:val="nil"/>
              <w:bottom w:val="single" w:sz="4" w:space="0" w:color="auto"/>
              <w:right w:val="single" w:sz="4" w:space="0" w:color="auto"/>
            </w:tcBorders>
            <w:shd w:val="clear" w:color="000000" w:fill="BDD7EE"/>
            <w:noWrap/>
            <w:vAlign w:val="center"/>
            <w:hideMark/>
          </w:tcPr>
          <w:p w14:paraId="3939BF71" w14:textId="77777777" w:rsidR="0088258D" w:rsidRPr="00B92499" w:rsidRDefault="0088258D" w:rsidP="0088258D">
            <w:pPr>
              <w:jc w:val="center"/>
              <w:rPr>
                <w:rFonts w:ascii="Arial" w:hAnsi="Arial" w:cs="Arial"/>
                <w:color w:val="000000"/>
                <w:sz w:val="16"/>
                <w:szCs w:val="16"/>
              </w:rPr>
            </w:pPr>
            <w:r w:rsidRPr="00B92499">
              <w:rPr>
                <w:rFonts w:ascii="Arial" w:hAnsi="Arial" w:cs="Arial"/>
                <w:color w:val="000000"/>
                <w:sz w:val="16"/>
                <w:szCs w:val="16"/>
              </w:rPr>
              <w:t>84.89</w:t>
            </w:r>
          </w:p>
        </w:tc>
        <w:tc>
          <w:tcPr>
            <w:tcW w:w="850" w:type="dxa"/>
            <w:tcBorders>
              <w:top w:val="nil"/>
              <w:left w:val="nil"/>
              <w:bottom w:val="single" w:sz="4" w:space="0" w:color="auto"/>
              <w:right w:val="single" w:sz="4" w:space="0" w:color="auto"/>
            </w:tcBorders>
            <w:shd w:val="clear" w:color="000000" w:fill="D9D9D9"/>
            <w:noWrap/>
            <w:vAlign w:val="center"/>
            <w:hideMark/>
          </w:tcPr>
          <w:p w14:paraId="77721C4D" w14:textId="77777777" w:rsidR="0088258D" w:rsidRPr="00B92499" w:rsidRDefault="0088258D" w:rsidP="0088258D">
            <w:pPr>
              <w:jc w:val="center"/>
              <w:rPr>
                <w:rFonts w:ascii="Arial" w:hAnsi="Arial" w:cs="Arial"/>
                <w:color w:val="000000"/>
                <w:sz w:val="16"/>
                <w:szCs w:val="16"/>
              </w:rPr>
            </w:pPr>
            <w:r w:rsidRPr="00B92499">
              <w:rPr>
                <w:rFonts w:ascii="Arial" w:hAnsi="Arial" w:cs="Arial"/>
                <w:color w:val="000000"/>
                <w:sz w:val="16"/>
                <w:szCs w:val="16"/>
              </w:rPr>
              <w:t>0.10</w:t>
            </w:r>
          </w:p>
        </w:tc>
        <w:tc>
          <w:tcPr>
            <w:tcW w:w="850" w:type="dxa"/>
            <w:tcBorders>
              <w:top w:val="nil"/>
              <w:left w:val="nil"/>
              <w:bottom w:val="single" w:sz="4" w:space="0" w:color="auto"/>
              <w:right w:val="single" w:sz="4" w:space="0" w:color="auto"/>
            </w:tcBorders>
            <w:shd w:val="clear" w:color="auto" w:fill="auto"/>
            <w:noWrap/>
            <w:vAlign w:val="center"/>
            <w:hideMark/>
          </w:tcPr>
          <w:p w14:paraId="6FB4B666" w14:textId="77777777" w:rsidR="0088258D" w:rsidRPr="00B92499" w:rsidRDefault="0088258D" w:rsidP="0088258D">
            <w:pPr>
              <w:jc w:val="center"/>
              <w:rPr>
                <w:rFonts w:ascii="Arial" w:hAnsi="Arial" w:cs="Arial"/>
                <w:color w:val="000000"/>
                <w:sz w:val="16"/>
                <w:szCs w:val="16"/>
              </w:rPr>
            </w:pPr>
            <w:r w:rsidRPr="00B92499">
              <w:rPr>
                <w:rFonts w:ascii="Arial" w:hAnsi="Arial" w:cs="Arial"/>
                <w:color w:val="000000"/>
                <w:sz w:val="16"/>
                <w:szCs w:val="16"/>
              </w:rPr>
              <w:t>84.99</w:t>
            </w:r>
          </w:p>
        </w:tc>
        <w:tc>
          <w:tcPr>
            <w:tcW w:w="850" w:type="dxa"/>
            <w:tcBorders>
              <w:top w:val="nil"/>
              <w:left w:val="nil"/>
              <w:bottom w:val="single" w:sz="4" w:space="0" w:color="auto"/>
              <w:right w:val="single" w:sz="4" w:space="0" w:color="auto"/>
            </w:tcBorders>
            <w:shd w:val="clear" w:color="000000" w:fill="BDD7EE"/>
            <w:noWrap/>
            <w:vAlign w:val="center"/>
            <w:hideMark/>
          </w:tcPr>
          <w:p w14:paraId="02C64DC9" w14:textId="77777777" w:rsidR="0088258D" w:rsidRPr="00B92499" w:rsidRDefault="0088258D" w:rsidP="0088258D">
            <w:pPr>
              <w:jc w:val="center"/>
              <w:rPr>
                <w:rFonts w:ascii="Arial" w:hAnsi="Arial" w:cs="Arial"/>
                <w:color w:val="000000"/>
                <w:sz w:val="16"/>
                <w:szCs w:val="16"/>
              </w:rPr>
            </w:pPr>
            <w:r w:rsidRPr="00B92499">
              <w:rPr>
                <w:rFonts w:ascii="Arial" w:hAnsi="Arial" w:cs="Arial"/>
                <w:color w:val="000000"/>
                <w:sz w:val="16"/>
                <w:szCs w:val="16"/>
              </w:rPr>
              <w:t>84.53</w:t>
            </w:r>
          </w:p>
        </w:tc>
        <w:tc>
          <w:tcPr>
            <w:tcW w:w="850" w:type="dxa"/>
            <w:tcBorders>
              <w:top w:val="nil"/>
              <w:left w:val="nil"/>
              <w:bottom w:val="single" w:sz="4" w:space="0" w:color="auto"/>
              <w:right w:val="single" w:sz="4" w:space="0" w:color="auto"/>
            </w:tcBorders>
            <w:shd w:val="clear" w:color="000000" w:fill="D9D9D9"/>
            <w:noWrap/>
            <w:vAlign w:val="center"/>
            <w:hideMark/>
          </w:tcPr>
          <w:p w14:paraId="0CA2CCB3" w14:textId="77777777" w:rsidR="0088258D" w:rsidRPr="00B92499" w:rsidRDefault="0088258D" w:rsidP="0088258D">
            <w:pPr>
              <w:jc w:val="center"/>
              <w:rPr>
                <w:rFonts w:ascii="Arial" w:hAnsi="Arial" w:cs="Arial"/>
                <w:color w:val="000000"/>
                <w:sz w:val="16"/>
                <w:szCs w:val="16"/>
              </w:rPr>
            </w:pPr>
            <w:r w:rsidRPr="00B92499">
              <w:rPr>
                <w:rFonts w:ascii="Arial" w:hAnsi="Arial" w:cs="Arial"/>
                <w:color w:val="000000"/>
                <w:sz w:val="16"/>
                <w:szCs w:val="16"/>
              </w:rPr>
              <w:t>0.52</w:t>
            </w:r>
          </w:p>
        </w:tc>
        <w:tc>
          <w:tcPr>
            <w:tcW w:w="850" w:type="dxa"/>
            <w:tcBorders>
              <w:top w:val="nil"/>
              <w:left w:val="nil"/>
              <w:bottom w:val="single" w:sz="4" w:space="0" w:color="auto"/>
              <w:right w:val="single" w:sz="4" w:space="0" w:color="auto"/>
            </w:tcBorders>
            <w:shd w:val="clear" w:color="auto" w:fill="auto"/>
            <w:noWrap/>
            <w:vAlign w:val="center"/>
            <w:hideMark/>
          </w:tcPr>
          <w:p w14:paraId="5C9396BE" w14:textId="77777777" w:rsidR="0088258D" w:rsidRPr="00B92499" w:rsidRDefault="0088258D" w:rsidP="0088258D">
            <w:pPr>
              <w:jc w:val="center"/>
              <w:rPr>
                <w:rFonts w:ascii="Arial" w:hAnsi="Arial" w:cs="Arial"/>
                <w:color w:val="000000"/>
                <w:sz w:val="16"/>
                <w:szCs w:val="16"/>
              </w:rPr>
            </w:pPr>
            <w:r w:rsidRPr="00B92499">
              <w:rPr>
                <w:rFonts w:ascii="Arial" w:hAnsi="Arial" w:cs="Arial"/>
                <w:color w:val="000000"/>
                <w:sz w:val="16"/>
                <w:szCs w:val="16"/>
              </w:rPr>
              <w:t>85.06</w:t>
            </w:r>
          </w:p>
        </w:tc>
      </w:tr>
      <w:tr w:rsidR="0088258D" w:rsidRPr="00B92499" w14:paraId="54EC774F" w14:textId="77777777" w:rsidTr="00027F6E">
        <w:trPr>
          <w:trHeight w:val="680"/>
        </w:trPr>
        <w:tc>
          <w:tcPr>
            <w:tcW w:w="421" w:type="dxa"/>
            <w:tcBorders>
              <w:top w:val="nil"/>
              <w:left w:val="single" w:sz="4" w:space="0" w:color="auto"/>
              <w:bottom w:val="single" w:sz="4" w:space="0" w:color="auto"/>
              <w:right w:val="single" w:sz="4" w:space="0" w:color="auto"/>
            </w:tcBorders>
            <w:shd w:val="clear" w:color="000000" w:fill="FFFFFF"/>
            <w:vAlign w:val="center"/>
            <w:hideMark/>
          </w:tcPr>
          <w:p w14:paraId="2A3A8C9D" w14:textId="77777777" w:rsidR="0088258D" w:rsidRPr="00B92499" w:rsidRDefault="0088258D" w:rsidP="0088258D">
            <w:pPr>
              <w:jc w:val="center"/>
              <w:rPr>
                <w:rFonts w:ascii="Arial" w:hAnsi="Arial" w:cs="Arial"/>
                <w:color w:val="000000"/>
                <w:sz w:val="16"/>
                <w:szCs w:val="16"/>
              </w:rPr>
            </w:pPr>
            <w:r w:rsidRPr="00B92499">
              <w:rPr>
                <w:rFonts w:ascii="Arial" w:hAnsi="Arial" w:cs="Arial"/>
                <w:color w:val="000000"/>
                <w:sz w:val="16"/>
                <w:szCs w:val="16"/>
              </w:rPr>
              <w:t>12</w:t>
            </w:r>
          </w:p>
        </w:tc>
        <w:tc>
          <w:tcPr>
            <w:tcW w:w="1304" w:type="dxa"/>
            <w:tcBorders>
              <w:top w:val="nil"/>
              <w:left w:val="nil"/>
              <w:bottom w:val="single" w:sz="4" w:space="0" w:color="auto"/>
              <w:right w:val="single" w:sz="4" w:space="0" w:color="auto"/>
            </w:tcBorders>
            <w:shd w:val="clear" w:color="000000" w:fill="FFFFFF"/>
            <w:vAlign w:val="center"/>
            <w:hideMark/>
          </w:tcPr>
          <w:p w14:paraId="23311B88" w14:textId="77777777" w:rsidR="0088258D" w:rsidRPr="00B92499" w:rsidRDefault="0088258D" w:rsidP="0088258D">
            <w:pPr>
              <w:rPr>
                <w:rFonts w:ascii="Arial" w:hAnsi="Arial" w:cs="Arial"/>
                <w:color w:val="000000"/>
                <w:sz w:val="16"/>
                <w:szCs w:val="16"/>
              </w:rPr>
            </w:pPr>
            <w:r w:rsidRPr="00B92499">
              <w:rPr>
                <w:rFonts w:ascii="Arial" w:hAnsi="Arial" w:cs="Arial"/>
                <w:color w:val="000000"/>
                <w:sz w:val="16"/>
                <w:szCs w:val="16"/>
              </w:rPr>
              <w:t>Alcaldía Iztacalco</w:t>
            </w:r>
          </w:p>
        </w:tc>
        <w:tc>
          <w:tcPr>
            <w:tcW w:w="850" w:type="dxa"/>
            <w:tcBorders>
              <w:top w:val="nil"/>
              <w:left w:val="nil"/>
              <w:bottom w:val="single" w:sz="4" w:space="0" w:color="auto"/>
              <w:right w:val="single" w:sz="4" w:space="0" w:color="auto"/>
            </w:tcBorders>
            <w:shd w:val="clear" w:color="000000" w:fill="BDD7EE"/>
            <w:noWrap/>
            <w:vAlign w:val="center"/>
            <w:hideMark/>
          </w:tcPr>
          <w:p w14:paraId="2DFA0899" w14:textId="77777777" w:rsidR="0088258D" w:rsidRPr="00B92499" w:rsidRDefault="0088258D" w:rsidP="0088258D">
            <w:pPr>
              <w:jc w:val="center"/>
              <w:rPr>
                <w:rFonts w:ascii="Arial" w:hAnsi="Arial" w:cs="Arial"/>
                <w:color w:val="000000"/>
                <w:sz w:val="16"/>
                <w:szCs w:val="16"/>
              </w:rPr>
            </w:pPr>
            <w:r w:rsidRPr="00B92499">
              <w:rPr>
                <w:rFonts w:ascii="Arial" w:hAnsi="Arial" w:cs="Arial"/>
                <w:color w:val="000000"/>
                <w:sz w:val="16"/>
                <w:szCs w:val="16"/>
              </w:rPr>
              <w:t>82.71</w:t>
            </w:r>
          </w:p>
        </w:tc>
        <w:tc>
          <w:tcPr>
            <w:tcW w:w="850" w:type="dxa"/>
            <w:tcBorders>
              <w:top w:val="nil"/>
              <w:left w:val="nil"/>
              <w:bottom w:val="single" w:sz="4" w:space="0" w:color="auto"/>
              <w:right w:val="single" w:sz="4" w:space="0" w:color="auto"/>
            </w:tcBorders>
            <w:shd w:val="clear" w:color="000000" w:fill="D9D9D9"/>
            <w:noWrap/>
            <w:vAlign w:val="center"/>
            <w:hideMark/>
          </w:tcPr>
          <w:p w14:paraId="6C28A767" w14:textId="77777777" w:rsidR="0088258D" w:rsidRPr="00B92499" w:rsidRDefault="0088258D" w:rsidP="0088258D">
            <w:pPr>
              <w:jc w:val="center"/>
              <w:rPr>
                <w:rFonts w:ascii="Arial" w:hAnsi="Arial" w:cs="Arial"/>
                <w:color w:val="000000"/>
                <w:sz w:val="16"/>
                <w:szCs w:val="16"/>
              </w:rPr>
            </w:pPr>
            <w:r w:rsidRPr="00B92499">
              <w:rPr>
                <w:rFonts w:ascii="Arial" w:hAnsi="Arial" w:cs="Arial"/>
                <w:color w:val="000000"/>
                <w:sz w:val="16"/>
                <w:szCs w:val="16"/>
              </w:rPr>
              <w:t>0.81</w:t>
            </w:r>
          </w:p>
        </w:tc>
        <w:tc>
          <w:tcPr>
            <w:tcW w:w="850" w:type="dxa"/>
            <w:tcBorders>
              <w:top w:val="nil"/>
              <w:left w:val="nil"/>
              <w:bottom w:val="single" w:sz="4" w:space="0" w:color="auto"/>
              <w:right w:val="single" w:sz="4" w:space="0" w:color="auto"/>
            </w:tcBorders>
            <w:shd w:val="clear" w:color="auto" w:fill="auto"/>
            <w:noWrap/>
            <w:vAlign w:val="center"/>
            <w:hideMark/>
          </w:tcPr>
          <w:p w14:paraId="6EAB01BE" w14:textId="77777777" w:rsidR="0088258D" w:rsidRPr="00B92499" w:rsidRDefault="0088258D" w:rsidP="0088258D">
            <w:pPr>
              <w:jc w:val="center"/>
              <w:rPr>
                <w:rFonts w:ascii="Arial" w:hAnsi="Arial" w:cs="Arial"/>
                <w:color w:val="000000"/>
                <w:sz w:val="16"/>
                <w:szCs w:val="16"/>
              </w:rPr>
            </w:pPr>
            <w:r w:rsidRPr="00B92499">
              <w:rPr>
                <w:rFonts w:ascii="Arial" w:hAnsi="Arial" w:cs="Arial"/>
                <w:color w:val="000000"/>
                <w:sz w:val="16"/>
                <w:szCs w:val="16"/>
              </w:rPr>
              <w:t>83.52</w:t>
            </w:r>
          </w:p>
        </w:tc>
        <w:tc>
          <w:tcPr>
            <w:tcW w:w="850" w:type="dxa"/>
            <w:tcBorders>
              <w:top w:val="nil"/>
              <w:left w:val="nil"/>
              <w:bottom w:val="single" w:sz="4" w:space="0" w:color="auto"/>
              <w:right w:val="single" w:sz="4" w:space="0" w:color="auto"/>
            </w:tcBorders>
            <w:shd w:val="clear" w:color="000000" w:fill="BDD7EE"/>
            <w:noWrap/>
            <w:vAlign w:val="center"/>
            <w:hideMark/>
          </w:tcPr>
          <w:p w14:paraId="316EC272" w14:textId="77777777" w:rsidR="0088258D" w:rsidRPr="00B92499" w:rsidRDefault="0088258D" w:rsidP="0088258D">
            <w:pPr>
              <w:jc w:val="center"/>
              <w:rPr>
                <w:rFonts w:ascii="Arial" w:hAnsi="Arial" w:cs="Arial"/>
                <w:color w:val="000000"/>
                <w:sz w:val="16"/>
                <w:szCs w:val="16"/>
              </w:rPr>
            </w:pPr>
            <w:r w:rsidRPr="00B92499">
              <w:rPr>
                <w:rFonts w:ascii="Arial" w:hAnsi="Arial" w:cs="Arial"/>
                <w:color w:val="000000"/>
                <w:sz w:val="16"/>
                <w:szCs w:val="16"/>
              </w:rPr>
              <w:t>83.56</w:t>
            </w:r>
          </w:p>
        </w:tc>
        <w:tc>
          <w:tcPr>
            <w:tcW w:w="850" w:type="dxa"/>
            <w:tcBorders>
              <w:top w:val="nil"/>
              <w:left w:val="nil"/>
              <w:bottom w:val="single" w:sz="4" w:space="0" w:color="auto"/>
              <w:right w:val="single" w:sz="4" w:space="0" w:color="auto"/>
            </w:tcBorders>
            <w:shd w:val="clear" w:color="000000" w:fill="D9D9D9"/>
            <w:noWrap/>
            <w:vAlign w:val="center"/>
            <w:hideMark/>
          </w:tcPr>
          <w:p w14:paraId="012662F7" w14:textId="77777777" w:rsidR="0088258D" w:rsidRPr="00B92499" w:rsidRDefault="0088258D" w:rsidP="0088258D">
            <w:pPr>
              <w:jc w:val="center"/>
              <w:rPr>
                <w:rFonts w:ascii="Arial" w:hAnsi="Arial" w:cs="Arial"/>
                <w:color w:val="000000"/>
                <w:sz w:val="16"/>
                <w:szCs w:val="16"/>
              </w:rPr>
            </w:pPr>
            <w:r w:rsidRPr="00B92499">
              <w:rPr>
                <w:rFonts w:ascii="Arial" w:hAnsi="Arial" w:cs="Arial"/>
                <w:color w:val="000000"/>
                <w:sz w:val="16"/>
                <w:szCs w:val="16"/>
              </w:rPr>
              <w:t>1.04</w:t>
            </w:r>
          </w:p>
        </w:tc>
        <w:tc>
          <w:tcPr>
            <w:tcW w:w="850" w:type="dxa"/>
            <w:tcBorders>
              <w:top w:val="nil"/>
              <w:left w:val="nil"/>
              <w:bottom w:val="single" w:sz="4" w:space="0" w:color="auto"/>
              <w:right w:val="single" w:sz="4" w:space="0" w:color="auto"/>
            </w:tcBorders>
            <w:shd w:val="clear" w:color="auto" w:fill="auto"/>
            <w:noWrap/>
            <w:vAlign w:val="center"/>
            <w:hideMark/>
          </w:tcPr>
          <w:p w14:paraId="38AF3F26" w14:textId="77777777" w:rsidR="0088258D" w:rsidRPr="00B92499" w:rsidRDefault="0088258D" w:rsidP="0088258D">
            <w:pPr>
              <w:jc w:val="center"/>
              <w:rPr>
                <w:rFonts w:ascii="Arial" w:hAnsi="Arial" w:cs="Arial"/>
                <w:color w:val="000000"/>
                <w:sz w:val="16"/>
                <w:szCs w:val="16"/>
              </w:rPr>
            </w:pPr>
            <w:r w:rsidRPr="00B92499">
              <w:rPr>
                <w:rFonts w:ascii="Arial" w:hAnsi="Arial" w:cs="Arial"/>
                <w:color w:val="000000"/>
                <w:sz w:val="16"/>
                <w:szCs w:val="16"/>
              </w:rPr>
              <w:t>84.60</w:t>
            </w:r>
          </w:p>
        </w:tc>
        <w:tc>
          <w:tcPr>
            <w:tcW w:w="850" w:type="dxa"/>
            <w:tcBorders>
              <w:top w:val="nil"/>
              <w:left w:val="nil"/>
              <w:bottom w:val="single" w:sz="4" w:space="0" w:color="auto"/>
              <w:right w:val="single" w:sz="4" w:space="0" w:color="auto"/>
            </w:tcBorders>
            <w:shd w:val="clear" w:color="000000" w:fill="BDD7EE"/>
            <w:noWrap/>
            <w:vAlign w:val="center"/>
            <w:hideMark/>
          </w:tcPr>
          <w:p w14:paraId="36166F18" w14:textId="77777777" w:rsidR="0088258D" w:rsidRPr="00B92499" w:rsidRDefault="0088258D" w:rsidP="0088258D">
            <w:pPr>
              <w:jc w:val="center"/>
              <w:rPr>
                <w:rFonts w:ascii="Arial" w:hAnsi="Arial" w:cs="Arial"/>
                <w:color w:val="000000"/>
                <w:sz w:val="16"/>
                <w:szCs w:val="16"/>
              </w:rPr>
            </w:pPr>
            <w:r w:rsidRPr="00B92499">
              <w:rPr>
                <w:rFonts w:ascii="Arial" w:hAnsi="Arial" w:cs="Arial"/>
                <w:color w:val="000000"/>
                <w:sz w:val="16"/>
                <w:szCs w:val="16"/>
              </w:rPr>
              <w:t>83.13</w:t>
            </w:r>
          </w:p>
        </w:tc>
        <w:tc>
          <w:tcPr>
            <w:tcW w:w="850" w:type="dxa"/>
            <w:tcBorders>
              <w:top w:val="nil"/>
              <w:left w:val="nil"/>
              <w:bottom w:val="single" w:sz="4" w:space="0" w:color="auto"/>
              <w:right w:val="single" w:sz="4" w:space="0" w:color="auto"/>
            </w:tcBorders>
            <w:shd w:val="clear" w:color="000000" w:fill="D9D9D9"/>
            <w:noWrap/>
            <w:vAlign w:val="center"/>
            <w:hideMark/>
          </w:tcPr>
          <w:p w14:paraId="15B0CC4E" w14:textId="77777777" w:rsidR="0088258D" w:rsidRPr="00B92499" w:rsidRDefault="0088258D" w:rsidP="0088258D">
            <w:pPr>
              <w:jc w:val="center"/>
              <w:rPr>
                <w:rFonts w:ascii="Arial" w:hAnsi="Arial" w:cs="Arial"/>
                <w:color w:val="000000"/>
                <w:sz w:val="16"/>
                <w:szCs w:val="16"/>
              </w:rPr>
            </w:pPr>
            <w:r w:rsidRPr="00B92499">
              <w:rPr>
                <w:rFonts w:ascii="Arial" w:hAnsi="Arial" w:cs="Arial"/>
                <w:color w:val="000000"/>
                <w:sz w:val="16"/>
                <w:szCs w:val="16"/>
              </w:rPr>
              <w:t>0.93</w:t>
            </w:r>
          </w:p>
        </w:tc>
        <w:tc>
          <w:tcPr>
            <w:tcW w:w="850" w:type="dxa"/>
            <w:tcBorders>
              <w:top w:val="nil"/>
              <w:left w:val="nil"/>
              <w:bottom w:val="single" w:sz="4" w:space="0" w:color="auto"/>
              <w:right w:val="single" w:sz="4" w:space="0" w:color="auto"/>
            </w:tcBorders>
            <w:shd w:val="clear" w:color="auto" w:fill="auto"/>
            <w:noWrap/>
            <w:vAlign w:val="center"/>
            <w:hideMark/>
          </w:tcPr>
          <w:p w14:paraId="3A9A84FB" w14:textId="77777777" w:rsidR="0088258D" w:rsidRPr="00B92499" w:rsidRDefault="0088258D" w:rsidP="0088258D">
            <w:pPr>
              <w:jc w:val="center"/>
              <w:rPr>
                <w:rFonts w:ascii="Arial" w:hAnsi="Arial" w:cs="Arial"/>
                <w:color w:val="000000"/>
                <w:sz w:val="16"/>
                <w:szCs w:val="16"/>
              </w:rPr>
            </w:pPr>
            <w:r w:rsidRPr="00B92499">
              <w:rPr>
                <w:rFonts w:ascii="Arial" w:hAnsi="Arial" w:cs="Arial"/>
                <w:color w:val="000000"/>
                <w:sz w:val="16"/>
                <w:szCs w:val="16"/>
              </w:rPr>
              <w:t>84.06</w:t>
            </w:r>
          </w:p>
        </w:tc>
      </w:tr>
      <w:tr w:rsidR="0088258D" w:rsidRPr="00B92499" w14:paraId="6112F0E3" w14:textId="77777777" w:rsidTr="00027F6E">
        <w:trPr>
          <w:trHeight w:val="680"/>
        </w:trPr>
        <w:tc>
          <w:tcPr>
            <w:tcW w:w="421" w:type="dxa"/>
            <w:tcBorders>
              <w:top w:val="nil"/>
              <w:left w:val="single" w:sz="4" w:space="0" w:color="auto"/>
              <w:bottom w:val="single" w:sz="4" w:space="0" w:color="auto"/>
              <w:right w:val="single" w:sz="4" w:space="0" w:color="auto"/>
            </w:tcBorders>
            <w:shd w:val="clear" w:color="000000" w:fill="FFFFFF"/>
            <w:vAlign w:val="center"/>
            <w:hideMark/>
          </w:tcPr>
          <w:p w14:paraId="0EAA01A5" w14:textId="77777777" w:rsidR="0088258D" w:rsidRPr="00B92499" w:rsidRDefault="0088258D" w:rsidP="0088258D">
            <w:pPr>
              <w:jc w:val="center"/>
              <w:rPr>
                <w:rFonts w:ascii="Arial" w:hAnsi="Arial" w:cs="Arial"/>
                <w:color w:val="000000"/>
                <w:sz w:val="16"/>
                <w:szCs w:val="16"/>
              </w:rPr>
            </w:pPr>
            <w:r w:rsidRPr="00B92499">
              <w:rPr>
                <w:rFonts w:ascii="Arial" w:hAnsi="Arial" w:cs="Arial"/>
                <w:color w:val="000000"/>
                <w:sz w:val="16"/>
                <w:szCs w:val="16"/>
              </w:rPr>
              <w:t>13</w:t>
            </w:r>
          </w:p>
        </w:tc>
        <w:tc>
          <w:tcPr>
            <w:tcW w:w="1304" w:type="dxa"/>
            <w:tcBorders>
              <w:top w:val="nil"/>
              <w:left w:val="nil"/>
              <w:bottom w:val="single" w:sz="4" w:space="0" w:color="auto"/>
              <w:right w:val="single" w:sz="4" w:space="0" w:color="auto"/>
            </w:tcBorders>
            <w:shd w:val="clear" w:color="000000" w:fill="FFFFFF"/>
            <w:vAlign w:val="center"/>
            <w:hideMark/>
          </w:tcPr>
          <w:p w14:paraId="2B0DD8A8" w14:textId="77777777" w:rsidR="0088258D" w:rsidRPr="00B92499" w:rsidRDefault="0088258D" w:rsidP="0088258D">
            <w:pPr>
              <w:rPr>
                <w:rFonts w:ascii="Arial" w:hAnsi="Arial" w:cs="Arial"/>
                <w:color w:val="000000"/>
                <w:sz w:val="16"/>
                <w:szCs w:val="16"/>
              </w:rPr>
            </w:pPr>
            <w:r w:rsidRPr="00B92499">
              <w:rPr>
                <w:rFonts w:ascii="Arial" w:hAnsi="Arial" w:cs="Arial"/>
                <w:color w:val="000000"/>
                <w:sz w:val="16"/>
                <w:szCs w:val="16"/>
              </w:rPr>
              <w:t>Alcaldía Álvaro Obregón</w:t>
            </w:r>
          </w:p>
        </w:tc>
        <w:tc>
          <w:tcPr>
            <w:tcW w:w="850" w:type="dxa"/>
            <w:tcBorders>
              <w:top w:val="nil"/>
              <w:left w:val="nil"/>
              <w:bottom w:val="single" w:sz="4" w:space="0" w:color="auto"/>
              <w:right w:val="single" w:sz="4" w:space="0" w:color="auto"/>
            </w:tcBorders>
            <w:shd w:val="clear" w:color="000000" w:fill="BDD7EE"/>
            <w:noWrap/>
            <w:vAlign w:val="center"/>
            <w:hideMark/>
          </w:tcPr>
          <w:p w14:paraId="4D3D63F8" w14:textId="77777777" w:rsidR="0088258D" w:rsidRPr="00B92499" w:rsidRDefault="0088258D" w:rsidP="0088258D">
            <w:pPr>
              <w:jc w:val="center"/>
              <w:rPr>
                <w:rFonts w:ascii="Arial" w:hAnsi="Arial" w:cs="Arial"/>
                <w:color w:val="000000"/>
                <w:sz w:val="16"/>
                <w:szCs w:val="16"/>
              </w:rPr>
            </w:pPr>
            <w:r w:rsidRPr="00B92499">
              <w:rPr>
                <w:rFonts w:ascii="Arial" w:hAnsi="Arial" w:cs="Arial"/>
                <w:color w:val="000000"/>
                <w:sz w:val="16"/>
                <w:szCs w:val="16"/>
              </w:rPr>
              <w:t>78.25</w:t>
            </w:r>
          </w:p>
        </w:tc>
        <w:tc>
          <w:tcPr>
            <w:tcW w:w="850" w:type="dxa"/>
            <w:tcBorders>
              <w:top w:val="nil"/>
              <w:left w:val="nil"/>
              <w:bottom w:val="single" w:sz="4" w:space="0" w:color="auto"/>
              <w:right w:val="single" w:sz="4" w:space="0" w:color="auto"/>
            </w:tcBorders>
            <w:shd w:val="clear" w:color="000000" w:fill="D9D9D9"/>
            <w:noWrap/>
            <w:vAlign w:val="center"/>
            <w:hideMark/>
          </w:tcPr>
          <w:p w14:paraId="4731111D" w14:textId="77777777" w:rsidR="0088258D" w:rsidRPr="00B92499" w:rsidRDefault="0088258D" w:rsidP="0088258D">
            <w:pPr>
              <w:jc w:val="center"/>
              <w:rPr>
                <w:rFonts w:ascii="Arial" w:hAnsi="Arial" w:cs="Arial"/>
                <w:color w:val="000000"/>
                <w:sz w:val="16"/>
                <w:szCs w:val="16"/>
              </w:rPr>
            </w:pPr>
            <w:r w:rsidRPr="00B92499">
              <w:rPr>
                <w:rFonts w:ascii="Arial" w:hAnsi="Arial" w:cs="Arial"/>
                <w:color w:val="000000"/>
                <w:sz w:val="16"/>
                <w:szCs w:val="16"/>
              </w:rPr>
              <w:t>4.74</w:t>
            </w:r>
          </w:p>
        </w:tc>
        <w:tc>
          <w:tcPr>
            <w:tcW w:w="850" w:type="dxa"/>
            <w:tcBorders>
              <w:top w:val="nil"/>
              <w:left w:val="nil"/>
              <w:bottom w:val="single" w:sz="4" w:space="0" w:color="auto"/>
              <w:right w:val="single" w:sz="4" w:space="0" w:color="auto"/>
            </w:tcBorders>
            <w:shd w:val="clear" w:color="auto" w:fill="auto"/>
            <w:noWrap/>
            <w:vAlign w:val="center"/>
            <w:hideMark/>
          </w:tcPr>
          <w:p w14:paraId="406A4E37" w14:textId="77777777" w:rsidR="0088258D" w:rsidRPr="00B92499" w:rsidRDefault="0088258D" w:rsidP="0088258D">
            <w:pPr>
              <w:jc w:val="center"/>
              <w:rPr>
                <w:rFonts w:ascii="Arial" w:hAnsi="Arial" w:cs="Arial"/>
                <w:color w:val="000000"/>
                <w:sz w:val="16"/>
                <w:szCs w:val="16"/>
              </w:rPr>
            </w:pPr>
            <w:r w:rsidRPr="00B92499">
              <w:rPr>
                <w:rFonts w:ascii="Arial" w:hAnsi="Arial" w:cs="Arial"/>
                <w:color w:val="000000"/>
                <w:sz w:val="16"/>
                <w:szCs w:val="16"/>
              </w:rPr>
              <w:t>82.99</w:t>
            </w:r>
          </w:p>
        </w:tc>
        <w:tc>
          <w:tcPr>
            <w:tcW w:w="850" w:type="dxa"/>
            <w:tcBorders>
              <w:top w:val="nil"/>
              <w:left w:val="nil"/>
              <w:bottom w:val="single" w:sz="4" w:space="0" w:color="auto"/>
              <w:right w:val="single" w:sz="4" w:space="0" w:color="auto"/>
            </w:tcBorders>
            <w:shd w:val="clear" w:color="000000" w:fill="BDD7EE"/>
            <w:noWrap/>
            <w:vAlign w:val="center"/>
            <w:hideMark/>
          </w:tcPr>
          <w:p w14:paraId="4947752A" w14:textId="77777777" w:rsidR="0088258D" w:rsidRPr="00B92499" w:rsidRDefault="0088258D" w:rsidP="0088258D">
            <w:pPr>
              <w:jc w:val="center"/>
              <w:rPr>
                <w:rFonts w:ascii="Arial" w:hAnsi="Arial" w:cs="Arial"/>
                <w:color w:val="000000"/>
                <w:sz w:val="16"/>
                <w:szCs w:val="16"/>
              </w:rPr>
            </w:pPr>
            <w:r w:rsidRPr="00B92499">
              <w:rPr>
                <w:rFonts w:ascii="Arial" w:hAnsi="Arial" w:cs="Arial"/>
                <w:color w:val="000000"/>
                <w:sz w:val="16"/>
                <w:szCs w:val="16"/>
              </w:rPr>
              <w:t>78.74</w:t>
            </w:r>
          </w:p>
        </w:tc>
        <w:tc>
          <w:tcPr>
            <w:tcW w:w="850" w:type="dxa"/>
            <w:tcBorders>
              <w:top w:val="nil"/>
              <w:left w:val="nil"/>
              <w:bottom w:val="single" w:sz="4" w:space="0" w:color="auto"/>
              <w:right w:val="single" w:sz="4" w:space="0" w:color="auto"/>
            </w:tcBorders>
            <w:shd w:val="clear" w:color="000000" w:fill="D9D9D9"/>
            <w:noWrap/>
            <w:vAlign w:val="center"/>
            <w:hideMark/>
          </w:tcPr>
          <w:p w14:paraId="55669649" w14:textId="77777777" w:rsidR="0088258D" w:rsidRPr="00B92499" w:rsidRDefault="0088258D" w:rsidP="0088258D">
            <w:pPr>
              <w:jc w:val="center"/>
              <w:rPr>
                <w:rFonts w:ascii="Arial" w:hAnsi="Arial" w:cs="Arial"/>
                <w:color w:val="000000"/>
                <w:sz w:val="16"/>
                <w:szCs w:val="16"/>
              </w:rPr>
            </w:pPr>
            <w:r w:rsidRPr="00B92499">
              <w:rPr>
                <w:rFonts w:ascii="Arial" w:hAnsi="Arial" w:cs="Arial"/>
                <w:color w:val="000000"/>
                <w:sz w:val="16"/>
                <w:szCs w:val="16"/>
              </w:rPr>
              <w:t>6.20</w:t>
            </w:r>
          </w:p>
        </w:tc>
        <w:tc>
          <w:tcPr>
            <w:tcW w:w="850" w:type="dxa"/>
            <w:tcBorders>
              <w:top w:val="nil"/>
              <w:left w:val="nil"/>
              <w:bottom w:val="single" w:sz="4" w:space="0" w:color="auto"/>
              <w:right w:val="single" w:sz="4" w:space="0" w:color="auto"/>
            </w:tcBorders>
            <w:shd w:val="clear" w:color="auto" w:fill="auto"/>
            <w:noWrap/>
            <w:vAlign w:val="center"/>
            <w:hideMark/>
          </w:tcPr>
          <w:p w14:paraId="5BA05A0A" w14:textId="77777777" w:rsidR="0088258D" w:rsidRPr="00B92499" w:rsidRDefault="0088258D" w:rsidP="0088258D">
            <w:pPr>
              <w:jc w:val="center"/>
              <w:rPr>
                <w:rFonts w:ascii="Arial" w:hAnsi="Arial" w:cs="Arial"/>
                <w:color w:val="000000"/>
                <w:sz w:val="16"/>
                <w:szCs w:val="16"/>
              </w:rPr>
            </w:pPr>
            <w:r w:rsidRPr="00B92499">
              <w:rPr>
                <w:rFonts w:ascii="Arial" w:hAnsi="Arial" w:cs="Arial"/>
                <w:color w:val="000000"/>
                <w:sz w:val="16"/>
                <w:szCs w:val="16"/>
              </w:rPr>
              <w:t>84.94</w:t>
            </w:r>
          </w:p>
        </w:tc>
        <w:tc>
          <w:tcPr>
            <w:tcW w:w="850" w:type="dxa"/>
            <w:tcBorders>
              <w:top w:val="nil"/>
              <w:left w:val="nil"/>
              <w:bottom w:val="single" w:sz="4" w:space="0" w:color="auto"/>
              <w:right w:val="single" w:sz="4" w:space="0" w:color="auto"/>
            </w:tcBorders>
            <w:shd w:val="clear" w:color="000000" w:fill="BDD7EE"/>
            <w:noWrap/>
            <w:vAlign w:val="center"/>
            <w:hideMark/>
          </w:tcPr>
          <w:p w14:paraId="31AB2493" w14:textId="77777777" w:rsidR="0088258D" w:rsidRPr="00B92499" w:rsidRDefault="0088258D" w:rsidP="0088258D">
            <w:pPr>
              <w:jc w:val="center"/>
              <w:rPr>
                <w:rFonts w:ascii="Arial" w:hAnsi="Arial" w:cs="Arial"/>
                <w:color w:val="000000"/>
                <w:sz w:val="16"/>
                <w:szCs w:val="16"/>
              </w:rPr>
            </w:pPr>
            <w:r w:rsidRPr="00B92499">
              <w:rPr>
                <w:rFonts w:ascii="Arial" w:hAnsi="Arial" w:cs="Arial"/>
                <w:color w:val="000000"/>
                <w:sz w:val="16"/>
                <w:szCs w:val="16"/>
              </w:rPr>
              <w:t>78.49</w:t>
            </w:r>
          </w:p>
        </w:tc>
        <w:tc>
          <w:tcPr>
            <w:tcW w:w="850" w:type="dxa"/>
            <w:tcBorders>
              <w:top w:val="nil"/>
              <w:left w:val="nil"/>
              <w:bottom w:val="single" w:sz="4" w:space="0" w:color="auto"/>
              <w:right w:val="single" w:sz="4" w:space="0" w:color="auto"/>
            </w:tcBorders>
            <w:shd w:val="clear" w:color="000000" w:fill="D9D9D9"/>
            <w:noWrap/>
            <w:vAlign w:val="center"/>
            <w:hideMark/>
          </w:tcPr>
          <w:p w14:paraId="0DA6E74F" w14:textId="77777777" w:rsidR="0088258D" w:rsidRPr="00B92499" w:rsidRDefault="0088258D" w:rsidP="0088258D">
            <w:pPr>
              <w:jc w:val="center"/>
              <w:rPr>
                <w:rFonts w:ascii="Arial" w:hAnsi="Arial" w:cs="Arial"/>
                <w:color w:val="000000"/>
                <w:sz w:val="16"/>
                <w:szCs w:val="16"/>
              </w:rPr>
            </w:pPr>
            <w:r w:rsidRPr="00B92499">
              <w:rPr>
                <w:rFonts w:ascii="Arial" w:hAnsi="Arial" w:cs="Arial"/>
                <w:color w:val="000000"/>
                <w:sz w:val="16"/>
                <w:szCs w:val="16"/>
              </w:rPr>
              <w:t>5.47</w:t>
            </w:r>
          </w:p>
        </w:tc>
        <w:tc>
          <w:tcPr>
            <w:tcW w:w="850" w:type="dxa"/>
            <w:tcBorders>
              <w:top w:val="nil"/>
              <w:left w:val="nil"/>
              <w:bottom w:val="single" w:sz="4" w:space="0" w:color="auto"/>
              <w:right w:val="single" w:sz="4" w:space="0" w:color="auto"/>
            </w:tcBorders>
            <w:shd w:val="clear" w:color="auto" w:fill="auto"/>
            <w:noWrap/>
            <w:vAlign w:val="center"/>
            <w:hideMark/>
          </w:tcPr>
          <w:p w14:paraId="57047540" w14:textId="77777777" w:rsidR="0088258D" w:rsidRPr="00B92499" w:rsidRDefault="0088258D" w:rsidP="0088258D">
            <w:pPr>
              <w:jc w:val="center"/>
              <w:rPr>
                <w:rFonts w:ascii="Arial" w:hAnsi="Arial" w:cs="Arial"/>
                <w:color w:val="000000"/>
                <w:sz w:val="16"/>
                <w:szCs w:val="16"/>
              </w:rPr>
            </w:pPr>
            <w:r w:rsidRPr="00B92499">
              <w:rPr>
                <w:rFonts w:ascii="Arial" w:hAnsi="Arial" w:cs="Arial"/>
                <w:color w:val="000000"/>
                <w:sz w:val="16"/>
                <w:szCs w:val="16"/>
              </w:rPr>
              <w:t>83.96</w:t>
            </w:r>
          </w:p>
        </w:tc>
      </w:tr>
      <w:tr w:rsidR="0088258D" w:rsidRPr="00B92499" w14:paraId="2D9CC3EB" w14:textId="77777777" w:rsidTr="00027F6E">
        <w:trPr>
          <w:trHeight w:val="680"/>
        </w:trPr>
        <w:tc>
          <w:tcPr>
            <w:tcW w:w="421" w:type="dxa"/>
            <w:tcBorders>
              <w:top w:val="nil"/>
              <w:left w:val="single" w:sz="4" w:space="0" w:color="auto"/>
              <w:bottom w:val="single" w:sz="4" w:space="0" w:color="auto"/>
              <w:right w:val="single" w:sz="4" w:space="0" w:color="auto"/>
            </w:tcBorders>
            <w:shd w:val="clear" w:color="000000" w:fill="FFFFFF"/>
            <w:vAlign w:val="center"/>
            <w:hideMark/>
          </w:tcPr>
          <w:p w14:paraId="2EB03019" w14:textId="77777777" w:rsidR="0088258D" w:rsidRPr="00B92499" w:rsidRDefault="0088258D" w:rsidP="0088258D">
            <w:pPr>
              <w:jc w:val="center"/>
              <w:rPr>
                <w:rFonts w:ascii="Arial" w:hAnsi="Arial" w:cs="Arial"/>
                <w:color w:val="000000"/>
                <w:sz w:val="16"/>
                <w:szCs w:val="16"/>
              </w:rPr>
            </w:pPr>
            <w:r w:rsidRPr="00B92499">
              <w:rPr>
                <w:rFonts w:ascii="Arial" w:hAnsi="Arial" w:cs="Arial"/>
                <w:color w:val="000000"/>
                <w:sz w:val="16"/>
                <w:szCs w:val="16"/>
              </w:rPr>
              <w:t>14</w:t>
            </w:r>
          </w:p>
        </w:tc>
        <w:tc>
          <w:tcPr>
            <w:tcW w:w="1304" w:type="dxa"/>
            <w:tcBorders>
              <w:top w:val="nil"/>
              <w:left w:val="nil"/>
              <w:bottom w:val="single" w:sz="4" w:space="0" w:color="auto"/>
              <w:right w:val="single" w:sz="4" w:space="0" w:color="auto"/>
            </w:tcBorders>
            <w:shd w:val="clear" w:color="000000" w:fill="FFFFFF"/>
            <w:vAlign w:val="center"/>
            <w:hideMark/>
          </w:tcPr>
          <w:p w14:paraId="3831FDAF" w14:textId="77777777" w:rsidR="0088258D" w:rsidRPr="00B92499" w:rsidRDefault="0088258D" w:rsidP="0088258D">
            <w:pPr>
              <w:rPr>
                <w:rFonts w:ascii="Arial" w:hAnsi="Arial" w:cs="Arial"/>
                <w:color w:val="000000"/>
                <w:sz w:val="16"/>
                <w:szCs w:val="16"/>
              </w:rPr>
            </w:pPr>
            <w:r w:rsidRPr="00B92499">
              <w:rPr>
                <w:rFonts w:ascii="Arial" w:hAnsi="Arial" w:cs="Arial"/>
                <w:color w:val="000000"/>
                <w:sz w:val="16"/>
                <w:szCs w:val="16"/>
              </w:rPr>
              <w:t>Alcaldía Benito Juárez</w:t>
            </w:r>
          </w:p>
        </w:tc>
        <w:tc>
          <w:tcPr>
            <w:tcW w:w="850" w:type="dxa"/>
            <w:tcBorders>
              <w:top w:val="nil"/>
              <w:left w:val="nil"/>
              <w:bottom w:val="single" w:sz="4" w:space="0" w:color="auto"/>
              <w:right w:val="single" w:sz="4" w:space="0" w:color="auto"/>
            </w:tcBorders>
            <w:shd w:val="clear" w:color="000000" w:fill="BDD7EE"/>
            <w:noWrap/>
            <w:vAlign w:val="center"/>
            <w:hideMark/>
          </w:tcPr>
          <w:p w14:paraId="70DDEACD" w14:textId="77777777" w:rsidR="0088258D" w:rsidRPr="00B92499" w:rsidRDefault="0088258D" w:rsidP="0088258D">
            <w:pPr>
              <w:jc w:val="center"/>
              <w:rPr>
                <w:rFonts w:ascii="Arial" w:hAnsi="Arial" w:cs="Arial"/>
                <w:color w:val="000000"/>
                <w:sz w:val="16"/>
                <w:szCs w:val="16"/>
              </w:rPr>
            </w:pPr>
            <w:r w:rsidRPr="00B92499">
              <w:rPr>
                <w:rFonts w:ascii="Arial" w:hAnsi="Arial" w:cs="Arial"/>
                <w:color w:val="000000"/>
                <w:sz w:val="16"/>
                <w:szCs w:val="16"/>
              </w:rPr>
              <w:t>62.49</w:t>
            </w:r>
          </w:p>
        </w:tc>
        <w:tc>
          <w:tcPr>
            <w:tcW w:w="850" w:type="dxa"/>
            <w:tcBorders>
              <w:top w:val="nil"/>
              <w:left w:val="nil"/>
              <w:bottom w:val="single" w:sz="4" w:space="0" w:color="auto"/>
              <w:right w:val="single" w:sz="4" w:space="0" w:color="auto"/>
            </w:tcBorders>
            <w:shd w:val="clear" w:color="000000" w:fill="D9D9D9"/>
            <w:noWrap/>
            <w:vAlign w:val="center"/>
            <w:hideMark/>
          </w:tcPr>
          <w:p w14:paraId="0C85BE93" w14:textId="77777777" w:rsidR="0088258D" w:rsidRPr="00B92499" w:rsidRDefault="0088258D" w:rsidP="0088258D">
            <w:pPr>
              <w:jc w:val="center"/>
              <w:rPr>
                <w:rFonts w:ascii="Arial" w:hAnsi="Arial" w:cs="Arial"/>
                <w:color w:val="000000"/>
                <w:sz w:val="16"/>
                <w:szCs w:val="16"/>
              </w:rPr>
            </w:pPr>
            <w:r w:rsidRPr="00B92499">
              <w:rPr>
                <w:rFonts w:ascii="Arial" w:hAnsi="Arial" w:cs="Arial"/>
                <w:color w:val="000000"/>
                <w:sz w:val="16"/>
                <w:szCs w:val="16"/>
              </w:rPr>
              <w:t>0.62</w:t>
            </w:r>
          </w:p>
        </w:tc>
        <w:tc>
          <w:tcPr>
            <w:tcW w:w="850" w:type="dxa"/>
            <w:tcBorders>
              <w:top w:val="nil"/>
              <w:left w:val="nil"/>
              <w:bottom w:val="single" w:sz="4" w:space="0" w:color="auto"/>
              <w:right w:val="single" w:sz="4" w:space="0" w:color="auto"/>
            </w:tcBorders>
            <w:shd w:val="clear" w:color="auto" w:fill="auto"/>
            <w:noWrap/>
            <w:vAlign w:val="center"/>
            <w:hideMark/>
          </w:tcPr>
          <w:p w14:paraId="01ECC9E0" w14:textId="77777777" w:rsidR="0088258D" w:rsidRPr="00B92499" w:rsidRDefault="0088258D" w:rsidP="0088258D">
            <w:pPr>
              <w:jc w:val="center"/>
              <w:rPr>
                <w:rFonts w:ascii="Arial" w:hAnsi="Arial" w:cs="Arial"/>
                <w:color w:val="000000"/>
                <w:sz w:val="16"/>
                <w:szCs w:val="16"/>
              </w:rPr>
            </w:pPr>
            <w:r w:rsidRPr="00B92499">
              <w:rPr>
                <w:rFonts w:ascii="Arial" w:hAnsi="Arial" w:cs="Arial"/>
                <w:color w:val="000000"/>
                <w:sz w:val="16"/>
                <w:szCs w:val="16"/>
              </w:rPr>
              <w:t>63.11</w:t>
            </w:r>
          </w:p>
        </w:tc>
        <w:tc>
          <w:tcPr>
            <w:tcW w:w="850" w:type="dxa"/>
            <w:tcBorders>
              <w:top w:val="nil"/>
              <w:left w:val="nil"/>
              <w:bottom w:val="single" w:sz="4" w:space="0" w:color="auto"/>
              <w:right w:val="single" w:sz="4" w:space="0" w:color="auto"/>
            </w:tcBorders>
            <w:shd w:val="clear" w:color="000000" w:fill="BDD7EE"/>
            <w:noWrap/>
            <w:vAlign w:val="center"/>
            <w:hideMark/>
          </w:tcPr>
          <w:p w14:paraId="740939E3" w14:textId="77777777" w:rsidR="0088258D" w:rsidRPr="00B92499" w:rsidRDefault="0088258D" w:rsidP="0088258D">
            <w:pPr>
              <w:jc w:val="center"/>
              <w:rPr>
                <w:rFonts w:ascii="Arial" w:hAnsi="Arial" w:cs="Arial"/>
                <w:color w:val="000000"/>
                <w:sz w:val="16"/>
                <w:szCs w:val="16"/>
              </w:rPr>
            </w:pPr>
            <w:r w:rsidRPr="00B92499">
              <w:rPr>
                <w:rFonts w:ascii="Arial" w:hAnsi="Arial" w:cs="Arial"/>
                <w:color w:val="000000"/>
                <w:sz w:val="16"/>
                <w:szCs w:val="16"/>
              </w:rPr>
              <w:t>88.76</w:t>
            </w:r>
          </w:p>
        </w:tc>
        <w:tc>
          <w:tcPr>
            <w:tcW w:w="850" w:type="dxa"/>
            <w:tcBorders>
              <w:top w:val="nil"/>
              <w:left w:val="nil"/>
              <w:bottom w:val="single" w:sz="4" w:space="0" w:color="auto"/>
              <w:right w:val="single" w:sz="4" w:space="0" w:color="auto"/>
            </w:tcBorders>
            <w:shd w:val="clear" w:color="000000" w:fill="D9D9D9"/>
            <w:noWrap/>
            <w:vAlign w:val="center"/>
            <w:hideMark/>
          </w:tcPr>
          <w:p w14:paraId="20FEBD6B" w14:textId="77777777" w:rsidR="0088258D" w:rsidRPr="00B92499" w:rsidRDefault="0088258D" w:rsidP="0088258D">
            <w:pPr>
              <w:jc w:val="center"/>
              <w:rPr>
                <w:rFonts w:ascii="Arial" w:hAnsi="Arial" w:cs="Arial"/>
                <w:color w:val="000000"/>
                <w:sz w:val="16"/>
                <w:szCs w:val="16"/>
              </w:rPr>
            </w:pPr>
            <w:r w:rsidRPr="00B92499">
              <w:rPr>
                <w:rFonts w:ascii="Arial" w:hAnsi="Arial" w:cs="Arial"/>
                <w:color w:val="000000"/>
                <w:sz w:val="16"/>
                <w:szCs w:val="16"/>
              </w:rPr>
              <w:t>1.89</w:t>
            </w:r>
          </w:p>
        </w:tc>
        <w:tc>
          <w:tcPr>
            <w:tcW w:w="850" w:type="dxa"/>
            <w:tcBorders>
              <w:top w:val="nil"/>
              <w:left w:val="nil"/>
              <w:bottom w:val="single" w:sz="4" w:space="0" w:color="auto"/>
              <w:right w:val="single" w:sz="4" w:space="0" w:color="auto"/>
            </w:tcBorders>
            <w:shd w:val="clear" w:color="auto" w:fill="auto"/>
            <w:noWrap/>
            <w:vAlign w:val="center"/>
            <w:hideMark/>
          </w:tcPr>
          <w:p w14:paraId="67B57754" w14:textId="77777777" w:rsidR="0088258D" w:rsidRPr="00B92499" w:rsidRDefault="0088258D" w:rsidP="0088258D">
            <w:pPr>
              <w:jc w:val="center"/>
              <w:rPr>
                <w:rFonts w:ascii="Arial" w:hAnsi="Arial" w:cs="Arial"/>
                <w:color w:val="000000"/>
                <w:sz w:val="16"/>
                <w:szCs w:val="16"/>
              </w:rPr>
            </w:pPr>
            <w:r w:rsidRPr="00B92499">
              <w:rPr>
                <w:rFonts w:ascii="Arial" w:hAnsi="Arial" w:cs="Arial"/>
                <w:color w:val="000000"/>
                <w:sz w:val="16"/>
                <w:szCs w:val="16"/>
              </w:rPr>
              <w:t>90.64</w:t>
            </w:r>
          </w:p>
        </w:tc>
        <w:tc>
          <w:tcPr>
            <w:tcW w:w="850" w:type="dxa"/>
            <w:tcBorders>
              <w:top w:val="nil"/>
              <w:left w:val="nil"/>
              <w:bottom w:val="single" w:sz="4" w:space="0" w:color="auto"/>
              <w:right w:val="single" w:sz="4" w:space="0" w:color="auto"/>
            </w:tcBorders>
            <w:shd w:val="clear" w:color="000000" w:fill="BDD7EE"/>
            <w:noWrap/>
            <w:vAlign w:val="center"/>
            <w:hideMark/>
          </w:tcPr>
          <w:p w14:paraId="37AFB9F7" w14:textId="77777777" w:rsidR="0088258D" w:rsidRPr="00B92499" w:rsidRDefault="0088258D" w:rsidP="0088258D">
            <w:pPr>
              <w:jc w:val="center"/>
              <w:rPr>
                <w:rFonts w:ascii="Arial" w:hAnsi="Arial" w:cs="Arial"/>
                <w:color w:val="000000"/>
                <w:sz w:val="16"/>
                <w:szCs w:val="16"/>
              </w:rPr>
            </w:pPr>
            <w:r w:rsidRPr="00B92499">
              <w:rPr>
                <w:rFonts w:ascii="Arial" w:hAnsi="Arial" w:cs="Arial"/>
                <w:color w:val="000000"/>
                <w:sz w:val="16"/>
                <w:szCs w:val="16"/>
              </w:rPr>
              <w:t>75.62</w:t>
            </w:r>
          </w:p>
        </w:tc>
        <w:tc>
          <w:tcPr>
            <w:tcW w:w="850" w:type="dxa"/>
            <w:tcBorders>
              <w:top w:val="nil"/>
              <w:left w:val="nil"/>
              <w:bottom w:val="single" w:sz="4" w:space="0" w:color="auto"/>
              <w:right w:val="single" w:sz="4" w:space="0" w:color="auto"/>
            </w:tcBorders>
            <w:shd w:val="clear" w:color="000000" w:fill="D9D9D9"/>
            <w:noWrap/>
            <w:vAlign w:val="center"/>
            <w:hideMark/>
          </w:tcPr>
          <w:p w14:paraId="6B7E1A82" w14:textId="77777777" w:rsidR="0088258D" w:rsidRPr="00B92499" w:rsidRDefault="0088258D" w:rsidP="0088258D">
            <w:pPr>
              <w:jc w:val="center"/>
              <w:rPr>
                <w:rFonts w:ascii="Arial" w:hAnsi="Arial" w:cs="Arial"/>
                <w:color w:val="000000"/>
                <w:sz w:val="16"/>
                <w:szCs w:val="16"/>
              </w:rPr>
            </w:pPr>
            <w:r w:rsidRPr="00B92499">
              <w:rPr>
                <w:rFonts w:ascii="Arial" w:hAnsi="Arial" w:cs="Arial"/>
                <w:color w:val="000000"/>
                <w:sz w:val="16"/>
                <w:szCs w:val="16"/>
              </w:rPr>
              <w:t>1.25</w:t>
            </w:r>
          </w:p>
        </w:tc>
        <w:tc>
          <w:tcPr>
            <w:tcW w:w="850" w:type="dxa"/>
            <w:tcBorders>
              <w:top w:val="nil"/>
              <w:left w:val="nil"/>
              <w:bottom w:val="single" w:sz="4" w:space="0" w:color="auto"/>
              <w:right w:val="single" w:sz="4" w:space="0" w:color="auto"/>
            </w:tcBorders>
            <w:shd w:val="clear" w:color="auto" w:fill="auto"/>
            <w:noWrap/>
            <w:vAlign w:val="center"/>
            <w:hideMark/>
          </w:tcPr>
          <w:p w14:paraId="5FCBEF00" w14:textId="77777777" w:rsidR="0088258D" w:rsidRPr="00B92499" w:rsidRDefault="0088258D" w:rsidP="0088258D">
            <w:pPr>
              <w:jc w:val="center"/>
              <w:rPr>
                <w:rFonts w:ascii="Arial" w:hAnsi="Arial" w:cs="Arial"/>
                <w:color w:val="000000"/>
                <w:sz w:val="16"/>
                <w:szCs w:val="16"/>
              </w:rPr>
            </w:pPr>
            <w:r w:rsidRPr="00B92499">
              <w:rPr>
                <w:rFonts w:ascii="Arial" w:hAnsi="Arial" w:cs="Arial"/>
                <w:color w:val="000000"/>
                <w:sz w:val="16"/>
                <w:szCs w:val="16"/>
              </w:rPr>
              <w:t>76.88</w:t>
            </w:r>
          </w:p>
        </w:tc>
      </w:tr>
      <w:tr w:rsidR="0088258D" w:rsidRPr="00B92499" w14:paraId="260E0D2B" w14:textId="77777777" w:rsidTr="00027F6E">
        <w:trPr>
          <w:trHeight w:val="680"/>
        </w:trPr>
        <w:tc>
          <w:tcPr>
            <w:tcW w:w="421" w:type="dxa"/>
            <w:tcBorders>
              <w:top w:val="nil"/>
              <w:left w:val="single" w:sz="4" w:space="0" w:color="auto"/>
              <w:bottom w:val="single" w:sz="4" w:space="0" w:color="auto"/>
              <w:right w:val="single" w:sz="4" w:space="0" w:color="auto"/>
            </w:tcBorders>
            <w:shd w:val="clear" w:color="000000" w:fill="FFFFFF"/>
            <w:vAlign w:val="center"/>
            <w:hideMark/>
          </w:tcPr>
          <w:p w14:paraId="7214DDF1" w14:textId="77777777" w:rsidR="0088258D" w:rsidRPr="00B92499" w:rsidRDefault="0088258D" w:rsidP="0088258D">
            <w:pPr>
              <w:jc w:val="center"/>
              <w:rPr>
                <w:rFonts w:ascii="Arial" w:hAnsi="Arial" w:cs="Arial"/>
                <w:color w:val="000000"/>
                <w:sz w:val="16"/>
                <w:szCs w:val="16"/>
              </w:rPr>
            </w:pPr>
            <w:r w:rsidRPr="00B92499">
              <w:rPr>
                <w:rFonts w:ascii="Arial" w:hAnsi="Arial" w:cs="Arial"/>
                <w:color w:val="000000"/>
                <w:sz w:val="16"/>
                <w:szCs w:val="16"/>
              </w:rPr>
              <w:t>15</w:t>
            </w:r>
          </w:p>
        </w:tc>
        <w:tc>
          <w:tcPr>
            <w:tcW w:w="1304" w:type="dxa"/>
            <w:tcBorders>
              <w:top w:val="nil"/>
              <w:left w:val="nil"/>
              <w:bottom w:val="single" w:sz="4" w:space="0" w:color="auto"/>
              <w:right w:val="single" w:sz="4" w:space="0" w:color="auto"/>
            </w:tcBorders>
            <w:shd w:val="clear" w:color="000000" w:fill="FFFFFF"/>
            <w:vAlign w:val="center"/>
            <w:hideMark/>
          </w:tcPr>
          <w:p w14:paraId="25936302" w14:textId="77777777" w:rsidR="0088258D" w:rsidRPr="00B92499" w:rsidRDefault="0088258D" w:rsidP="0088258D">
            <w:pPr>
              <w:rPr>
                <w:rFonts w:ascii="Arial" w:hAnsi="Arial" w:cs="Arial"/>
                <w:color w:val="000000"/>
                <w:sz w:val="16"/>
                <w:szCs w:val="16"/>
              </w:rPr>
            </w:pPr>
            <w:r w:rsidRPr="00B92499">
              <w:rPr>
                <w:rFonts w:ascii="Arial" w:hAnsi="Arial" w:cs="Arial"/>
                <w:color w:val="000000"/>
                <w:sz w:val="16"/>
                <w:szCs w:val="16"/>
              </w:rPr>
              <w:t>Alcaldía Coyoacán</w:t>
            </w:r>
          </w:p>
        </w:tc>
        <w:tc>
          <w:tcPr>
            <w:tcW w:w="850" w:type="dxa"/>
            <w:tcBorders>
              <w:top w:val="nil"/>
              <w:left w:val="nil"/>
              <w:bottom w:val="single" w:sz="4" w:space="0" w:color="auto"/>
              <w:right w:val="single" w:sz="4" w:space="0" w:color="auto"/>
            </w:tcBorders>
            <w:shd w:val="clear" w:color="000000" w:fill="BDD7EE"/>
            <w:noWrap/>
            <w:vAlign w:val="center"/>
            <w:hideMark/>
          </w:tcPr>
          <w:p w14:paraId="224A1254" w14:textId="77777777" w:rsidR="0088258D" w:rsidRPr="00B92499" w:rsidRDefault="0088258D" w:rsidP="0088258D">
            <w:pPr>
              <w:jc w:val="center"/>
              <w:rPr>
                <w:rFonts w:ascii="Arial" w:hAnsi="Arial" w:cs="Arial"/>
                <w:color w:val="000000"/>
                <w:sz w:val="16"/>
                <w:szCs w:val="16"/>
              </w:rPr>
            </w:pPr>
            <w:r w:rsidRPr="00B92499">
              <w:rPr>
                <w:rFonts w:ascii="Arial" w:hAnsi="Arial" w:cs="Arial"/>
                <w:color w:val="000000"/>
                <w:sz w:val="16"/>
                <w:szCs w:val="16"/>
              </w:rPr>
              <w:t>63.67</w:t>
            </w:r>
          </w:p>
        </w:tc>
        <w:tc>
          <w:tcPr>
            <w:tcW w:w="850" w:type="dxa"/>
            <w:tcBorders>
              <w:top w:val="nil"/>
              <w:left w:val="nil"/>
              <w:bottom w:val="single" w:sz="4" w:space="0" w:color="auto"/>
              <w:right w:val="single" w:sz="4" w:space="0" w:color="auto"/>
            </w:tcBorders>
            <w:shd w:val="clear" w:color="000000" w:fill="D9D9D9"/>
            <w:noWrap/>
            <w:vAlign w:val="center"/>
            <w:hideMark/>
          </w:tcPr>
          <w:p w14:paraId="0EADE8C0" w14:textId="77777777" w:rsidR="0088258D" w:rsidRPr="00B92499" w:rsidRDefault="0088258D" w:rsidP="0088258D">
            <w:pPr>
              <w:jc w:val="center"/>
              <w:rPr>
                <w:rFonts w:ascii="Arial" w:hAnsi="Arial" w:cs="Arial"/>
                <w:color w:val="000000"/>
                <w:sz w:val="16"/>
                <w:szCs w:val="16"/>
              </w:rPr>
            </w:pPr>
            <w:r w:rsidRPr="00B92499">
              <w:rPr>
                <w:rFonts w:ascii="Arial" w:hAnsi="Arial" w:cs="Arial"/>
                <w:color w:val="000000"/>
                <w:sz w:val="16"/>
                <w:szCs w:val="16"/>
              </w:rPr>
              <w:t>1.50</w:t>
            </w:r>
          </w:p>
        </w:tc>
        <w:tc>
          <w:tcPr>
            <w:tcW w:w="850" w:type="dxa"/>
            <w:tcBorders>
              <w:top w:val="nil"/>
              <w:left w:val="nil"/>
              <w:bottom w:val="single" w:sz="4" w:space="0" w:color="auto"/>
              <w:right w:val="single" w:sz="4" w:space="0" w:color="auto"/>
            </w:tcBorders>
            <w:shd w:val="clear" w:color="auto" w:fill="auto"/>
            <w:noWrap/>
            <w:vAlign w:val="center"/>
            <w:hideMark/>
          </w:tcPr>
          <w:p w14:paraId="40C6C51F" w14:textId="77777777" w:rsidR="0088258D" w:rsidRPr="00B92499" w:rsidRDefault="0088258D" w:rsidP="0088258D">
            <w:pPr>
              <w:jc w:val="center"/>
              <w:rPr>
                <w:rFonts w:ascii="Arial" w:hAnsi="Arial" w:cs="Arial"/>
                <w:color w:val="000000"/>
                <w:sz w:val="16"/>
                <w:szCs w:val="16"/>
              </w:rPr>
            </w:pPr>
            <w:r w:rsidRPr="00B92499">
              <w:rPr>
                <w:rFonts w:ascii="Arial" w:hAnsi="Arial" w:cs="Arial"/>
                <w:color w:val="000000"/>
                <w:sz w:val="16"/>
                <w:szCs w:val="16"/>
              </w:rPr>
              <w:t>65.17</w:t>
            </w:r>
          </w:p>
        </w:tc>
        <w:tc>
          <w:tcPr>
            <w:tcW w:w="850" w:type="dxa"/>
            <w:tcBorders>
              <w:top w:val="nil"/>
              <w:left w:val="nil"/>
              <w:bottom w:val="single" w:sz="4" w:space="0" w:color="auto"/>
              <w:right w:val="single" w:sz="4" w:space="0" w:color="auto"/>
            </w:tcBorders>
            <w:shd w:val="clear" w:color="000000" w:fill="BDD7EE"/>
            <w:noWrap/>
            <w:vAlign w:val="center"/>
            <w:hideMark/>
          </w:tcPr>
          <w:p w14:paraId="24851905" w14:textId="77777777" w:rsidR="0088258D" w:rsidRPr="00B92499" w:rsidRDefault="0088258D" w:rsidP="0088258D">
            <w:pPr>
              <w:jc w:val="center"/>
              <w:rPr>
                <w:rFonts w:ascii="Arial" w:hAnsi="Arial" w:cs="Arial"/>
                <w:color w:val="000000"/>
                <w:sz w:val="16"/>
                <w:szCs w:val="16"/>
              </w:rPr>
            </w:pPr>
            <w:r w:rsidRPr="00B92499">
              <w:rPr>
                <w:rFonts w:ascii="Arial" w:hAnsi="Arial" w:cs="Arial"/>
                <w:color w:val="000000"/>
                <w:sz w:val="16"/>
                <w:szCs w:val="16"/>
              </w:rPr>
              <w:t>71.16</w:t>
            </w:r>
          </w:p>
        </w:tc>
        <w:tc>
          <w:tcPr>
            <w:tcW w:w="850" w:type="dxa"/>
            <w:tcBorders>
              <w:top w:val="nil"/>
              <w:left w:val="nil"/>
              <w:bottom w:val="single" w:sz="4" w:space="0" w:color="auto"/>
              <w:right w:val="single" w:sz="4" w:space="0" w:color="auto"/>
            </w:tcBorders>
            <w:shd w:val="clear" w:color="000000" w:fill="D9D9D9"/>
            <w:noWrap/>
            <w:vAlign w:val="center"/>
            <w:hideMark/>
          </w:tcPr>
          <w:p w14:paraId="211D97BB" w14:textId="77777777" w:rsidR="0088258D" w:rsidRPr="00B92499" w:rsidRDefault="0088258D" w:rsidP="0088258D">
            <w:pPr>
              <w:jc w:val="center"/>
              <w:rPr>
                <w:rFonts w:ascii="Arial" w:hAnsi="Arial" w:cs="Arial"/>
                <w:color w:val="000000"/>
                <w:sz w:val="16"/>
                <w:szCs w:val="16"/>
              </w:rPr>
            </w:pPr>
            <w:r w:rsidRPr="00B92499">
              <w:rPr>
                <w:rFonts w:ascii="Arial" w:hAnsi="Arial" w:cs="Arial"/>
                <w:color w:val="000000"/>
                <w:sz w:val="16"/>
                <w:szCs w:val="16"/>
              </w:rPr>
              <w:t>1.50</w:t>
            </w:r>
          </w:p>
        </w:tc>
        <w:tc>
          <w:tcPr>
            <w:tcW w:w="850" w:type="dxa"/>
            <w:tcBorders>
              <w:top w:val="nil"/>
              <w:left w:val="nil"/>
              <w:bottom w:val="single" w:sz="4" w:space="0" w:color="auto"/>
              <w:right w:val="single" w:sz="4" w:space="0" w:color="auto"/>
            </w:tcBorders>
            <w:shd w:val="clear" w:color="auto" w:fill="auto"/>
            <w:noWrap/>
            <w:vAlign w:val="center"/>
            <w:hideMark/>
          </w:tcPr>
          <w:p w14:paraId="07529C48" w14:textId="77777777" w:rsidR="0088258D" w:rsidRPr="00B92499" w:rsidRDefault="0088258D" w:rsidP="0088258D">
            <w:pPr>
              <w:jc w:val="center"/>
              <w:rPr>
                <w:rFonts w:ascii="Arial" w:hAnsi="Arial" w:cs="Arial"/>
                <w:color w:val="000000"/>
                <w:sz w:val="16"/>
                <w:szCs w:val="16"/>
              </w:rPr>
            </w:pPr>
            <w:r w:rsidRPr="00B92499">
              <w:rPr>
                <w:rFonts w:ascii="Arial" w:hAnsi="Arial" w:cs="Arial"/>
                <w:color w:val="000000"/>
                <w:sz w:val="16"/>
                <w:szCs w:val="16"/>
              </w:rPr>
              <w:t>72.66</w:t>
            </w:r>
          </w:p>
        </w:tc>
        <w:tc>
          <w:tcPr>
            <w:tcW w:w="850" w:type="dxa"/>
            <w:tcBorders>
              <w:top w:val="nil"/>
              <w:left w:val="nil"/>
              <w:bottom w:val="single" w:sz="4" w:space="0" w:color="auto"/>
              <w:right w:val="single" w:sz="4" w:space="0" w:color="auto"/>
            </w:tcBorders>
            <w:shd w:val="clear" w:color="000000" w:fill="BDD7EE"/>
            <w:noWrap/>
            <w:vAlign w:val="center"/>
            <w:hideMark/>
          </w:tcPr>
          <w:p w14:paraId="0742243E" w14:textId="77777777" w:rsidR="0088258D" w:rsidRPr="00B92499" w:rsidRDefault="0088258D" w:rsidP="0088258D">
            <w:pPr>
              <w:jc w:val="center"/>
              <w:rPr>
                <w:rFonts w:ascii="Arial" w:hAnsi="Arial" w:cs="Arial"/>
                <w:color w:val="000000"/>
                <w:sz w:val="16"/>
                <w:szCs w:val="16"/>
              </w:rPr>
            </w:pPr>
            <w:r w:rsidRPr="00B92499">
              <w:rPr>
                <w:rFonts w:ascii="Arial" w:hAnsi="Arial" w:cs="Arial"/>
                <w:color w:val="000000"/>
                <w:sz w:val="16"/>
                <w:szCs w:val="16"/>
              </w:rPr>
              <w:t>67.41</w:t>
            </w:r>
          </w:p>
        </w:tc>
        <w:tc>
          <w:tcPr>
            <w:tcW w:w="850" w:type="dxa"/>
            <w:tcBorders>
              <w:top w:val="nil"/>
              <w:left w:val="nil"/>
              <w:bottom w:val="single" w:sz="4" w:space="0" w:color="auto"/>
              <w:right w:val="single" w:sz="4" w:space="0" w:color="auto"/>
            </w:tcBorders>
            <w:shd w:val="clear" w:color="000000" w:fill="D9D9D9"/>
            <w:noWrap/>
            <w:vAlign w:val="center"/>
            <w:hideMark/>
          </w:tcPr>
          <w:p w14:paraId="0F7506D7" w14:textId="77777777" w:rsidR="0088258D" w:rsidRPr="00B92499" w:rsidRDefault="0088258D" w:rsidP="0088258D">
            <w:pPr>
              <w:jc w:val="center"/>
              <w:rPr>
                <w:rFonts w:ascii="Arial" w:hAnsi="Arial" w:cs="Arial"/>
                <w:color w:val="000000"/>
                <w:sz w:val="16"/>
                <w:szCs w:val="16"/>
              </w:rPr>
            </w:pPr>
            <w:r w:rsidRPr="00B92499">
              <w:rPr>
                <w:rFonts w:ascii="Arial" w:hAnsi="Arial" w:cs="Arial"/>
                <w:color w:val="000000"/>
                <w:sz w:val="16"/>
                <w:szCs w:val="16"/>
              </w:rPr>
              <w:t>1.50</w:t>
            </w:r>
          </w:p>
        </w:tc>
        <w:tc>
          <w:tcPr>
            <w:tcW w:w="850" w:type="dxa"/>
            <w:tcBorders>
              <w:top w:val="nil"/>
              <w:left w:val="nil"/>
              <w:bottom w:val="single" w:sz="4" w:space="0" w:color="auto"/>
              <w:right w:val="single" w:sz="4" w:space="0" w:color="auto"/>
            </w:tcBorders>
            <w:shd w:val="clear" w:color="auto" w:fill="auto"/>
            <w:noWrap/>
            <w:vAlign w:val="center"/>
            <w:hideMark/>
          </w:tcPr>
          <w:p w14:paraId="17940EF2" w14:textId="77777777" w:rsidR="0088258D" w:rsidRPr="00B92499" w:rsidRDefault="0088258D" w:rsidP="0088258D">
            <w:pPr>
              <w:jc w:val="center"/>
              <w:rPr>
                <w:rFonts w:ascii="Arial" w:hAnsi="Arial" w:cs="Arial"/>
                <w:color w:val="000000"/>
                <w:sz w:val="16"/>
                <w:szCs w:val="16"/>
              </w:rPr>
            </w:pPr>
            <w:r w:rsidRPr="00B92499">
              <w:rPr>
                <w:rFonts w:ascii="Arial" w:hAnsi="Arial" w:cs="Arial"/>
                <w:color w:val="000000"/>
                <w:sz w:val="16"/>
                <w:szCs w:val="16"/>
              </w:rPr>
              <w:t>68.91</w:t>
            </w:r>
          </w:p>
        </w:tc>
      </w:tr>
      <w:tr w:rsidR="0088258D" w:rsidRPr="00B92499" w14:paraId="3E54C98E" w14:textId="77777777" w:rsidTr="00027F6E">
        <w:trPr>
          <w:trHeight w:val="680"/>
        </w:trPr>
        <w:tc>
          <w:tcPr>
            <w:tcW w:w="421" w:type="dxa"/>
            <w:tcBorders>
              <w:top w:val="nil"/>
              <w:left w:val="single" w:sz="4" w:space="0" w:color="auto"/>
              <w:bottom w:val="single" w:sz="4" w:space="0" w:color="auto"/>
              <w:right w:val="single" w:sz="4" w:space="0" w:color="auto"/>
            </w:tcBorders>
            <w:shd w:val="clear" w:color="000000" w:fill="FFFFFF"/>
            <w:vAlign w:val="center"/>
            <w:hideMark/>
          </w:tcPr>
          <w:p w14:paraId="041BE764" w14:textId="77777777" w:rsidR="0088258D" w:rsidRPr="00B92499" w:rsidRDefault="0088258D" w:rsidP="0088258D">
            <w:pPr>
              <w:jc w:val="center"/>
              <w:rPr>
                <w:rFonts w:ascii="Arial" w:hAnsi="Arial" w:cs="Arial"/>
                <w:color w:val="000000"/>
                <w:sz w:val="16"/>
                <w:szCs w:val="16"/>
              </w:rPr>
            </w:pPr>
            <w:r w:rsidRPr="00B92499">
              <w:rPr>
                <w:rFonts w:ascii="Arial" w:hAnsi="Arial" w:cs="Arial"/>
                <w:color w:val="000000"/>
                <w:sz w:val="16"/>
                <w:szCs w:val="16"/>
              </w:rPr>
              <w:t>16</w:t>
            </w:r>
          </w:p>
        </w:tc>
        <w:tc>
          <w:tcPr>
            <w:tcW w:w="1304" w:type="dxa"/>
            <w:tcBorders>
              <w:top w:val="nil"/>
              <w:left w:val="nil"/>
              <w:bottom w:val="single" w:sz="4" w:space="0" w:color="auto"/>
              <w:right w:val="single" w:sz="4" w:space="0" w:color="auto"/>
            </w:tcBorders>
            <w:shd w:val="clear" w:color="000000" w:fill="FFFFFF"/>
            <w:vAlign w:val="center"/>
            <w:hideMark/>
          </w:tcPr>
          <w:p w14:paraId="3D88A6B8" w14:textId="77777777" w:rsidR="0088258D" w:rsidRPr="00B92499" w:rsidRDefault="0088258D" w:rsidP="0088258D">
            <w:pPr>
              <w:rPr>
                <w:rFonts w:ascii="Arial" w:hAnsi="Arial" w:cs="Arial"/>
                <w:color w:val="000000"/>
                <w:sz w:val="16"/>
                <w:szCs w:val="16"/>
              </w:rPr>
            </w:pPr>
            <w:r w:rsidRPr="00B92499">
              <w:rPr>
                <w:rFonts w:ascii="Arial" w:hAnsi="Arial" w:cs="Arial"/>
                <w:color w:val="000000"/>
                <w:sz w:val="16"/>
                <w:szCs w:val="16"/>
              </w:rPr>
              <w:t>Alcaldía Xochimilco</w:t>
            </w:r>
          </w:p>
        </w:tc>
        <w:tc>
          <w:tcPr>
            <w:tcW w:w="850" w:type="dxa"/>
            <w:tcBorders>
              <w:top w:val="nil"/>
              <w:left w:val="nil"/>
              <w:bottom w:val="single" w:sz="4" w:space="0" w:color="auto"/>
              <w:right w:val="single" w:sz="4" w:space="0" w:color="auto"/>
            </w:tcBorders>
            <w:shd w:val="clear" w:color="000000" w:fill="BDD7EE"/>
            <w:noWrap/>
            <w:vAlign w:val="center"/>
            <w:hideMark/>
          </w:tcPr>
          <w:p w14:paraId="3E70ADF2" w14:textId="77777777" w:rsidR="0088258D" w:rsidRPr="00B92499" w:rsidRDefault="0088258D" w:rsidP="0088258D">
            <w:pPr>
              <w:jc w:val="center"/>
              <w:rPr>
                <w:rFonts w:ascii="Arial" w:hAnsi="Arial" w:cs="Arial"/>
                <w:color w:val="000000"/>
                <w:sz w:val="16"/>
                <w:szCs w:val="16"/>
              </w:rPr>
            </w:pPr>
            <w:r w:rsidRPr="00B92499">
              <w:rPr>
                <w:rFonts w:ascii="Arial" w:hAnsi="Arial" w:cs="Arial"/>
                <w:color w:val="000000"/>
                <w:sz w:val="16"/>
                <w:szCs w:val="16"/>
              </w:rPr>
              <w:t>40.29</w:t>
            </w:r>
          </w:p>
        </w:tc>
        <w:tc>
          <w:tcPr>
            <w:tcW w:w="850" w:type="dxa"/>
            <w:tcBorders>
              <w:top w:val="nil"/>
              <w:left w:val="nil"/>
              <w:bottom w:val="single" w:sz="4" w:space="0" w:color="auto"/>
              <w:right w:val="single" w:sz="4" w:space="0" w:color="auto"/>
            </w:tcBorders>
            <w:shd w:val="clear" w:color="000000" w:fill="D9D9D9"/>
            <w:noWrap/>
            <w:vAlign w:val="center"/>
            <w:hideMark/>
          </w:tcPr>
          <w:p w14:paraId="03CDF33C" w14:textId="77777777" w:rsidR="0088258D" w:rsidRPr="00B92499" w:rsidRDefault="0088258D" w:rsidP="0088258D">
            <w:pPr>
              <w:jc w:val="center"/>
              <w:rPr>
                <w:rFonts w:ascii="Arial" w:hAnsi="Arial" w:cs="Arial"/>
                <w:color w:val="000000"/>
                <w:sz w:val="16"/>
                <w:szCs w:val="16"/>
              </w:rPr>
            </w:pPr>
            <w:r w:rsidRPr="00B92499">
              <w:rPr>
                <w:rFonts w:ascii="Arial" w:hAnsi="Arial" w:cs="Arial"/>
                <w:color w:val="000000"/>
                <w:sz w:val="16"/>
                <w:szCs w:val="16"/>
              </w:rPr>
              <w:t>-0.07</w:t>
            </w:r>
          </w:p>
        </w:tc>
        <w:tc>
          <w:tcPr>
            <w:tcW w:w="850" w:type="dxa"/>
            <w:tcBorders>
              <w:top w:val="nil"/>
              <w:left w:val="nil"/>
              <w:bottom w:val="single" w:sz="4" w:space="0" w:color="auto"/>
              <w:right w:val="single" w:sz="4" w:space="0" w:color="auto"/>
            </w:tcBorders>
            <w:shd w:val="clear" w:color="auto" w:fill="auto"/>
            <w:noWrap/>
            <w:vAlign w:val="center"/>
            <w:hideMark/>
          </w:tcPr>
          <w:p w14:paraId="0EF901DE" w14:textId="77777777" w:rsidR="0088258D" w:rsidRPr="00B92499" w:rsidRDefault="0088258D" w:rsidP="0088258D">
            <w:pPr>
              <w:jc w:val="center"/>
              <w:rPr>
                <w:rFonts w:ascii="Arial" w:hAnsi="Arial" w:cs="Arial"/>
                <w:color w:val="000000"/>
                <w:sz w:val="16"/>
                <w:szCs w:val="16"/>
              </w:rPr>
            </w:pPr>
            <w:r w:rsidRPr="00B92499">
              <w:rPr>
                <w:rFonts w:ascii="Arial" w:hAnsi="Arial" w:cs="Arial"/>
                <w:color w:val="000000"/>
                <w:sz w:val="16"/>
                <w:szCs w:val="16"/>
              </w:rPr>
              <w:t>40.23</w:t>
            </w:r>
          </w:p>
        </w:tc>
        <w:tc>
          <w:tcPr>
            <w:tcW w:w="850" w:type="dxa"/>
            <w:tcBorders>
              <w:top w:val="nil"/>
              <w:left w:val="nil"/>
              <w:bottom w:val="single" w:sz="4" w:space="0" w:color="auto"/>
              <w:right w:val="single" w:sz="4" w:space="0" w:color="auto"/>
            </w:tcBorders>
            <w:shd w:val="clear" w:color="000000" w:fill="BDD7EE"/>
            <w:noWrap/>
            <w:vAlign w:val="center"/>
            <w:hideMark/>
          </w:tcPr>
          <w:p w14:paraId="01C9568D" w14:textId="77777777" w:rsidR="0088258D" w:rsidRPr="00B92499" w:rsidRDefault="0088258D" w:rsidP="0088258D">
            <w:pPr>
              <w:jc w:val="center"/>
              <w:rPr>
                <w:rFonts w:ascii="Arial" w:hAnsi="Arial" w:cs="Arial"/>
                <w:color w:val="000000"/>
                <w:sz w:val="16"/>
                <w:szCs w:val="16"/>
              </w:rPr>
            </w:pPr>
            <w:r w:rsidRPr="00B92499">
              <w:rPr>
                <w:rFonts w:ascii="Arial" w:hAnsi="Arial" w:cs="Arial"/>
                <w:color w:val="000000"/>
                <w:sz w:val="16"/>
                <w:szCs w:val="16"/>
              </w:rPr>
              <w:t>77.62</w:t>
            </w:r>
          </w:p>
        </w:tc>
        <w:tc>
          <w:tcPr>
            <w:tcW w:w="850" w:type="dxa"/>
            <w:tcBorders>
              <w:top w:val="nil"/>
              <w:left w:val="nil"/>
              <w:bottom w:val="single" w:sz="4" w:space="0" w:color="auto"/>
              <w:right w:val="single" w:sz="4" w:space="0" w:color="auto"/>
            </w:tcBorders>
            <w:shd w:val="clear" w:color="000000" w:fill="D9D9D9"/>
            <w:noWrap/>
            <w:vAlign w:val="center"/>
            <w:hideMark/>
          </w:tcPr>
          <w:p w14:paraId="240A1BD7" w14:textId="77777777" w:rsidR="0088258D" w:rsidRPr="00B92499" w:rsidRDefault="0088258D" w:rsidP="0088258D">
            <w:pPr>
              <w:jc w:val="center"/>
              <w:rPr>
                <w:rFonts w:ascii="Arial" w:hAnsi="Arial" w:cs="Arial"/>
                <w:color w:val="000000"/>
                <w:sz w:val="16"/>
                <w:szCs w:val="16"/>
              </w:rPr>
            </w:pPr>
            <w:r w:rsidRPr="00B92499">
              <w:rPr>
                <w:rFonts w:ascii="Arial" w:hAnsi="Arial" w:cs="Arial"/>
                <w:color w:val="000000"/>
                <w:sz w:val="16"/>
                <w:szCs w:val="16"/>
              </w:rPr>
              <w:t>6.94</w:t>
            </w:r>
          </w:p>
        </w:tc>
        <w:tc>
          <w:tcPr>
            <w:tcW w:w="850" w:type="dxa"/>
            <w:tcBorders>
              <w:top w:val="nil"/>
              <w:left w:val="nil"/>
              <w:bottom w:val="single" w:sz="4" w:space="0" w:color="auto"/>
              <w:right w:val="single" w:sz="4" w:space="0" w:color="auto"/>
            </w:tcBorders>
            <w:shd w:val="clear" w:color="auto" w:fill="auto"/>
            <w:noWrap/>
            <w:vAlign w:val="center"/>
            <w:hideMark/>
          </w:tcPr>
          <w:p w14:paraId="32DADEED" w14:textId="77777777" w:rsidR="0088258D" w:rsidRPr="00B92499" w:rsidRDefault="0088258D" w:rsidP="0088258D">
            <w:pPr>
              <w:jc w:val="center"/>
              <w:rPr>
                <w:rFonts w:ascii="Arial" w:hAnsi="Arial" w:cs="Arial"/>
                <w:color w:val="000000"/>
                <w:sz w:val="16"/>
                <w:szCs w:val="16"/>
              </w:rPr>
            </w:pPr>
            <w:r w:rsidRPr="00B92499">
              <w:rPr>
                <w:rFonts w:ascii="Arial" w:hAnsi="Arial" w:cs="Arial"/>
                <w:color w:val="000000"/>
                <w:sz w:val="16"/>
                <w:szCs w:val="16"/>
              </w:rPr>
              <w:t>84.56</w:t>
            </w:r>
          </w:p>
        </w:tc>
        <w:tc>
          <w:tcPr>
            <w:tcW w:w="850" w:type="dxa"/>
            <w:tcBorders>
              <w:top w:val="nil"/>
              <w:left w:val="nil"/>
              <w:bottom w:val="single" w:sz="4" w:space="0" w:color="auto"/>
              <w:right w:val="single" w:sz="4" w:space="0" w:color="auto"/>
            </w:tcBorders>
            <w:shd w:val="clear" w:color="000000" w:fill="BDD7EE"/>
            <w:noWrap/>
            <w:vAlign w:val="center"/>
            <w:hideMark/>
          </w:tcPr>
          <w:p w14:paraId="11A6F015" w14:textId="77777777" w:rsidR="0088258D" w:rsidRPr="00B92499" w:rsidRDefault="0088258D" w:rsidP="0088258D">
            <w:pPr>
              <w:jc w:val="center"/>
              <w:rPr>
                <w:rFonts w:ascii="Arial" w:hAnsi="Arial" w:cs="Arial"/>
                <w:color w:val="000000"/>
                <w:sz w:val="16"/>
                <w:szCs w:val="16"/>
              </w:rPr>
            </w:pPr>
            <w:r w:rsidRPr="00B92499">
              <w:rPr>
                <w:rFonts w:ascii="Arial" w:hAnsi="Arial" w:cs="Arial"/>
                <w:color w:val="000000"/>
                <w:sz w:val="16"/>
                <w:szCs w:val="16"/>
              </w:rPr>
              <w:t>58.96</w:t>
            </w:r>
          </w:p>
        </w:tc>
        <w:tc>
          <w:tcPr>
            <w:tcW w:w="850" w:type="dxa"/>
            <w:tcBorders>
              <w:top w:val="nil"/>
              <w:left w:val="nil"/>
              <w:bottom w:val="single" w:sz="4" w:space="0" w:color="auto"/>
              <w:right w:val="single" w:sz="4" w:space="0" w:color="auto"/>
            </w:tcBorders>
            <w:shd w:val="clear" w:color="000000" w:fill="D9D9D9"/>
            <w:noWrap/>
            <w:vAlign w:val="center"/>
            <w:hideMark/>
          </w:tcPr>
          <w:p w14:paraId="4C552221" w14:textId="77777777" w:rsidR="0088258D" w:rsidRPr="00B92499" w:rsidRDefault="0088258D" w:rsidP="0088258D">
            <w:pPr>
              <w:jc w:val="center"/>
              <w:rPr>
                <w:rFonts w:ascii="Arial" w:hAnsi="Arial" w:cs="Arial"/>
                <w:color w:val="000000"/>
                <w:sz w:val="16"/>
                <w:szCs w:val="16"/>
              </w:rPr>
            </w:pPr>
            <w:r w:rsidRPr="00B92499">
              <w:rPr>
                <w:rFonts w:ascii="Arial" w:hAnsi="Arial" w:cs="Arial"/>
                <w:color w:val="000000"/>
                <w:sz w:val="16"/>
                <w:szCs w:val="16"/>
              </w:rPr>
              <w:t>3.44</w:t>
            </w:r>
          </w:p>
        </w:tc>
        <w:tc>
          <w:tcPr>
            <w:tcW w:w="850" w:type="dxa"/>
            <w:tcBorders>
              <w:top w:val="nil"/>
              <w:left w:val="nil"/>
              <w:bottom w:val="single" w:sz="4" w:space="0" w:color="auto"/>
              <w:right w:val="single" w:sz="4" w:space="0" w:color="auto"/>
            </w:tcBorders>
            <w:shd w:val="clear" w:color="auto" w:fill="auto"/>
            <w:noWrap/>
            <w:vAlign w:val="center"/>
            <w:hideMark/>
          </w:tcPr>
          <w:p w14:paraId="790B3748" w14:textId="77777777" w:rsidR="0088258D" w:rsidRPr="00B92499" w:rsidRDefault="0088258D" w:rsidP="0088258D">
            <w:pPr>
              <w:jc w:val="center"/>
              <w:rPr>
                <w:rFonts w:ascii="Arial" w:hAnsi="Arial" w:cs="Arial"/>
                <w:color w:val="000000"/>
                <w:sz w:val="16"/>
                <w:szCs w:val="16"/>
              </w:rPr>
            </w:pPr>
            <w:r w:rsidRPr="00B92499">
              <w:rPr>
                <w:rFonts w:ascii="Arial" w:hAnsi="Arial" w:cs="Arial"/>
                <w:color w:val="000000"/>
                <w:sz w:val="16"/>
                <w:szCs w:val="16"/>
              </w:rPr>
              <w:t>62.39</w:t>
            </w:r>
          </w:p>
        </w:tc>
      </w:tr>
    </w:tbl>
    <w:p w14:paraId="67CE22CC" w14:textId="77777777" w:rsidR="00735992" w:rsidRPr="00B92499" w:rsidRDefault="00735992" w:rsidP="00735992">
      <w:pPr>
        <w:spacing w:before="100" w:beforeAutospacing="1" w:after="100" w:afterAutospacing="1" w:line="360" w:lineRule="auto"/>
        <w:contextualSpacing/>
        <w:jc w:val="both"/>
        <w:rPr>
          <w:rFonts w:ascii="Arial" w:hAnsi="Arial" w:cs="Arial"/>
          <w:sz w:val="16"/>
          <w:szCs w:val="16"/>
        </w:rPr>
      </w:pPr>
      <w:r w:rsidRPr="00B92499">
        <w:rPr>
          <w:rFonts w:ascii="Arial" w:hAnsi="Arial" w:cs="Arial"/>
          <w:b/>
          <w:sz w:val="16"/>
          <w:szCs w:val="16"/>
        </w:rPr>
        <w:t>Nota metodológica</w:t>
      </w:r>
      <w:r w:rsidRPr="00B92499">
        <w:rPr>
          <w:rFonts w:ascii="Arial" w:hAnsi="Arial" w:cs="Arial"/>
          <w:sz w:val="16"/>
          <w:szCs w:val="16"/>
        </w:rPr>
        <w:t xml:space="preserve">: </w:t>
      </w:r>
    </w:p>
    <w:p w14:paraId="6A19DFF3" w14:textId="77777777" w:rsidR="00735992" w:rsidRPr="00B92499" w:rsidRDefault="00735992" w:rsidP="00735992">
      <w:pPr>
        <w:spacing w:before="100" w:beforeAutospacing="1" w:after="100" w:afterAutospacing="1" w:line="360" w:lineRule="auto"/>
        <w:contextualSpacing/>
        <w:jc w:val="both"/>
        <w:rPr>
          <w:rFonts w:ascii="Arial" w:hAnsi="Arial" w:cs="Arial"/>
          <w:sz w:val="16"/>
          <w:szCs w:val="16"/>
        </w:rPr>
      </w:pPr>
      <w:r w:rsidRPr="00B92499">
        <w:rPr>
          <w:rFonts w:ascii="Arial" w:hAnsi="Arial" w:cs="Arial"/>
          <w:sz w:val="16"/>
          <w:szCs w:val="16"/>
        </w:rPr>
        <w:t>El IGOT se compone del promedio de ICOT-PT e ICOT-PNT.</w:t>
      </w:r>
    </w:p>
    <w:p w14:paraId="7DB15713" w14:textId="090D2922" w:rsidR="00735992" w:rsidRPr="00B92499" w:rsidRDefault="00735992" w:rsidP="00735992">
      <w:pPr>
        <w:spacing w:before="100" w:beforeAutospacing="1" w:after="100" w:afterAutospacing="1" w:line="360" w:lineRule="auto"/>
        <w:contextualSpacing/>
        <w:jc w:val="both"/>
        <w:rPr>
          <w:rFonts w:ascii="Arial" w:hAnsi="Arial" w:cs="Arial"/>
          <w:color w:val="000000"/>
          <w:sz w:val="16"/>
          <w:szCs w:val="16"/>
        </w:rPr>
      </w:pPr>
      <w:r w:rsidRPr="00B92499">
        <w:rPr>
          <w:rFonts w:ascii="Arial" w:hAnsi="Arial" w:cs="Arial"/>
          <w:b/>
          <w:bCs/>
          <w:color w:val="000000"/>
          <w:sz w:val="16"/>
          <w:szCs w:val="16"/>
        </w:rPr>
        <w:t>%Inf PT:</w:t>
      </w:r>
      <w:r w:rsidRPr="00B92499">
        <w:rPr>
          <w:rFonts w:ascii="Arial" w:hAnsi="Arial" w:cs="Arial"/>
          <w:color w:val="000000"/>
          <w:sz w:val="16"/>
          <w:szCs w:val="16"/>
        </w:rPr>
        <w:t xml:space="preserve"> corresponde al porcentaje del índice que hace referencia a la información que se encuentra publicada y actualizada en el Portal de Internet (PI) del </w:t>
      </w:r>
      <w:r w:rsidR="008710F6" w:rsidRPr="00B92499">
        <w:rPr>
          <w:rFonts w:ascii="Arial" w:hAnsi="Arial" w:cs="Arial"/>
          <w:color w:val="000000"/>
          <w:sz w:val="16"/>
          <w:szCs w:val="16"/>
        </w:rPr>
        <w:t>sujeto obligado</w:t>
      </w:r>
      <w:r w:rsidRPr="00B92499">
        <w:rPr>
          <w:rFonts w:ascii="Arial" w:hAnsi="Arial" w:cs="Arial"/>
          <w:color w:val="000000"/>
          <w:sz w:val="16"/>
          <w:szCs w:val="16"/>
        </w:rPr>
        <w:t xml:space="preserve">. </w:t>
      </w:r>
    </w:p>
    <w:p w14:paraId="17666007" w14:textId="7E4B6797" w:rsidR="00735992" w:rsidRPr="00B92499" w:rsidRDefault="00735992" w:rsidP="00735992">
      <w:pPr>
        <w:spacing w:before="100" w:beforeAutospacing="1" w:after="100" w:afterAutospacing="1" w:line="360" w:lineRule="auto"/>
        <w:contextualSpacing/>
        <w:jc w:val="both"/>
        <w:rPr>
          <w:rFonts w:ascii="Arial" w:hAnsi="Arial" w:cs="Arial"/>
          <w:color w:val="000000"/>
          <w:sz w:val="16"/>
          <w:szCs w:val="16"/>
        </w:rPr>
      </w:pPr>
      <w:r w:rsidRPr="00B92499">
        <w:rPr>
          <w:rFonts w:ascii="Arial" w:hAnsi="Arial" w:cs="Arial"/>
          <w:b/>
          <w:bCs/>
          <w:color w:val="000000"/>
          <w:sz w:val="16"/>
          <w:szCs w:val="16"/>
        </w:rPr>
        <w:t>%Inf PNT:</w:t>
      </w:r>
      <w:r w:rsidRPr="00B92499">
        <w:rPr>
          <w:rFonts w:ascii="Arial" w:hAnsi="Arial" w:cs="Arial"/>
          <w:color w:val="000000"/>
          <w:sz w:val="16"/>
          <w:szCs w:val="16"/>
        </w:rPr>
        <w:t xml:space="preserve"> corresponde al porcentaje del índice que hace referencia a la información que se encuentra publicada y actualizada en la Plataforma Nacional de Transparencia (PNT) del </w:t>
      </w:r>
      <w:r w:rsidR="008710F6" w:rsidRPr="00B92499">
        <w:rPr>
          <w:rFonts w:ascii="Arial" w:hAnsi="Arial" w:cs="Arial"/>
          <w:color w:val="000000"/>
          <w:sz w:val="16"/>
          <w:szCs w:val="16"/>
        </w:rPr>
        <w:t>sujeto obligado</w:t>
      </w:r>
      <w:r w:rsidRPr="00B92499">
        <w:rPr>
          <w:rFonts w:ascii="Arial" w:hAnsi="Arial" w:cs="Arial"/>
          <w:color w:val="000000"/>
          <w:sz w:val="16"/>
          <w:szCs w:val="16"/>
        </w:rPr>
        <w:t>.</w:t>
      </w:r>
    </w:p>
    <w:p w14:paraId="4D7EA437" w14:textId="6CA71E78" w:rsidR="00735992" w:rsidRPr="00B92499" w:rsidRDefault="00735992" w:rsidP="00735992">
      <w:pPr>
        <w:spacing w:before="100" w:beforeAutospacing="1" w:after="100" w:afterAutospacing="1" w:line="360" w:lineRule="auto"/>
        <w:contextualSpacing/>
        <w:jc w:val="both"/>
        <w:rPr>
          <w:rFonts w:ascii="Arial" w:hAnsi="Arial" w:cs="Arial"/>
          <w:color w:val="000000"/>
          <w:sz w:val="16"/>
          <w:szCs w:val="16"/>
        </w:rPr>
      </w:pPr>
      <w:r w:rsidRPr="00B92499">
        <w:rPr>
          <w:rFonts w:ascii="Arial" w:hAnsi="Arial" w:cs="Arial"/>
          <w:b/>
          <w:bCs/>
          <w:color w:val="000000"/>
          <w:sz w:val="16"/>
          <w:szCs w:val="16"/>
        </w:rPr>
        <w:t xml:space="preserve">%Inf IGOT: </w:t>
      </w:r>
      <w:r w:rsidRPr="00B92499">
        <w:rPr>
          <w:rFonts w:ascii="Arial" w:hAnsi="Arial" w:cs="Arial"/>
          <w:color w:val="000000"/>
          <w:sz w:val="16"/>
          <w:szCs w:val="16"/>
        </w:rPr>
        <w:t xml:space="preserve">corresponde al porcentaje del índice que hace referencia a la información que se encuentra publicada y actualizada tanto en la PNT y el PI del </w:t>
      </w:r>
      <w:r w:rsidR="008710F6" w:rsidRPr="00B92499">
        <w:rPr>
          <w:rFonts w:ascii="Arial" w:hAnsi="Arial" w:cs="Arial"/>
          <w:color w:val="000000"/>
          <w:sz w:val="16"/>
          <w:szCs w:val="16"/>
        </w:rPr>
        <w:t>sujeto obligado</w:t>
      </w:r>
      <w:r w:rsidRPr="00B92499">
        <w:rPr>
          <w:rFonts w:ascii="Arial" w:hAnsi="Arial" w:cs="Arial"/>
          <w:color w:val="000000"/>
          <w:sz w:val="16"/>
          <w:szCs w:val="16"/>
        </w:rPr>
        <w:t>.</w:t>
      </w:r>
    </w:p>
    <w:p w14:paraId="0E6EAA40" w14:textId="1EF758DC" w:rsidR="00735992" w:rsidRPr="00B92499" w:rsidRDefault="00735992" w:rsidP="00735992">
      <w:pPr>
        <w:spacing w:before="100" w:beforeAutospacing="1" w:after="100" w:afterAutospacing="1" w:line="360" w:lineRule="auto"/>
        <w:contextualSpacing/>
        <w:jc w:val="both"/>
        <w:rPr>
          <w:rFonts w:ascii="Arial" w:hAnsi="Arial" w:cs="Arial"/>
          <w:color w:val="000000"/>
          <w:sz w:val="16"/>
          <w:szCs w:val="16"/>
        </w:rPr>
      </w:pPr>
      <w:r w:rsidRPr="00B92499">
        <w:rPr>
          <w:rFonts w:ascii="Arial" w:hAnsi="Arial" w:cs="Arial"/>
          <w:b/>
          <w:bCs/>
          <w:color w:val="000000"/>
          <w:sz w:val="16"/>
          <w:szCs w:val="16"/>
        </w:rPr>
        <w:t>%Nota PT:</w:t>
      </w:r>
      <w:r w:rsidRPr="00B92499">
        <w:rPr>
          <w:rFonts w:ascii="Arial" w:hAnsi="Arial" w:cs="Arial"/>
          <w:color w:val="000000"/>
          <w:sz w:val="16"/>
          <w:szCs w:val="16"/>
        </w:rPr>
        <w:t xml:space="preserve"> corresponde al porcentaje del índice que hace referencia a las notas aclaratorias por no generación, competencia, publicación o actualización de la información que se encuentra publicada y actualizada en el Portal de Internet (PI) del </w:t>
      </w:r>
      <w:r w:rsidR="008710F6" w:rsidRPr="00B92499">
        <w:rPr>
          <w:rFonts w:ascii="Arial" w:hAnsi="Arial" w:cs="Arial"/>
          <w:color w:val="000000"/>
          <w:sz w:val="16"/>
          <w:szCs w:val="16"/>
        </w:rPr>
        <w:t>sujeto obligado</w:t>
      </w:r>
      <w:r w:rsidRPr="00B92499">
        <w:rPr>
          <w:rFonts w:ascii="Arial" w:hAnsi="Arial" w:cs="Arial"/>
          <w:color w:val="000000"/>
          <w:sz w:val="16"/>
          <w:szCs w:val="16"/>
        </w:rPr>
        <w:t>.</w:t>
      </w:r>
    </w:p>
    <w:p w14:paraId="46860BAD" w14:textId="578BE2DA" w:rsidR="00735992" w:rsidRPr="00B92499" w:rsidRDefault="00735992" w:rsidP="00735992">
      <w:pPr>
        <w:spacing w:before="100" w:beforeAutospacing="1" w:after="100" w:afterAutospacing="1" w:line="360" w:lineRule="auto"/>
        <w:contextualSpacing/>
        <w:jc w:val="both"/>
        <w:rPr>
          <w:rFonts w:ascii="Arial" w:hAnsi="Arial" w:cs="Arial"/>
          <w:color w:val="000000"/>
          <w:sz w:val="16"/>
          <w:szCs w:val="16"/>
        </w:rPr>
      </w:pPr>
      <w:r w:rsidRPr="00B92499">
        <w:rPr>
          <w:rFonts w:ascii="Arial" w:hAnsi="Arial" w:cs="Arial"/>
          <w:b/>
          <w:bCs/>
          <w:color w:val="000000"/>
          <w:sz w:val="16"/>
          <w:szCs w:val="16"/>
        </w:rPr>
        <w:t>%Nota PNT:</w:t>
      </w:r>
      <w:r w:rsidRPr="00B92499">
        <w:rPr>
          <w:rFonts w:ascii="Arial" w:hAnsi="Arial" w:cs="Arial"/>
          <w:color w:val="000000"/>
          <w:sz w:val="16"/>
          <w:szCs w:val="16"/>
        </w:rPr>
        <w:t xml:space="preserve"> corresponde al porcentaje del índice que hace referencia a las notas aclaratorias por no generación, competencia, publicación o actualización de la información que se encuentra publicada y actualizada en la Plataforma Nacional de Transparencia (PNT) del </w:t>
      </w:r>
      <w:r w:rsidR="008710F6" w:rsidRPr="00B92499">
        <w:rPr>
          <w:rFonts w:ascii="Arial" w:hAnsi="Arial" w:cs="Arial"/>
          <w:color w:val="000000"/>
          <w:sz w:val="16"/>
          <w:szCs w:val="16"/>
        </w:rPr>
        <w:t>sujeto obligado</w:t>
      </w:r>
      <w:r w:rsidRPr="00B92499">
        <w:rPr>
          <w:rFonts w:ascii="Arial" w:hAnsi="Arial" w:cs="Arial"/>
          <w:color w:val="000000"/>
          <w:sz w:val="16"/>
          <w:szCs w:val="16"/>
        </w:rPr>
        <w:t>.</w:t>
      </w:r>
    </w:p>
    <w:p w14:paraId="1F7ACF0E" w14:textId="60AA23E9" w:rsidR="00735992" w:rsidRPr="00B92499" w:rsidRDefault="00735992" w:rsidP="00735992">
      <w:pPr>
        <w:spacing w:before="100" w:beforeAutospacing="1" w:after="100" w:afterAutospacing="1" w:line="360" w:lineRule="auto"/>
        <w:contextualSpacing/>
        <w:jc w:val="both"/>
        <w:rPr>
          <w:rFonts w:ascii="Arial" w:hAnsi="Arial" w:cs="Arial"/>
          <w:color w:val="000000"/>
          <w:sz w:val="16"/>
          <w:szCs w:val="16"/>
        </w:rPr>
      </w:pPr>
      <w:r w:rsidRPr="00B92499">
        <w:rPr>
          <w:rFonts w:ascii="Arial" w:hAnsi="Arial" w:cs="Arial"/>
          <w:b/>
          <w:bCs/>
          <w:color w:val="000000"/>
          <w:sz w:val="16"/>
          <w:szCs w:val="16"/>
        </w:rPr>
        <w:t>%Nota IGOT:</w:t>
      </w:r>
      <w:r w:rsidRPr="00B92499">
        <w:rPr>
          <w:rFonts w:ascii="Arial" w:hAnsi="Arial" w:cs="Arial"/>
          <w:color w:val="000000"/>
          <w:sz w:val="16"/>
          <w:szCs w:val="16"/>
        </w:rPr>
        <w:t xml:space="preserve"> corresponde al porcentaje del índice que hace referencia a las notas aclaratorias por no generación, competencia, publicación o actualización de la información que se encuentra publicada y actualizada en la PNT y el PI del </w:t>
      </w:r>
      <w:r w:rsidR="008710F6" w:rsidRPr="00B92499">
        <w:rPr>
          <w:rFonts w:ascii="Arial" w:hAnsi="Arial" w:cs="Arial"/>
          <w:color w:val="000000"/>
          <w:sz w:val="16"/>
          <w:szCs w:val="16"/>
        </w:rPr>
        <w:t>sujeto obligado</w:t>
      </w:r>
      <w:r w:rsidRPr="00B92499">
        <w:rPr>
          <w:rFonts w:ascii="Arial" w:hAnsi="Arial" w:cs="Arial"/>
          <w:color w:val="000000"/>
          <w:sz w:val="16"/>
          <w:szCs w:val="16"/>
        </w:rPr>
        <w:t>.</w:t>
      </w:r>
    </w:p>
    <w:p w14:paraId="5F16F304" w14:textId="77777777" w:rsidR="00535A9F" w:rsidRPr="00B92499" w:rsidRDefault="00535A9F" w:rsidP="002E7D47">
      <w:pPr>
        <w:spacing w:before="100" w:beforeAutospacing="1" w:after="100" w:afterAutospacing="1" w:line="360" w:lineRule="auto"/>
        <w:contextualSpacing/>
        <w:jc w:val="both"/>
        <w:rPr>
          <w:rFonts w:ascii="Arial" w:hAnsi="Arial" w:cs="Arial"/>
          <w:color w:val="000000"/>
          <w:sz w:val="16"/>
          <w:szCs w:val="16"/>
        </w:rPr>
      </w:pPr>
    </w:p>
    <w:p w14:paraId="0E75D665" w14:textId="289CDB44" w:rsidR="00940CBA" w:rsidRPr="00B92499" w:rsidRDefault="00940CBA" w:rsidP="002E7D47">
      <w:pPr>
        <w:spacing w:before="100" w:beforeAutospacing="1" w:after="100" w:afterAutospacing="1" w:line="360" w:lineRule="auto"/>
        <w:contextualSpacing/>
        <w:jc w:val="both"/>
        <w:rPr>
          <w:rFonts w:ascii="Arial" w:hAnsi="Arial" w:cs="Arial"/>
        </w:rPr>
      </w:pPr>
      <w:r w:rsidRPr="00B92499">
        <w:rPr>
          <w:rFonts w:ascii="Arial" w:hAnsi="Arial" w:cs="Arial"/>
        </w:rPr>
        <w:t xml:space="preserve">En atención a la Tabla de Aplicabilidad realizada por la DEAEE del Instituto, las obligaciones que los </w:t>
      </w:r>
      <w:r w:rsidR="008710F6" w:rsidRPr="00B92499">
        <w:rPr>
          <w:rFonts w:ascii="Arial" w:hAnsi="Arial" w:cs="Arial"/>
        </w:rPr>
        <w:t>sujeto</w:t>
      </w:r>
      <w:r w:rsidR="00EB5F64" w:rsidRPr="00B92499">
        <w:rPr>
          <w:rFonts w:ascii="Arial" w:hAnsi="Arial" w:cs="Arial"/>
        </w:rPr>
        <w:t xml:space="preserve">s </w:t>
      </w:r>
      <w:r w:rsidR="008710F6" w:rsidRPr="00B92499">
        <w:rPr>
          <w:rFonts w:ascii="Arial" w:hAnsi="Arial" w:cs="Arial"/>
        </w:rPr>
        <w:t>obligado</w:t>
      </w:r>
      <w:r w:rsidR="00EB5F64" w:rsidRPr="00B92499">
        <w:rPr>
          <w:rFonts w:ascii="Arial" w:hAnsi="Arial" w:cs="Arial"/>
        </w:rPr>
        <w:t>s</w:t>
      </w:r>
      <w:r w:rsidRPr="00B92499">
        <w:rPr>
          <w:rFonts w:ascii="Arial" w:hAnsi="Arial" w:cs="Arial"/>
        </w:rPr>
        <w:t xml:space="preserve"> de la Administración Pública Central deben </w:t>
      </w:r>
      <w:r w:rsidRPr="00B92499">
        <w:rPr>
          <w:rFonts w:ascii="Arial" w:hAnsi="Arial" w:cs="Arial"/>
        </w:rPr>
        <w:lastRenderedPageBreak/>
        <w:t xml:space="preserve">actualizar y publicar en el SIPOT de la PNT, así como en sus respectivos portales de internet son las contempladas en los siguientes </w:t>
      </w:r>
      <w:r w:rsidR="008F67E4" w:rsidRPr="00B92499">
        <w:rPr>
          <w:rFonts w:ascii="Arial" w:hAnsi="Arial" w:cs="Arial"/>
        </w:rPr>
        <w:t>artículo</w:t>
      </w:r>
      <w:r w:rsidRPr="00B92499">
        <w:rPr>
          <w:rFonts w:ascii="Arial" w:hAnsi="Arial" w:cs="Arial"/>
        </w:rPr>
        <w:t xml:space="preserve">s: </w:t>
      </w:r>
    </w:p>
    <w:p w14:paraId="59AE906B" w14:textId="7CB25015" w:rsidR="00940CBA" w:rsidRPr="00B92499" w:rsidRDefault="009D7771" w:rsidP="009F64B5">
      <w:pPr>
        <w:pStyle w:val="Prrafodelista"/>
        <w:numPr>
          <w:ilvl w:val="0"/>
          <w:numId w:val="10"/>
        </w:numPr>
        <w:spacing w:before="100" w:beforeAutospacing="1" w:after="100" w:afterAutospacing="1" w:line="360" w:lineRule="auto"/>
        <w:jc w:val="both"/>
        <w:rPr>
          <w:rFonts w:ascii="Arial" w:hAnsi="Arial" w:cs="Arial"/>
          <w:sz w:val="24"/>
          <w:szCs w:val="24"/>
          <w:lang w:val="es-ES_tradnl"/>
        </w:rPr>
      </w:pPr>
      <w:r w:rsidRPr="00B92499">
        <w:rPr>
          <w:rFonts w:ascii="Arial" w:hAnsi="Arial" w:cs="Arial"/>
          <w:sz w:val="24"/>
          <w:szCs w:val="24"/>
          <w:lang w:val="es-ES_tradnl"/>
        </w:rPr>
        <w:t>Artículo</w:t>
      </w:r>
      <w:r w:rsidR="00940CBA" w:rsidRPr="00B92499">
        <w:rPr>
          <w:rFonts w:ascii="Arial" w:hAnsi="Arial" w:cs="Arial"/>
          <w:sz w:val="24"/>
          <w:szCs w:val="24"/>
          <w:lang w:val="es-ES_tradnl"/>
        </w:rPr>
        <w:t xml:space="preserve"> 121. Obligaciones comunes</w:t>
      </w:r>
      <w:r w:rsidR="00735992" w:rsidRPr="00B92499">
        <w:rPr>
          <w:rFonts w:ascii="Arial" w:hAnsi="Arial" w:cs="Arial"/>
          <w:sz w:val="24"/>
          <w:szCs w:val="24"/>
          <w:lang w:val="es-ES_tradnl"/>
        </w:rPr>
        <w:t>,</w:t>
      </w:r>
    </w:p>
    <w:p w14:paraId="18E74DC3" w14:textId="5FB739E0" w:rsidR="00940CBA" w:rsidRPr="00B92499" w:rsidRDefault="009D7771" w:rsidP="009F64B5">
      <w:pPr>
        <w:pStyle w:val="Prrafodelista"/>
        <w:numPr>
          <w:ilvl w:val="0"/>
          <w:numId w:val="10"/>
        </w:numPr>
        <w:spacing w:before="100" w:beforeAutospacing="1" w:after="100" w:afterAutospacing="1" w:line="360" w:lineRule="auto"/>
        <w:jc w:val="both"/>
        <w:rPr>
          <w:rFonts w:ascii="Arial" w:hAnsi="Arial" w:cs="Arial"/>
          <w:sz w:val="24"/>
          <w:szCs w:val="24"/>
          <w:lang w:val="es-ES_tradnl"/>
        </w:rPr>
      </w:pPr>
      <w:r w:rsidRPr="00B92499">
        <w:rPr>
          <w:rFonts w:ascii="Arial" w:hAnsi="Arial" w:cs="Arial"/>
          <w:sz w:val="24"/>
          <w:szCs w:val="24"/>
          <w:lang w:val="es-ES_tradnl"/>
        </w:rPr>
        <w:t>Artículo</w:t>
      </w:r>
      <w:r w:rsidR="00BC3D51" w:rsidRPr="00B92499">
        <w:rPr>
          <w:rFonts w:ascii="Arial" w:hAnsi="Arial" w:cs="Arial"/>
          <w:sz w:val="24"/>
          <w:szCs w:val="24"/>
          <w:lang w:val="es-ES_tradnl"/>
        </w:rPr>
        <w:t xml:space="preserve"> 122. </w:t>
      </w:r>
      <w:r w:rsidR="00940CBA" w:rsidRPr="00B92499">
        <w:rPr>
          <w:rFonts w:ascii="Arial" w:hAnsi="Arial" w:cs="Arial"/>
          <w:sz w:val="24"/>
          <w:szCs w:val="24"/>
          <w:lang w:val="es-ES_tradnl"/>
        </w:rPr>
        <w:t>Obligaciones comunes que únicamente son aplicables a la Secretaría de Desarrollo Social, Secretaría de Medio Ambiente, Secretaría de Educación, Secretaría de Desarrollo Rural y Equidad para las Comunidades, Secretaría de Ciencia, Tecnología e Innovación y Secretaría de Trabajo y Fomento al Empleo</w:t>
      </w:r>
      <w:r w:rsidR="00735992" w:rsidRPr="00B92499">
        <w:rPr>
          <w:rFonts w:ascii="Arial" w:hAnsi="Arial" w:cs="Arial"/>
          <w:sz w:val="24"/>
          <w:szCs w:val="24"/>
          <w:lang w:val="es-ES_tradnl"/>
        </w:rPr>
        <w:t>,</w:t>
      </w:r>
    </w:p>
    <w:p w14:paraId="7C9EF319" w14:textId="13343725" w:rsidR="00940CBA" w:rsidRPr="00B92499" w:rsidRDefault="009D7771" w:rsidP="009F64B5">
      <w:pPr>
        <w:pStyle w:val="Prrafodelista"/>
        <w:numPr>
          <w:ilvl w:val="0"/>
          <w:numId w:val="10"/>
        </w:numPr>
        <w:spacing w:before="100" w:beforeAutospacing="1" w:after="100" w:afterAutospacing="1" w:line="360" w:lineRule="auto"/>
        <w:jc w:val="both"/>
        <w:rPr>
          <w:rFonts w:ascii="Arial" w:hAnsi="Arial" w:cs="Arial"/>
          <w:sz w:val="24"/>
          <w:szCs w:val="24"/>
          <w:lang w:val="es-ES_tradnl"/>
        </w:rPr>
      </w:pPr>
      <w:r w:rsidRPr="00B92499">
        <w:rPr>
          <w:rFonts w:ascii="Arial" w:hAnsi="Arial" w:cs="Arial"/>
          <w:sz w:val="24"/>
          <w:szCs w:val="24"/>
          <w:lang w:val="es-ES_tradnl"/>
        </w:rPr>
        <w:t>Artículo</w:t>
      </w:r>
      <w:r w:rsidR="00940CBA" w:rsidRPr="00B92499">
        <w:rPr>
          <w:rFonts w:ascii="Arial" w:hAnsi="Arial" w:cs="Arial"/>
          <w:sz w:val="24"/>
          <w:szCs w:val="24"/>
          <w:lang w:val="es-ES_tradnl"/>
        </w:rPr>
        <w:t xml:space="preserve"> 124. Obligaciones específicas de los Órganos Políticos Administrativos, Alcaldías o Demarcaciones Territoriales</w:t>
      </w:r>
      <w:r w:rsidR="00735992" w:rsidRPr="00B92499">
        <w:rPr>
          <w:rFonts w:ascii="Arial" w:hAnsi="Arial" w:cs="Arial"/>
          <w:sz w:val="24"/>
          <w:szCs w:val="24"/>
          <w:lang w:val="es-ES_tradnl"/>
        </w:rPr>
        <w:t>,</w:t>
      </w:r>
    </w:p>
    <w:p w14:paraId="78E10E4C" w14:textId="55344814" w:rsidR="00940CBA" w:rsidRPr="00B92499" w:rsidRDefault="009D7771" w:rsidP="009F64B5">
      <w:pPr>
        <w:pStyle w:val="Prrafodelista"/>
        <w:numPr>
          <w:ilvl w:val="0"/>
          <w:numId w:val="10"/>
        </w:numPr>
        <w:spacing w:before="100" w:beforeAutospacing="1" w:after="100" w:afterAutospacing="1" w:line="360" w:lineRule="auto"/>
        <w:jc w:val="both"/>
        <w:rPr>
          <w:rFonts w:ascii="Arial" w:hAnsi="Arial" w:cs="Arial"/>
          <w:sz w:val="24"/>
          <w:szCs w:val="24"/>
          <w:lang w:val="es-ES_tradnl"/>
        </w:rPr>
      </w:pPr>
      <w:r w:rsidRPr="00B92499">
        <w:rPr>
          <w:rFonts w:ascii="Arial" w:hAnsi="Arial" w:cs="Arial"/>
          <w:sz w:val="24"/>
          <w:szCs w:val="24"/>
          <w:lang w:val="es-ES_tradnl"/>
        </w:rPr>
        <w:t>Artículo</w:t>
      </w:r>
      <w:r w:rsidR="00940CBA" w:rsidRPr="00B92499">
        <w:rPr>
          <w:rFonts w:ascii="Arial" w:hAnsi="Arial" w:cs="Arial"/>
          <w:sz w:val="24"/>
          <w:szCs w:val="24"/>
          <w:lang w:val="es-ES_tradnl"/>
        </w:rPr>
        <w:t xml:space="preserve"> 143. Disposiciones Particulares</w:t>
      </w:r>
      <w:r w:rsidR="00735992" w:rsidRPr="00B92499">
        <w:rPr>
          <w:rFonts w:ascii="Arial" w:hAnsi="Arial" w:cs="Arial"/>
          <w:sz w:val="24"/>
          <w:szCs w:val="24"/>
          <w:lang w:val="es-ES_tradnl"/>
        </w:rPr>
        <w:t>,</w:t>
      </w:r>
    </w:p>
    <w:p w14:paraId="6CEE8280" w14:textId="51BE0599" w:rsidR="00940CBA" w:rsidRPr="00B92499" w:rsidRDefault="009D7771" w:rsidP="009F64B5">
      <w:pPr>
        <w:pStyle w:val="Prrafodelista"/>
        <w:numPr>
          <w:ilvl w:val="0"/>
          <w:numId w:val="10"/>
        </w:numPr>
        <w:spacing w:before="100" w:beforeAutospacing="1" w:after="100" w:afterAutospacing="1" w:line="360" w:lineRule="auto"/>
        <w:jc w:val="both"/>
        <w:rPr>
          <w:rFonts w:ascii="Arial" w:hAnsi="Arial" w:cs="Arial"/>
          <w:sz w:val="24"/>
          <w:szCs w:val="24"/>
          <w:lang w:val="es-ES_tradnl"/>
        </w:rPr>
      </w:pPr>
      <w:r w:rsidRPr="00B92499">
        <w:rPr>
          <w:rFonts w:ascii="Arial" w:hAnsi="Arial" w:cs="Arial"/>
          <w:sz w:val="24"/>
          <w:szCs w:val="24"/>
          <w:lang w:val="es-ES_tradnl"/>
        </w:rPr>
        <w:t>Artículo</w:t>
      </w:r>
      <w:r w:rsidR="00940CBA" w:rsidRPr="00B92499">
        <w:rPr>
          <w:rFonts w:ascii="Arial" w:hAnsi="Arial" w:cs="Arial"/>
          <w:sz w:val="24"/>
          <w:szCs w:val="24"/>
          <w:lang w:val="es-ES_tradnl"/>
        </w:rPr>
        <w:t xml:space="preserve"> 145. Disposiciones Particulares</w:t>
      </w:r>
      <w:r w:rsidR="00735992" w:rsidRPr="00B92499">
        <w:rPr>
          <w:rFonts w:ascii="Arial" w:hAnsi="Arial" w:cs="Arial"/>
          <w:sz w:val="24"/>
          <w:szCs w:val="24"/>
          <w:lang w:val="es-ES_tradnl"/>
        </w:rPr>
        <w:t>,</w:t>
      </w:r>
    </w:p>
    <w:p w14:paraId="1511634F" w14:textId="01E9B2BA" w:rsidR="00940CBA" w:rsidRPr="00B92499" w:rsidRDefault="009D7771" w:rsidP="009F64B5">
      <w:pPr>
        <w:pStyle w:val="Prrafodelista"/>
        <w:numPr>
          <w:ilvl w:val="0"/>
          <w:numId w:val="10"/>
        </w:numPr>
        <w:spacing w:before="100" w:beforeAutospacing="1" w:after="100" w:afterAutospacing="1" w:line="360" w:lineRule="auto"/>
        <w:jc w:val="both"/>
        <w:rPr>
          <w:rFonts w:ascii="Arial" w:hAnsi="Arial" w:cs="Arial"/>
          <w:sz w:val="24"/>
          <w:szCs w:val="24"/>
          <w:lang w:val="es-ES_tradnl"/>
        </w:rPr>
      </w:pPr>
      <w:r w:rsidRPr="00B92499">
        <w:rPr>
          <w:rFonts w:ascii="Arial" w:hAnsi="Arial" w:cs="Arial"/>
          <w:sz w:val="24"/>
          <w:szCs w:val="24"/>
          <w:lang w:val="es-ES_tradnl"/>
        </w:rPr>
        <w:t>Artículo</w:t>
      </w:r>
      <w:r w:rsidR="00940CBA" w:rsidRPr="00B92499">
        <w:rPr>
          <w:rFonts w:ascii="Arial" w:hAnsi="Arial" w:cs="Arial"/>
          <w:sz w:val="24"/>
          <w:szCs w:val="24"/>
          <w:lang w:val="es-ES_tradnl"/>
        </w:rPr>
        <w:t xml:space="preserve"> 146. Disposiciones Particulares, y </w:t>
      </w:r>
    </w:p>
    <w:p w14:paraId="571B9C73" w14:textId="7D7A2B82" w:rsidR="00BC3D51" w:rsidRPr="00B92499" w:rsidRDefault="009D7771" w:rsidP="009F64B5">
      <w:pPr>
        <w:pStyle w:val="Prrafodelista"/>
        <w:numPr>
          <w:ilvl w:val="0"/>
          <w:numId w:val="10"/>
        </w:numPr>
        <w:spacing w:before="100" w:beforeAutospacing="1" w:after="100" w:afterAutospacing="1" w:line="360" w:lineRule="auto"/>
        <w:jc w:val="both"/>
        <w:rPr>
          <w:rFonts w:ascii="Arial" w:hAnsi="Arial" w:cs="Arial"/>
          <w:sz w:val="24"/>
          <w:szCs w:val="24"/>
          <w:lang w:val="es-ES_tradnl"/>
        </w:rPr>
      </w:pPr>
      <w:r w:rsidRPr="00B92499">
        <w:rPr>
          <w:rFonts w:ascii="Arial" w:hAnsi="Arial" w:cs="Arial"/>
          <w:sz w:val="24"/>
          <w:szCs w:val="24"/>
          <w:lang w:val="es-ES_tradnl"/>
        </w:rPr>
        <w:t>Artículo</w:t>
      </w:r>
      <w:r w:rsidR="00940CBA" w:rsidRPr="00B92499">
        <w:rPr>
          <w:rFonts w:ascii="Arial" w:hAnsi="Arial" w:cs="Arial"/>
          <w:sz w:val="24"/>
          <w:szCs w:val="24"/>
          <w:lang w:val="es-ES_tradnl"/>
        </w:rPr>
        <w:t xml:space="preserve"> 147. Disposiciones Particulares.</w:t>
      </w:r>
    </w:p>
    <w:p w14:paraId="594DBDF2" w14:textId="77777777" w:rsidR="00940CBA" w:rsidRPr="00B92499" w:rsidRDefault="00940CBA" w:rsidP="009F64B5">
      <w:pPr>
        <w:pStyle w:val="Ttulo3"/>
        <w:numPr>
          <w:ilvl w:val="2"/>
          <w:numId w:val="11"/>
        </w:numPr>
        <w:contextualSpacing/>
        <w:jc w:val="both"/>
        <w:rPr>
          <w:rFonts w:ascii="Arial" w:hAnsi="Arial" w:cs="Arial"/>
          <w:b/>
          <w:color w:val="auto"/>
        </w:rPr>
      </w:pPr>
      <w:bookmarkStart w:id="31" w:name="_Toc23252987"/>
      <w:r w:rsidRPr="00B92499">
        <w:rPr>
          <w:rFonts w:ascii="Arial" w:hAnsi="Arial" w:cs="Arial"/>
          <w:b/>
          <w:color w:val="auto"/>
        </w:rPr>
        <w:t>Análisis global de cumplimiento de las Demarcaciones Políticas</w:t>
      </w:r>
      <w:bookmarkEnd w:id="31"/>
      <w:r w:rsidRPr="00B92499">
        <w:rPr>
          <w:rFonts w:ascii="Arial" w:hAnsi="Arial" w:cs="Arial"/>
          <w:b/>
          <w:color w:val="auto"/>
        </w:rPr>
        <w:t xml:space="preserve"> </w:t>
      </w:r>
    </w:p>
    <w:p w14:paraId="167CC269" w14:textId="77777777" w:rsidR="00D2376D" w:rsidRPr="00B92499" w:rsidRDefault="00D2376D" w:rsidP="00D2376D">
      <w:pPr>
        <w:rPr>
          <w:rFonts w:ascii="Arial" w:hAnsi="Arial" w:cs="Arial"/>
        </w:rPr>
      </w:pPr>
    </w:p>
    <w:p w14:paraId="4B3AF349" w14:textId="54986003" w:rsidR="00940CBA" w:rsidRPr="00B92499" w:rsidRDefault="00940CBA" w:rsidP="002E7D47">
      <w:pPr>
        <w:spacing w:before="100" w:beforeAutospacing="1" w:after="100" w:afterAutospacing="1" w:line="360" w:lineRule="auto"/>
        <w:contextualSpacing/>
        <w:jc w:val="both"/>
        <w:rPr>
          <w:rFonts w:ascii="Arial" w:hAnsi="Arial" w:cs="Arial"/>
          <w:u w:val="single"/>
        </w:rPr>
      </w:pPr>
      <w:r w:rsidRPr="00B92499">
        <w:rPr>
          <w:rFonts w:ascii="Arial" w:hAnsi="Arial" w:cs="Arial"/>
          <w:u w:val="single"/>
        </w:rPr>
        <w:t>Índices Globales de Cumplimiento de la</w:t>
      </w:r>
      <w:r w:rsidR="00D2376D" w:rsidRPr="00B92499">
        <w:rPr>
          <w:rFonts w:ascii="Arial" w:hAnsi="Arial" w:cs="Arial"/>
          <w:u w:val="single"/>
        </w:rPr>
        <w:t xml:space="preserve">s </w:t>
      </w:r>
      <w:r w:rsidR="008710F6" w:rsidRPr="00B92499">
        <w:rPr>
          <w:rFonts w:ascii="Arial" w:hAnsi="Arial" w:cs="Arial"/>
          <w:u w:val="single"/>
        </w:rPr>
        <w:t>obligaciones de transparencia</w:t>
      </w:r>
    </w:p>
    <w:p w14:paraId="2F9419C0" w14:textId="08A13F18" w:rsidR="00D2376D" w:rsidRPr="00B92499" w:rsidRDefault="00940CBA" w:rsidP="002E7D47">
      <w:pPr>
        <w:spacing w:before="100" w:beforeAutospacing="1" w:after="100" w:afterAutospacing="1" w:line="360" w:lineRule="auto"/>
        <w:contextualSpacing/>
        <w:jc w:val="both"/>
        <w:rPr>
          <w:rFonts w:ascii="Arial" w:hAnsi="Arial" w:cs="Arial"/>
        </w:rPr>
      </w:pPr>
      <w:r w:rsidRPr="00B92499">
        <w:rPr>
          <w:rFonts w:ascii="Arial" w:hAnsi="Arial" w:cs="Arial"/>
        </w:rPr>
        <w:t xml:space="preserve">Con relación al IGOT, la calificación más alta fue de </w:t>
      </w:r>
      <w:r w:rsidR="00074700" w:rsidRPr="00B92499">
        <w:rPr>
          <w:rFonts w:ascii="Arial" w:hAnsi="Arial" w:cs="Arial"/>
        </w:rPr>
        <w:t>100</w:t>
      </w:r>
      <w:r w:rsidR="00525C08" w:rsidRPr="00B92499">
        <w:rPr>
          <w:rFonts w:ascii="Arial" w:hAnsi="Arial" w:cs="Arial"/>
        </w:rPr>
        <w:t>%</w:t>
      </w:r>
      <w:r w:rsidRPr="00B92499">
        <w:rPr>
          <w:rFonts w:ascii="Arial" w:hAnsi="Arial" w:cs="Arial"/>
        </w:rPr>
        <w:t xml:space="preserve"> y las más baja de </w:t>
      </w:r>
      <w:r w:rsidR="00074700" w:rsidRPr="00B92499">
        <w:rPr>
          <w:rFonts w:ascii="Arial" w:hAnsi="Arial" w:cs="Arial"/>
        </w:rPr>
        <w:t>62.39</w:t>
      </w:r>
      <w:r w:rsidR="00525C08" w:rsidRPr="00B92499">
        <w:rPr>
          <w:rFonts w:ascii="Arial" w:hAnsi="Arial" w:cs="Arial"/>
        </w:rPr>
        <w:t>%</w:t>
      </w:r>
      <w:r w:rsidRPr="00B92499">
        <w:rPr>
          <w:rFonts w:ascii="Arial" w:hAnsi="Arial" w:cs="Arial"/>
        </w:rPr>
        <w:t xml:space="preserve">; obteniendo este orden de gobierno una calificación promedio de </w:t>
      </w:r>
      <w:r w:rsidR="00074700" w:rsidRPr="00B92499">
        <w:rPr>
          <w:rFonts w:ascii="Arial" w:hAnsi="Arial" w:cs="Arial"/>
        </w:rPr>
        <w:t>87.89</w:t>
      </w:r>
      <w:r w:rsidR="00525C08" w:rsidRPr="00B92499">
        <w:rPr>
          <w:rFonts w:ascii="Arial" w:hAnsi="Arial" w:cs="Arial"/>
        </w:rPr>
        <w:t>%</w:t>
      </w:r>
      <w:r w:rsidRPr="00B92499">
        <w:rPr>
          <w:rFonts w:ascii="Arial" w:hAnsi="Arial" w:cs="Arial"/>
        </w:rPr>
        <w:t xml:space="preserve">. </w:t>
      </w:r>
      <w:r w:rsidR="000D67A7" w:rsidRPr="00B92499">
        <w:rPr>
          <w:rFonts w:ascii="Arial" w:hAnsi="Arial" w:cs="Arial"/>
        </w:rPr>
        <w:t>2</w:t>
      </w:r>
      <w:r w:rsidR="00074700" w:rsidRPr="00B92499">
        <w:rPr>
          <w:rFonts w:ascii="Arial" w:hAnsi="Arial" w:cs="Arial"/>
        </w:rPr>
        <w:t xml:space="preserve"> </w:t>
      </w:r>
      <w:r w:rsidR="008710F6" w:rsidRPr="00B92499">
        <w:rPr>
          <w:rFonts w:ascii="Arial" w:hAnsi="Arial" w:cs="Arial"/>
        </w:rPr>
        <w:t>sujeto</w:t>
      </w:r>
      <w:r w:rsidR="00EB5F64" w:rsidRPr="00B92499">
        <w:rPr>
          <w:rFonts w:ascii="Arial" w:hAnsi="Arial" w:cs="Arial"/>
        </w:rPr>
        <w:t xml:space="preserve">s </w:t>
      </w:r>
      <w:r w:rsidR="008710F6" w:rsidRPr="00B92499">
        <w:rPr>
          <w:rFonts w:ascii="Arial" w:hAnsi="Arial" w:cs="Arial"/>
        </w:rPr>
        <w:t>obligado</w:t>
      </w:r>
      <w:r w:rsidR="00EB5F64" w:rsidRPr="00B92499">
        <w:rPr>
          <w:rFonts w:ascii="Arial" w:hAnsi="Arial" w:cs="Arial"/>
        </w:rPr>
        <w:t>s</w:t>
      </w:r>
      <w:r w:rsidR="00074700" w:rsidRPr="00B92499">
        <w:rPr>
          <w:rFonts w:ascii="Arial" w:hAnsi="Arial" w:cs="Arial"/>
        </w:rPr>
        <w:t xml:space="preserve"> obtuvieron un cumplimiento to</w:t>
      </w:r>
      <w:r w:rsidR="00BF662A" w:rsidRPr="00B92499">
        <w:rPr>
          <w:rFonts w:ascii="Arial" w:hAnsi="Arial" w:cs="Arial"/>
        </w:rPr>
        <w:t>t</w:t>
      </w:r>
      <w:r w:rsidR="00074700" w:rsidRPr="00B92499">
        <w:rPr>
          <w:rFonts w:ascii="Arial" w:hAnsi="Arial" w:cs="Arial"/>
        </w:rPr>
        <w:t>al. Catorce</w:t>
      </w:r>
      <w:r w:rsidRPr="00B92499">
        <w:rPr>
          <w:rFonts w:ascii="Arial" w:hAnsi="Arial" w:cs="Arial"/>
        </w:rPr>
        <w:t xml:space="preserve"> </w:t>
      </w:r>
      <w:r w:rsidR="008710F6" w:rsidRPr="00B92499">
        <w:rPr>
          <w:rFonts w:ascii="Arial" w:hAnsi="Arial" w:cs="Arial"/>
        </w:rPr>
        <w:t>sujeto</w:t>
      </w:r>
      <w:r w:rsidR="00EB5F64" w:rsidRPr="00B92499">
        <w:rPr>
          <w:rFonts w:ascii="Arial" w:hAnsi="Arial" w:cs="Arial"/>
        </w:rPr>
        <w:t xml:space="preserve">s </w:t>
      </w:r>
      <w:r w:rsidR="008710F6" w:rsidRPr="00B92499">
        <w:rPr>
          <w:rFonts w:ascii="Arial" w:hAnsi="Arial" w:cs="Arial"/>
        </w:rPr>
        <w:t>obligado</w:t>
      </w:r>
      <w:r w:rsidR="00EB5F64" w:rsidRPr="00B92499">
        <w:rPr>
          <w:rFonts w:ascii="Arial" w:hAnsi="Arial" w:cs="Arial"/>
        </w:rPr>
        <w:t>s</w:t>
      </w:r>
      <w:r w:rsidRPr="00B92499">
        <w:rPr>
          <w:rFonts w:ascii="Arial" w:hAnsi="Arial" w:cs="Arial"/>
        </w:rPr>
        <w:t xml:space="preserve"> cumplieron parcialmente obteniendo una calificación entre </w:t>
      </w:r>
      <w:r w:rsidR="00074700" w:rsidRPr="00B92499">
        <w:rPr>
          <w:rFonts w:ascii="Arial" w:hAnsi="Arial" w:cs="Arial"/>
        </w:rPr>
        <w:t>62.39</w:t>
      </w:r>
      <w:r w:rsidR="00525C08" w:rsidRPr="00B92499">
        <w:rPr>
          <w:rFonts w:ascii="Arial" w:hAnsi="Arial" w:cs="Arial"/>
        </w:rPr>
        <w:t>%</w:t>
      </w:r>
      <w:r w:rsidR="00BF662A" w:rsidRPr="00B92499">
        <w:rPr>
          <w:rFonts w:ascii="Arial" w:hAnsi="Arial" w:cs="Arial"/>
        </w:rPr>
        <w:t xml:space="preserve"> </w:t>
      </w:r>
      <w:r w:rsidRPr="00B92499">
        <w:rPr>
          <w:rFonts w:ascii="Arial" w:hAnsi="Arial" w:cs="Arial"/>
        </w:rPr>
        <w:t xml:space="preserve">y </w:t>
      </w:r>
      <w:r w:rsidR="00074700" w:rsidRPr="00B92499">
        <w:rPr>
          <w:rFonts w:ascii="Arial" w:hAnsi="Arial" w:cs="Arial"/>
        </w:rPr>
        <w:t>99.47</w:t>
      </w:r>
      <w:r w:rsidR="00525C08" w:rsidRPr="00B92499">
        <w:rPr>
          <w:rFonts w:ascii="Arial" w:hAnsi="Arial" w:cs="Arial"/>
        </w:rPr>
        <w:t>%</w:t>
      </w:r>
      <w:r w:rsidR="00074700" w:rsidRPr="00B92499">
        <w:rPr>
          <w:rFonts w:ascii="Arial" w:hAnsi="Arial" w:cs="Arial"/>
        </w:rPr>
        <w:t>.</w:t>
      </w:r>
    </w:p>
    <w:p w14:paraId="4B17FDFB" w14:textId="77777777" w:rsidR="00525C08" w:rsidRPr="00B92499" w:rsidRDefault="00525C08" w:rsidP="002E7D47">
      <w:pPr>
        <w:spacing w:before="100" w:beforeAutospacing="1" w:after="100" w:afterAutospacing="1" w:line="360" w:lineRule="auto"/>
        <w:contextualSpacing/>
        <w:jc w:val="both"/>
        <w:rPr>
          <w:rFonts w:ascii="Arial" w:hAnsi="Arial" w:cs="Arial"/>
        </w:rPr>
      </w:pPr>
    </w:p>
    <w:p w14:paraId="5FACB99C" w14:textId="040F52FA" w:rsidR="00D2376D" w:rsidRPr="00B92499" w:rsidRDefault="00940CBA" w:rsidP="002E7D47">
      <w:pPr>
        <w:spacing w:before="100" w:beforeAutospacing="1" w:after="100" w:afterAutospacing="1" w:line="360" w:lineRule="auto"/>
        <w:contextualSpacing/>
        <w:jc w:val="both"/>
        <w:rPr>
          <w:rFonts w:ascii="Arial" w:hAnsi="Arial" w:cs="Arial"/>
        </w:rPr>
      </w:pPr>
      <w:r w:rsidRPr="00B92499">
        <w:rPr>
          <w:rFonts w:ascii="Arial" w:hAnsi="Arial" w:cs="Arial"/>
        </w:rPr>
        <w:t xml:space="preserve">En este </w:t>
      </w:r>
      <w:r w:rsidR="00490622" w:rsidRPr="00B92499">
        <w:rPr>
          <w:rFonts w:ascii="Arial" w:hAnsi="Arial" w:cs="Arial"/>
        </w:rPr>
        <w:t xml:space="preserve">ámbito </w:t>
      </w:r>
      <w:r w:rsidRPr="00B92499">
        <w:rPr>
          <w:rFonts w:ascii="Arial" w:hAnsi="Arial" w:cs="Arial"/>
        </w:rPr>
        <w:t xml:space="preserve">existe un grado de cumplimiento de </w:t>
      </w:r>
      <w:r w:rsidR="00074700" w:rsidRPr="00B92499">
        <w:rPr>
          <w:rFonts w:ascii="Arial" w:hAnsi="Arial" w:cs="Arial"/>
        </w:rPr>
        <w:t>87.89</w:t>
      </w:r>
      <w:r w:rsidRPr="00B92499">
        <w:rPr>
          <w:rFonts w:ascii="Arial" w:hAnsi="Arial" w:cs="Arial"/>
        </w:rPr>
        <w:t xml:space="preserve">% en lo que respecta a la publicación general de la información, </w:t>
      </w:r>
      <w:r w:rsidR="00074700" w:rsidRPr="00B92499">
        <w:rPr>
          <w:rFonts w:ascii="Arial" w:hAnsi="Arial" w:cs="Arial"/>
        </w:rPr>
        <w:t>94.84</w:t>
      </w:r>
      <w:r w:rsidRPr="00B92499">
        <w:rPr>
          <w:rFonts w:ascii="Arial" w:hAnsi="Arial" w:cs="Arial"/>
        </w:rPr>
        <w:t xml:space="preserve">% sobre la publicación en la PNT y </w:t>
      </w:r>
      <w:r w:rsidR="00074700" w:rsidRPr="00B92499">
        <w:rPr>
          <w:rFonts w:ascii="Arial" w:hAnsi="Arial" w:cs="Arial"/>
        </w:rPr>
        <w:t>89.94</w:t>
      </w:r>
      <w:r w:rsidRPr="00B92499">
        <w:rPr>
          <w:rFonts w:ascii="Arial" w:hAnsi="Arial" w:cs="Arial"/>
        </w:rPr>
        <w:t xml:space="preserve">% en los portales institucionales de los </w:t>
      </w:r>
      <w:r w:rsidR="008710F6" w:rsidRPr="00B92499">
        <w:rPr>
          <w:rFonts w:ascii="Arial" w:hAnsi="Arial" w:cs="Arial"/>
        </w:rPr>
        <w:t>sujeto</w:t>
      </w:r>
      <w:r w:rsidR="00EB5F64" w:rsidRPr="00B92499">
        <w:rPr>
          <w:rFonts w:ascii="Arial" w:hAnsi="Arial" w:cs="Arial"/>
        </w:rPr>
        <w:t xml:space="preserve">s </w:t>
      </w:r>
      <w:r w:rsidR="008710F6" w:rsidRPr="00B92499">
        <w:rPr>
          <w:rFonts w:ascii="Arial" w:hAnsi="Arial" w:cs="Arial"/>
        </w:rPr>
        <w:t>obligado</w:t>
      </w:r>
      <w:r w:rsidR="00EB5F64" w:rsidRPr="00B92499">
        <w:rPr>
          <w:rFonts w:ascii="Arial" w:hAnsi="Arial" w:cs="Arial"/>
        </w:rPr>
        <w:t>s</w:t>
      </w:r>
      <w:r w:rsidRPr="00B92499">
        <w:rPr>
          <w:rFonts w:ascii="Arial" w:hAnsi="Arial" w:cs="Arial"/>
        </w:rPr>
        <w:t xml:space="preserve">. </w:t>
      </w:r>
    </w:p>
    <w:p w14:paraId="00596DDE" w14:textId="77777777" w:rsidR="00BF662A" w:rsidRPr="00B92499" w:rsidRDefault="00BF662A" w:rsidP="002E7D47">
      <w:pPr>
        <w:spacing w:before="100" w:beforeAutospacing="1" w:after="100" w:afterAutospacing="1" w:line="360" w:lineRule="auto"/>
        <w:contextualSpacing/>
        <w:jc w:val="both"/>
        <w:rPr>
          <w:rFonts w:ascii="Arial" w:hAnsi="Arial" w:cs="Arial"/>
        </w:rPr>
      </w:pPr>
    </w:p>
    <w:p w14:paraId="01D8891C" w14:textId="77777777" w:rsidR="001112D7" w:rsidRPr="00B92499" w:rsidRDefault="00BF662A" w:rsidP="002E7D47">
      <w:pPr>
        <w:spacing w:before="100" w:beforeAutospacing="1" w:after="100" w:afterAutospacing="1" w:line="360" w:lineRule="auto"/>
        <w:contextualSpacing/>
        <w:jc w:val="both"/>
        <w:rPr>
          <w:rFonts w:ascii="Arial" w:hAnsi="Arial" w:cs="Arial"/>
        </w:rPr>
      </w:pPr>
      <w:r w:rsidRPr="00B92499">
        <w:rPr>
          <w:rFonts w:ascii="Arial" w:hAnsi="Arial" w:cs="Arial"/>
        </w:rPr>
        <w:t xml:space="preserve">No obstante, el grado de </w:t>
      </w:r>
      <w:r w:rsidR="00B671B7" w:rsidRPr="00B92499">
        <w:rPr>
          <w:rFonts w:ascii="Arial" w:hAnsi="Arial" w:cs="Arial"/>
        </w:rPr>
        <w:t>cumplimiento</w:t>
      </w:r>
      <w:r w:rsidRPr="00B92499">
        <w:rPr>
          <w:rFonts w:ascii="Arial" w:hAnsi="Arial" w:cs="Arial"/>
        </w:rPr>
        <w:t xml:space="preserve"> </w:t>
      </w:r>
      <w:r w:rsidR="00B671B7" w:rsidRPr="00B92499">
        <w:rPr>
          <w:rFonts w:ascii="Arial" w:hAnsi="Arial" w:cs="Arial"/>
        </w:rPr>
        <w:t>anteriormente</w:t>
      </w:r>
      <w:r w:rsidRPr="00B92499">
        <w:rPr>
          <w:rFonts w:ascii="Arial" w:hAnsi="Arial" w:cs="Arial"/>
        </w:rPr>
        <w:t xml:space="preserve"> señalado respecto del ámbito de </w:t>
      </w:r>
      <w:r w:rsidR="00B671B7" w:rsidRPr="00B92499">
        <w:rPr>
          <w:rFonts w:ascii="Arial" w:hAnsi="Arial" w:cs="Arial"/>
        </w:rPr>
        <w:t>Demarcaciones</w:t>
      </w:r>
      <w:r w:rsidRPr="00B92499">
        <w:rPr>
          <w:rFonts w:ascii="Arial" w:hAnsi="Arial" w:cs="Arial"/>
        </w:rPr>
        <w:t xml:space="preserve"> Políticas está conformado por el índice de cumplimiento respecto de la información que se encuentra pública y actualizada tanto en los Portales de Internet Institucionales como en la Plataforma Nacional de Transparencia y el índice de cumplimiento respecto del </w:t>
      </w:r>
      <w:r w:rsidR="00B671B7" w:rsidRPr="00B92499">
        <w:rPr>
          <w:rFonts w:ascii="Arial" w:hAnsi="Arial" w:cs="Arial"/>
        </w:rPr>
        <w:t>cumplimiento</w:t>
      </w:r>
      <w:r w:rsidRPr="00B92499">
        <w:rPr>
          <w:rFonts w:ascii="Arial" w:hAnsi="Arial" w:cs="Arial"/>
        </w:rPr>
        <w:t xml:space="preserve"> de </w:t>
      </w:r>
      <w:r w:rsidR="001112D7" w:rsidRPr="00B92499">
        <w:rPr>
          <w:rFonts w:ascii="Arial" w:hAnsi="Arial" w:cs="Arial"/>
        </w:rPr>
        <w:t xml:space="preserve">lo mandatado en las obligaciones de </w:t>
      </w:r>
      <w:r w:rsidR="00B671B7" w:rsidRPr="00B92499">
        <w:rPr>
          <w:rFonts w:ascii="Arial" w:hAnsi="Arial" w:cs="Arial"/>
        </w:rPr>
        <w:lastRenderedPageBreak/>
        <w:t>transparencia</w:t>
      </w:r>
      <w:r w:rsidR="001112D7" w:rsidRPr="00B92499">
        <w:rPr>
          <w:rFonts w:ascii="Arial" w:hAnsi="Arial" w:cs="Arial"/>
        </w:rPr>
        <w:t xml:space="preserve"> a través de la publicación de una nota fundada y </w:t>
      </w:r>
      <w:r w:rsidR="00B671B7" w:rsidRPr="00B92499">
        <w:rPr>
          <w:rFonts w:ascii="Arial" w:hAnsi="Arial" w:cs="Arial"/>
        </w:rPr>
        <w:t>motivada</w:t>
      </w:r>
      <w:r w:rsidR="001112D7" w:rsidRPr="00B92499">
        <w:rPr>
          <w:rFonts w:ascii="Arial" w:hAnsi="Arial" w:cs="Arial"/>
        </w:rPr>
        <w:t xml:space="preserve"> que </w:t>
      </w:r>
      <w:r w:rsidR="00B671B7" w:rsidRPr="00B92499">
        <w:rPr>
          <w:rFonts w:ascii="Arial" w:hAnsi="Arial" w:cs="Arial"/>
        </w:rPr>
        <w:t>aclara</w:t>
      </w:r>
      <w:r w:rsidR="001112D7" w:rsidRPr="00B92499">
        <w:rPr>
          <w:rFonts w:ascii="Arial" w:hAnsi="Arial" w:cs="Arial"/>
        </w:rPr>
        <w:t xml:space="preserve"> el por qué no se generó, publicó o </w:t>
      </w:r>
      <w:r w:rsidR="00B671B7" w:rsidRPr="00B92499">
        <w:rPr>
          <w:rFonts w:ascii="Arial" w:hAnsi="Arial" w:cs="Arial"/>
        </w:rPr>
        <w:t>actualizó</w:t>
      </w:r>
      <w:r w:rsidR="001112D7" w:rsidRPr="00B92499">
        <w:rPr>
          <w:rFonts w:ascii="Arial" w:hAnsi="Arial" w:cs="Arial"/>
        </w:rPr>
        <w:t xml:space="preserve"> la información. </w:t>
      </w:r>
    </w:p>
    <w:p w14:paraId="6B10B822" w14:textId="77777777" w:rsidR="001112D7" w:rsidRPr="00B92499" w:rsidRDefault="001112D7" w:rsidP="002E7D47">
      <w:pPr>
        <w:spacing w:before="100" w:beforeAutospacing="1" w:after="100" w:afterAutospacing="1" w:line="360" w:lineRule="auto"/>
        <w:contextualSpacing/>
        <w:jc w:val="both"/>
        <w:rPr>
          <w:rFonts w:ascii="Arial" w:hAnsi="Arial" w:cs="Arial"/>
        </w:rPr>
      </w:pPr>
    </w:p>
    <w:p w14:paraId="7B74EB12" w14:textId="77777777" w:rsidR="001112D7" w:rsidRPr="00B92499" w:rsidRDefault="001112D7" w:rsidP="002E7D47">
      <w:pPr>
        <w:spacing w:before="100" w:beforeAutospacing="1" w:after="100" w:afterAutospacing="1" w:line="360" w:lineRule="auto"/>
        <w:contextualSpacing/>
        <w:jc w:val="both"/>
        <w:rPr>
          <w:rFonts w:ascii="Arial" w:hAnsi="Arial" w:cs="Arial"/>
        </w:rPr>
      </w:pPr>
      <w:r w:rsidRPr="00B92499">
        <w:rPr>
          <w:rFonts w:ascii="Arial" w:hAnsi="Arial" w:cs="Arial"/>
        </w:rPr>
        <w:t>El grado de cumplimiento de este ámbito, consistente en 87.89%</w:t>
      </w:r>
      <w:r w:rsidR="0088482A" w:rsidRPr="00B92499">
        <w:rPr>
          <w:rFonts w:ascii="Arial" w:hAnsi="Arial" w:cs="Arial"/>
        </w:rPr>
        <w:t>,</w:t>
      </w:r>
      <w:r w:rsidRPr="00B92499">
        <w:rPr>
          <w:rFonts w:ascii="Arial" w:hAnsi="Arial" w:cs="Arial"/>
        </w:rPr>
        <w:t xml:space="preserve"> está integrado por </w:t>
      </w:r>
      <w:r w:rsidR="0088482A" w:rsidRPr="00B92499">
        <w:rPr>
          <w:rFonts w:ascii="Arial" w:hAnsi="Arial" w:cs="Arial"/>
        </w:rPr>
        <w:t xml:space="preserve">85.55% de información publicada y actualizada en </w:t>
      </w:r>
      <w:r w:rsidR="00B671B7" w:rsidRPr="00B92499">
        <w:rPr>
          <w:rFonts w:ascii="Arial" w:hAnsi="Arial" w:cs="Arial"/>
        </w:rPr>
        <w:t>atención</w:t>
      </w:r>
      <w:r w:rsidR="0088482A" w:rsidRPr="00B92499">
        <w:rPr>
          <w:rFonts w:ascii="Arial" w:hAnsi="Arial" w:cs="Arial"/>
        </w:rPr>
        <w:t xml:space="preserve"> a los principios mandatados en la Ley de Transparencia Local y un 2.34% que corresponde a notas aclaratorias. </w:t>
      </w:r>
    </w:p>
    <w:p w14:paraId="4F6AFFC2" w14:textId="77777777" w:rsidR="00535A9F" w:rsidRPr="00B92499" w:rsidRDefault="00535A9F" w:rsidP="002E7D47">
      <w:pPr>
        <w:spacing w:before="100" w:beforeAutospacing="1" w:after="100" w:afterAutospacing="1" w:line="360" w:lineRule="auto"/>
        <w:contextualSpacing/>
        <w:jc w:val="both"/>
        <w:rPr>
          <w:rFonts w:ascii="Arial" w:hAnsi="Arial" w:cs="Arial"/>
        </w:rPr>
      </w:pPr>
    </w:p>
    <w:p w14:paraId="56E296CF" w14:textId="24949832" w:rsidR="00940CBA" w:rsidRPr="00B92499" w:rsidRDefault="00940CBA" w:rsidP="002E7D47">
      <w:pPr>
        <w:spacing w:before="100" w:beforeAutospacing="1" w:after="100" w:afterAutospacing="1" w:line="360" w:lineRule="auto"/>
        <w:contextualSpacing/>
        <w:jc w:val="both"/>
        <w:rPr>
          <w:rFonts w:ascii="Arial" w:hAnsi="Arial" w:cs="Arial"/>
          <w:u w:val="single"/>
        </w:rPr>
      </w:pPr>
      <w:r w:rsidRPr="00B92499">
        <w:rPr>
          <w:rFonts w:ascii="Arial" w:hAnsi="Arial" w:cs="Arial"/>
          <w:u w:val="single"/>
        </w:rPr>
        <w:t xml:space="preserve">Cumplimiento diferenciado por </w:t>
      </w:r>
      <w:r w:rsidR="008F67E4" w:rsidRPr="00B92499">
        <w:rPr>
          <w:rFonts w:ascii="Arial" w:hAnsi="Arial" w:cs="Arial"/>
          <w:u w:val="single"/>
        </w:rPr>
        <w:t>artículo</w:t>
      </w:r>
      <w:r w:rsidRPr="00B92499">
        <w:rPr>
          <w:rFonts w:ascii="Arial" w:hAnsi="Arial" w:cs="Arial"/>
          <w:u w:val="single"/>
        </w:rPr>
        <w:t xml:space="preserve">s </w:t>
      </w:r>
    </w:p>
    <w:p w14:paraId="4DC05B2A" w14:textId="77777777" w:rsidR="00D2376D" w:rsidRPr="00B92499" w:rsidRDefault="00D2376D" w:rsidP="002E7D47">
      <w:pPr>
        <w:spacing w:before="100" w:beforeAutospacing="1" w:after="100" w:afterAutospacing="1" w:line="360" w:lineRule="auto"/>
        <w:contextualSpacing/>
        <w:jc w:val="both"/>
        <w:rPr>
          <w:rFonts w:ascii="Arial" w:hAnsi="Arial" w:cs="Arial"/>
          <w:u w:val="single"/>
        </w:rPr>
      </w:pPr>
    </w:p>
    <w:p w14:paraId="67763D89" w14:textId="77777777" w:rsidR="00940CBA" w:rsidRPr="00B92499" w:rsidRDefault="00940CBA" w:rsidP="002E7D47">
      <w:pPr>
        <w:spacing w:before="100" w:beforeAutospacing="1" w:after="100" w:afterAutospacing="1" w:line="360" w:lineRule="auto"/>
        <w:contextualSpacing/>
        <w:jc w:val="both"/>
        <w:rPr>
          <w:rFonts w:ascii="Arial" w:hAnsi="Arial" w:cs="Arial"/>
        </w:rPr>
      </w:pPr>
      <w:r w:rsidRPr="00B92499">
        <w:rPr>
          <w:rFonts w:ascii="Arial" w:hAnsi="Arial" w:cs="Arial"/>
        </w:rPr>
        <w:t xml:space="preserve">Con relación al tipo de obligaciones de transparencia, este orden de gobierno del ámbito ejecutivo ha cumplido parcialmente en la publicación y actualización de sus obligaciones comunes, específicas y disposiciones particulares; obteniendo un promedio de cumplimiento de </w:t>
      </w:r>
      <w:r w:rsidR="00074700" w:rsidRPr="00B92499">
        <w:rPr>
          <w:rFonts w:ascii="Arial" w:hAnsi="Arial" w:cs="Arial"/>
        </w:rPr>
        <w:t>88.45</w:t>
      </w:r>
      <w:r w:rsidRPr="00B92499">
        <w:rPr>
          <w:rFonts w:ascii="Arial" w:hAnsi="Arial" w:cs="Arial"/>
        </w:rPr>
        <w:t xml:space="preserve">%, </w:t>
      </w:r>
      <w:r w:rsidR="00074700" w:rsidRPr="00B92499">
        <w:rPr>
          <w:rFonts w:ascii="Arial" w:hAnsi="Arial" w:cs="Arial"/>
        </w:rPr>
        <w:t>82.81</w:t>
      </w:r>
      <w:r w:rsidRPr="00B92499">
        <w:rPr>
          <w:rFonts w:ascii="Arial" w:hAnsi="Arial" w:cs="Arial"/>
        </w:rPr>
        <w:t xml:space="preserve">% y </w:t>
      </w:r>
      <w:r w:rsidR="00074700" w:rsidRPr="00B92499">
        <w:rPr>
          <w:rFonts w:ascii="Arial" w:hAnsi="Arial" w:cs="Arial"/>
        </w:rPr>
        <w:t>90.99</w:t>
      </w:r>
      <w:r w:rsidRPr="00B92499">
        <w:rPr>
          <w:rFonts w:ascii="Arial" w:hAnsi="Arial" w:cs="Arial"/>
        </w:rPr>
        <w:t xml:space="preserve">% respectivamente. </w:t>
      </w:r>
    </w:p>
    <w:p w14:paraId="3E23A476" w14:textId="77777777" w:rsidR="00D2376D" w:rsidRPr="00B92499" w:rsidRDefault="00D2376D" w:rsidP="002E7D47">
      <w:pPr>
        <w:spacing w:before="100" w:beforeAutospacing="1" w:after="100" w:afterAutospacing="1" w:line="360" w:lineRule="auto"/>
        <w:contextualSpacing/>
        <w:jc w:val="both"/>
        <w:rPr>
          <w:rFonts w:ascii="Arial" w:hAnsi="Arial" w:cs="Arial"/>
        </w:rPr>
      </w:pPr>
    </w:p>
    <w:p w14:paraId="786907B9" w14:textId="70595AD6" w:rsidR="00940CBA" w:rsidRPr="00B92499" w:rsidRDefault="00940CBA" w:rsidP="002E7D47">
      <w:pPr>
        <w:spacing w:before="100" w:beforeAutospacing="1" w:after="100" w:afterAutospacing="1" w:line="360" w:lineRule="auto"/>
        <w:contextualSpacing/>
        <w:jc w:val="both"/>
        <w:rPr>
          <w:rFonts w:ascii="Arial" w:hAnsi="Arial" w:cs="Arial"/>
        </w:rPr>
      </w:pPr>
      <w:r w:rsidRPr="00B92499">
        <w:rPr>
          <w:rFonts w:ascii="Arial" w:hAnsi="Arial" w:cs="Arial"/>
        </w:rPr>
        <w:t xml:space="preserve">En esta misma línea, el </w:t>
      </w:r>
      <w:r w:rsidR="008F67E4" w:rsidRPr="00B92499">
        <w:rPr>
          <w:rFonts w:ascii="Arial" w:hAnsi="Arial" w:cs="Arial"/>
        </w:rPr>
        <w:t>artículo</w:t>
      </w:r>
      <w:r w:rsidR="003250DC" w:rsidRPr="00B92499">
        <w:rPr>
          <w:rFonts w:ascii="Arial" w:hAnsi="Arial" w:cs="Arial"/>
        </w:rPr>
        <w:t xml:space="preserve"> 145 tuvo un ICP de 9</w:t>
      </w:r>
      <w:r w:rsidR="00074700" w:rsidRPr="00B92499">
        <w:rPr>
          <w:rFonts w:ascii="Arial" w:hAnsi="Arial" w:cs="Arial"/>
        </w:rPr>
        <w:t>9</w:t>
      </w:r>
      <w:r w:rsidR="003250DC" w:rsidRPr="00B92499">
        <w:rPr>
          <w:rFonts w:ascii="Arial" w:hAnsi="Arial" w:cs="Arial"/>
        </w:rPr>
        <w:t>.</w:t>
      </w:r>
      <w:r w:rsidR="00074700" w:rsidRPr="00B92499">
        <w:rPr>
          <w:rFonts w:ascii="Arial" w:hAnsi="Arial" w:cs="Arial"/>
        </w:rPr>
        <w:t>61</w:t>
      </w:r>
      <w:r w:rsidRPr="00B92499">
        <w:rPr>
          <w:rFonts w:ascii="Arial" w:hAnsi="Arial" w:cs="Arial"/>
        </w:rPr>
        <w:t>,</w:t>
      </w:r>
      <w:r w:rsidR="003250DC" w:rsidRPr="00B92499">
        <w:rPr>
          <w:rFonts w:ascii="Arial" w:hAnsi="Arial" w:cs="Arial"/>
        </w:rPr>
        <w:t xml:space="preserve"> el 143 obtuvo ICP de </w:t>
      </w:r>
      <w:r w:rsidR="00074700" w:rsidRPr="00B92499">
        <w:rPr>
          <w:rFonts w:ascii="Arial" w:hAnsi="Arial" w:cs="Arial"/>
        </w:rPr>
        <w:t>94.06</w:t>
      </w:r>
      <w:r w:rsidR="003250DC" w:rsidRPr="00B92499">
        <w:rPr>
          <w:rFonts w:ascii="Arial" w:hAnsi="Arial" w:cs="Arial"/>
        </w:rPr>
        <w:t xml:space="preserve">%, </w:t>
      </w:r>
      <w:r w:rsidR="00074700" w:rsidRPr="00B92499">
        <w:rPr>
          <w:rFonts w:ascii="Arial" w:hAnsi="Arial" w:cs="Arial"/>
        </w:rPr>
        <w:t xml:space="preserve">el 146 con un ICP de 92.50%, </w:t>
      </w:r>
      <w:r w:rsidRPr="00B92499">
        <w:rPr>
          <w:rFonts w:ascii="Arial" w:hAnsi="Arial" w:cs="Arial"/>
        </w:rPr>
        <w:t>el 122</w:t>
      </w:r>
      <w:r w:rsidR="003A57A0" w:rsidRPr="00B92499">
        <w:rPr>
          <w:rFonts w:ascii="Arial" w:hAnsi="Arial" w:cs="Arial"/>
        </w:rPr>
        <w:t xml:space="preserve"> de </w:t>
      </w:r>
      <w:r w:rsidR="00074700" w:rsidRPr="00B92499">
        <w:rPr>
          <w:rFonts w:ascii="Arial" w:hAnsi="Arial" w:cs="Arial"/>
        </w:rPr>
        <w:t>88.86</w:t>
      </w:r>
      <w:r w:rsidR="003A57A0" w:rsidRPr="00B92499">
        <w:rPr>
          <w:rFonts w:ascii="Arial" w:hAnsi="Arial" w:cs="Arial"/>
        </w:rPr>
        <w:t>%, el 1</w:t>
      </w:r>
      <w:r w:rsidR="00074700" w:rsidRPr="00B92499">
        <w:rPr>
          <w:rFonts w:ascii="Arial" w:hAnsi="Arial" w:cs="Arial"/>
        </w:rPr>
        <w:t>21</w:t>
      </w:r>
      <w:r w:rsidR="003A57A0" w:rsidRPr="00B92499">
        <w:rPr>
          <w:rFonts w:ascii="Arial" w:hAnsi="Arial" w:cs="Arial"/>
        </w:rPr>
        <w:t xml:space="preserve"> de </w:t>
      </w:r>
      <w:r w:rsidR="00074700" w:rsidRPr="00B92499">
        <w:rPr>
          <w:rFonts w:ascii="Arial" w:hAnsi="Arial" w:cs="Arial"/>
        </w:rPr>
        <w:t>88.05</w:t>
      </w:r>
      <w:r w:rsidR="003A57A0" w:rsidRPr="00B92499">
        <w:rPr>
          <w:rFonts w:ascii="Arial" w:hAnsi="Arial" w:cs="Arial"/>
        </w:rPr>
        <w:t xml:space="preserve">%, </w:t>
      </w:r>
      <w:r w:rsidRPr="00B92499">
        <w:rPr>
          <w:rFonts w:ascii="Arial" w:hAnsi="Arial" w:cs="Arial"/>
        </w:rPr>
        <w:t>el 12</w:t>
      </w:r>
      <w:r w:rsidR="00074700" w:rsidRPr="00B92499">
        <w:rPr>
          <w:rFonts w:ascii="Arial" w:hAnsi="Arial" w:cs="Arial"/>
        </w:rPr>
        <w:t>4</w:t>
      </w:r>
      <w:r w:rsidRPr="00B92499">
        <w:rPr>
          <w:rFonts w:ascii="Arial" w:hAnsi="Arial" w:cs="Arial"/>
        </w:rPr>
        <w:t xml:space="preserve"> alcanzó </w:t>
      </w:r>
      <w:r w:rsidR="00074700" w:rsidRPr="00B92499">
        <w:rPr>
          <w:rFonts w:ascii="Arial" w:hAnsi="Arial" w:cs="Arial"/>
        </w:rPr>
        <w:t>82.81</w:t>
      </w:r>
      <w:r w:rsidRPr="00B92499">
        <w:rPr>
          <w:rFonts w:ascii="Arial" w:hAnsi="Arial" w:cs="Arial"/>
        </w:rPr>
        <w:t>%, y por último el 14</w:t>
      </w:r>
      <w:r w:rsidR="00074700" w:rsidRPr="00B92499">
        <w:rPr>
          <w:rFonts w:ascii="Arial" w:hAnsi="Arial" w:cs="Arial"/>
        </w:rPr>
        <w:t xml:space="preserve">7 </w:t>
      </w:r>
      <w:r w:rsidRPr="00B92499">
        <w:rPr>
          <w:rFonts w:ascii="Arial" w:hAnsi="Arial" w:cs="Arial"/>
        </w:rPr>
        <w:t xml:space="preserve">con un ICP de </w:t>
      </w:r>
      <w:r w:rsidR="00074700" w:rsidRPr="00B92499">
        <w:rPr>
          <w:rFonts w:ascii="Arial" w:hAnsi="Arial" w:cs="Arial"/>
        </w:rPr>
        <w:t>77.79</w:t>
      </w:r>
      <w:r w:rsidRPr="00B92499">
        <w:rPr>
          <w:rFonts w:ascii="Arial" w:hAnsi="Arial" w:cs="Arial"/>
        </w:rPr>
        <w:t xml:space="preserve">%. </w:t>
      </w:r>
    </w:p>
    <w:p w14:paraId="705A41A2" w14:textId="77777777" w:rsidR="00D871E0" w:rsidRPr="00B92499" w:rsidRDefault="00D871E0" w:rsidP="002E7D47">
      <w:pPr>
        <w:spacing w:before="100" w:beforeAutospacing="1" w:after="100" w:afterAutospacing="1" w:line="360" w:lineRule="auto"/>
        <w:contextualSpacing/>
        <w:jc w:val="both"/>
        <w:rPr>
          <w:rFonts w:ascii="Arial" w:hAnsi="Arial" w:cs="Arial"/>
        </w:rPr>
      </w:pPr>
    </w:p>
    <w:p w14:paraId="5194E6C0" w14:textId="77777777" w:rsidR="00D871E0" w:rsidRPr="00B92499" w:rsidRDefault="00D871E0" w:rsidP="002E7D47">
      <w:pPr>
        <w:spacing w:before="100" w:beforeAutospacing="1" w:after="100" w:afterAutospacing="1" w:line="360" w:lineRule="auto"/>
        <w:contextualSpacing/>
        <w:jc w:val="both"/>
        <w:rPr>
          <w:rFonts w:ascii="Arial" w:hAnsi="Arial" w:cs="Arial"/>
        </w:rPr>
      </w:pPr>
      <w:r w:rsidRPr="00B92499">
        <w:rPr>
          <w:rFonts w:ascii="Arial" w:hAnsi="Arial" w:cs="Arial"/>
        </w:rPr>
        <w:t xml:space="preserve">De igual forma, respecto </w:t>
      </w:r>
      <w:r w:rsidR="00542E06" w:rsidRPr="00B92499">
        <w:rPr>
          <w:rFonts w:ascii="Arial" w:hAnsi="Arial" w:cs="Arial"/>
        </w:rPr>
        <w:t xml:space="preserve">de cada uno de los artículos que conforman el índice global, el ICP del artículo 121 está compuesto por 2% de notas aclaratorias, el ICP del artículo 122 por 4.5% de notas, el ICP del artículo 124 por 4.9% de notas, el ICP del artículo 143 por 6.6% de notas, el ICP del artículo 147 por 2.7% y los ICPs de los artículos 145 y 146 no tuvieron cambio alguno, debido a que no fueron utilizadas notas aclaratorias.  </w:t>
      </w:r>
    </w:p>
    <w:p w14:paraId="58653A2D" w14:textId="489E47FA" w:rsidR="00D2376D" w:rsidRPr="00B92499" w:rsidRDefault="00940CBA" w:rsidP="009F64B5">
      <w:pPr>
        <w:pStyle w:val="Ttulo3"/>
        <w:numPr>
          <w:ilvl w:val="2"/>
          <w:numId w:val="11"/>
        </w:numPr>
        <w:contextualSpacing/>
        <w:jc w:val="both"/>
        <w:rPr>
          <w:rFonts w:ascii="Arial" w:hAnsi="Arial" w:cs="Arial"/>
          <w:b/>
          <w:color w:val="auto"/>
        </w:rPr>
      </w:pPr>
      <w:bookmarkStart w:id="32" w:name="_Toc23252988"/>
      <w:r w:rsidRPr="00B92499">
        <w:rPr>
          <w:rFonts w:ascii="Arial" w:hAnsi="Arial" w:cs="Arial"/>
          <w:b/>
          <w:color w:val="auto"/>
        </w:rPr>
        <w:t xml:space="preserve">Análisis del </w:t>
      </w:r>
      <w:r w:rsidR="008F67E4" w:rsidRPr="00B92499">
        <w:rPr>
          <w:rFonts w:ascii="Arial" w:hAnsi="Arial" w:cs="Arial"/>
          <w:b/>
          <w:color w:val="auto"/>
        </w:rPr>
        <w:t>artículo</w:t>
      </w:r>
      <w:r w:rsidRPr="00B92499">
        <w:rPr>
          <w:rFonts w:ascii="Arial" w:hAnsi="Arial" w:cs="Arial"/>
          <w:b/>
          <w:color w:val="auto"/>
        </w:rPr>
        <w:t xml:space="preserve"> 121 y sus respectivas fracciones</w:t>
      </w:r>
      <w:bookmarkEnd w:id="32"/>
    </w:p>
    <w:p w14:paraId="3E75B5CD" w14:textId="252104B6" w:rsidR="00940CBA" w:rsidRPr="00B92499" w:rsidRDefault="00940CBA" w:rsidP="002E7D47">
      <w:pPr>
        <w:spacing w:before="100" w:beforeAutospacing="1" w:after="100" w:afterAutospacing="1" w:line="360" w:lineRule="auto"/>
        <w:contextualSpacing/>
        <w:jc w:val="both"/>
        <w:rPr>
          <w:rFonts w:ascii="Arial" w:hAnsi="Arial" w:cs="Arial"/>
        </w:rPr>
      </w:pPr>
      <w:r w:rsidRPr="00B92499">
        <w:rPr>
          <w:rFonts w:ascii="Arial" w:hAnsi="Arial" w:cs="Arial"/>
        </w:rPr>
        <w:t xml:space="preserve">Los </w:t>
      </w:r>
      <w:r w:rsidR="008710F6" w:rsidRPr="00B92499">
        <w:rPr>
          <w:rFonts w:ascii="Arial" w:hAnsi="Arial" w:cs="Arial"/>
        </w:rPr>
        <w:t>sujeto</w:t>
      </w:r>
      <w:r w:rsidR="00EB5F64" w:rsidRPr="00B92499">
        <w:rPr>
          <w:rFonts w:ascii="Arial" w:hAnsi="Arial" w:cs="Arial"/>
        </w:rPr>
        <w:t xml:space="preserve">s </w:t>
      </w:r>
      <w:r w:rsidR="008710F6" w:rsidRPr="00B92499">
        <w:rPr>
          <w:rFonts w:ascii="Arial" w:hAnsi="Arial" w:cs="Arial"/>
        </w:rPr>
        <w:t>obligado</w:t>
      </w:r>
      <w:r w:rsidR="00EB5F64" w:rsidRPr="00B92499">
        <w:rPr>
          <w:rFonts w:ascii="Arial" w:hAnsi="Arial" w:cs="Arial"/>
        </w:rPr>
        <w:t>s</w:t>
      </w:r>
      <w:r w:rsidRPr="00B92499">
        <w:rPr>
          <w:rFonts w:ascii="Arial" w:hAnsi="Arial" w:cs="Arial"/>
        </w:rPr>
        <w:t xml:space="preserve"> de las delegaciones obtuvieron un ICP en este </w:t>
      </w:r>
      <w:r w:rsidR="008F67E4" w:rsidRPr="00B92499">
        <w:rPr>
          <w:rFonts w:ascii="Arial" w:hAnsi="Arial" w:cs="Arial"/>
        </w:rPr>
        <w:t>artículo</w:t>
      </w:r>
      <w:r w:rsidRPr="00B92499">
        <w:rPr>
          <w:rFonts w:ascii="Arial" w:hAnsi="Arial" w:cs="Arial"/>
        </w:rPr>
        <w:t xml:space="preserve"> de </w:t>
      </w:r>
      <w:r w:rsidR="00074700" w:rsidRPr="00B92499">
        <w:rPr>
          <w:rFonts w:ascii="Arial" w:hAnsi="Arial" w:cs="Arial"/>
        </w:rPr>
        <w:t>88.05</w:t>
      </w:r>
      <w:r w:rsidRPr="00B92499">
        <w:rPr>
          <w:rFonts w:ascii="Arial" w:hAnsi="Arial" w:cs="Arial"/>
        </w:rPr>
        <w:t xml:space="preserve">%; por lo que se encuentra dentro del área de cumplimiento parcial. </w:t>
      </w:r>
      <w:r w:rsidR="00074700" w:rsidRPr="00B92499">
        <w:rPr>
          <w:rFonts w:ascii="Arial" w:hAnsi="Arial" w:cs="Arial"/>
        </w:rPr>
        <w:t>Las</w:t>
      </w:r>
      <w:r w:rsidR="000D67A7" w:rsidRPr="00B92499">
        <w:rPr>
          <w:rFonts w:ascii="Arial" w:hAnsi="Arial" w:cs="Arial"/>
        </w:rPr>
        <w:t xml:space="preserve"> 6  </w:t>
      </w:r>
      <w:r w:rsidRPr="00B92499">
        <w:rPr>
          <w:rFonts w:ascii="Arial" w:hAnsi="Arial" w:cs="Arial"/>
        </w:rPr>
        <w:t xml:space="preserve">fracciones con mayor área de oportunidad, ya que se colocaron en un </w:t>
      </w:r>
      <w:r w:rsidR="00074700" w:rsidRPr="00B92499">
        <w:rPr>
          <w:rFonts w:ascii="Arial" w:hAnsi="Arial" w:cs="Arial"/>
        </w:rPr>
        <w:t>cumplimiento</w:t>
      </w:r>
      <w:r w:rsidRPr="00B92499">
        <w:rPr>
          <w:rFonts w:ascii="Arial" w:hAnsi="Arial" w:cs="Arial"/>
        </w:rPr>
        <w:t xml:space="preserve"> parcial entre </w:t>
      </w:r>
      <w:r w:rsidR="00074700" w:rsidRPr="00B92499">
        <w:rPr>
          <w:rFonts w:ascii="Arial" w:hAnsi="Arial" w:cs="Arial"/>
        </w:rPr>
        <w:t>75.65</w:t>
      </w:r>
      <w:r w:rsidRPr="00B92499">
        <w:rPr>
          <w:rFonts w:ascii="Arial" w:hAnsi="Arial" w:cs="Arial"/>
        </w:rPr>
        <w:t xml:space="preserve">% y </w:t>
      </w:r>
      <w:r w:rsidR="00074700" w:rsidRPr="00B92499">
        <w:rPr>
          <w:rFonts w:ascii="Arial" w:hAnsi="Arial" w:cs="Arial"/>
        </w:rPr>
        <w:t>79.49</w:t>
      </w:r>
      <w:r w:rsidRPr="00B92499">
        <w:rPr>
          <w:rFonts w:ascii="Arial" w:hAnsi="Arial" w:cs="Arial"/>
        </w:rPr>
        <w:t>%, son las</w:t>
      </w:r>
      <w:r w:rsidR="00B671B7" w:rsidRPr="00B92499">
        <w:rPr>
          <w:rFonts w:ascii="Arial" w:hAnsi="Arial" w:cs="Arial"/>
        </w:rPr>
        <w:t xml:space="preserve"> </w:t>
      </w:r>
      <w:r w:rsidRPr="00B92499">
        <w:rPr>
          <w:rFonts w:ascii="Arial" w:hAnsi="Arial" w:cs="Arial"/>
        </w:rPr>
        <w:t xml:space="preserve">siguientes: </w:t>
      </w:r>
    </w:p>
    <w:p w14:paraId="44CC5110" w14:textId="77777777" w:rsidR="00B671B7" w:rsidRPr="00B92499" w:rsidRDefault="00B671B7" w:rsidP="009F64B5">
      <w:pPr>
        <w:pStyle w:val="Prrafodelista"/>
        <w:numPr>
          <w:ilvl w:val="0"/>
          <w:numId w:val="16"/>
        </w:numPr>
        <w:spacing w:before="100" w:beforeAutospacing="1" w:after="100" w:afterAutospacing="1" w:line="360" w:lineRule="auto"/>
        <w:jc w:val="both"/>
        <w:rPr>
          <w:rFonts w:ascii="Arial" w:hAnsi="Arial" w:cs="Arial"/>
          <w:sz w:val="24"/>
          <w:szCs w:val="24"/>
          <w:lang w:val="es-ES_tradnl"/>
        </w:rPr>
      </w:pPr>
      <w:r w:rsidRPr="00B92499">
        <w:rPr>
          <w:rFonts w:ascii="Arial" w:hAnsi="Arial" w:cs="Arial"/>
          <w:sz w:val="24"/>
          <w:szCs w:val="24"/>
          <w:lang w:val="es-ES_tradnl"/>
        </w:rPr>
        <w:lastRenderedPageBreak/>
        <w:t xml:space="preserve">Fracción LII, con un ICP de 75.65% en la cual se mandata la publicación de </w:t>
      </w:r>
      <w:r w:rsidRPr="00B92499">
        <w:rPr>
          <w:rFonts w:ascii="Arial" w:hAnsi="Arial" w:cs="Arial"/>
          <w:color w:val="000000"/>
          <w:sz w:val="24"/>
          <w:szCs w:val="24"/>
          <w:lang w:val="es-ES_tradnl"/>
        </w:rPr>
        <w:t xml:space="preserve">cualquier otra información que sea de utilidad o se considere relevante. </w:t>
      </w:r>
      <w:r w:rsidRPr="00B92499">
        <w:rPr>
          <w:rFonts w:ascii="Arial" w:hAnsi="Arial" w:cs="Arial"/>
          <w:sz w:val="24"/>
          <w:szCs w:val="24"/>
          <w:lang w:val="es-ES_tradnl"/>
        </w:rPr>
        <w:t>El área de oportunidad de las alcaldías respecto de esta fracción es actualizar la información conforme indica la normatividad vigente.</w:t>
      </w:r>
    </w:p>
    <w:p w14:paraId="6D4EB99D" w14:textId="272DC343" w:rsidR="00B671B7" w:rsidRPr="00B92499" w:rsidRDefault="00B671B7" w:rsidP="009F64B5">
      <w:pPr>
        <w:pStyle w:val="Prrafodelista"/>
        <w:numPr>
          <w:ilvl w:val="0"/>
          <w:numId w:val="16"/>
        </w:numPr>
        <w:spacing w:before="100" w:beforeAutospacing="1" w:after="100" w:afterAutospacing="1" w:line="360" w:lineRule="auto"/>
        <w:jc w:val="both"/>
        <w:rPr>
          <w:rFonts w:ascii="Arial" w:hAnsi="Arial" w:cs="Arial"/>
          <w:sz w:val="24"/>
          <w:szCs w:val="24"/>
          <w:lang w:val="es-ES_tradnl"/>
        </w:rPr>
      </w:pPr>
      <w:r w:rsidRPr="00B92499">
        <w:rPr>
          <w:rFonts w:ascii="Arial" w:hAnsi="Arial" w:cs="Arial"/>
          <w:sz w:val="24"/>
          <w:szCs w:val="24"/>
          <w:lang w:val="es-ES_tradnl"/>
        </w:rPr>
        <w:t xml:space="preserve">Fracción XXIII, con un ICP de 76.09% en la cual está señalada la obligación de publicar las </w:t>
      </w:r>
      <w:r w:rsidRPr="00B92499">
        <w:rPr>
          <w:rFonts w:ascii="Arial" w:hAnsi="Arial" w:cs="Arial"/>
          <w:color w:val="000000"/>
          <w:sz w:val="24"/>
          <w:szCs w:val="24"/>
          <w:lang w:val="es-ES_tradnl"/>
        </w:rPr>
        <w:t>metas y objetivos de la dirección conforme al POA.</w:t>
      </w:r>
      <w:r w:rsidRPr="00B92499">
        <w:rPr>
          <w:rFonts w:ascii="Arial" w:hAnsi="Arial" w:cs="Arial"/>
          <w:sz w:val="24"/>
          <w:szCs w:val="24"/>
          <w:lang w:val="es-ES_tradnl"/>
        </w:rPr>
        <w:t xml:space="preserve"> El área de oportunidad de las alcaldías respecto de esta fracció</w:t>
      </w:r>
      <w:r w:rsidR="00735992" w:rsidRPr="00B92499">
        <w:rPr>
          <w:rFonts w:ascii="Arial" w:hAnsi="Arial" w:cs="Arial"/>
          <w:sz w:val="24"/>
          <w:szCs w:val="24"/>
          <w:lang w:val="es-ES_tradnl"/>
        </w:rPr>
        <w:t>n consiste en</w:t>
      </w:r>
      <w:r w:rsidRPr="00B92499">
        <w:rPr>
          <w:rFonts w:ascii="Arial" w:hAnsi="Arial" w:cs="Arial"/>
          <w:sz w:val="24"/>
          <w:szCs w:val="24"/>
          <w:lang w:val="es-ES_tradnl"/>
        </w:rPr>
        <w:t xml:space="preserve"> publicar el hipervínculo que dirija a la información de la fracción IV del artículo 121.</w:t>
      </w:r>
    </w:p>
    <w:p w14:paraId="00339DF8" w14:textId="52A4D3F3" w:rsidR="00B671B7" w:rsidRPr="00B92499" w:rsidRDefault="00B671B7" w:rsidP="009F64B5">
      <w:pPr>
        <w:pStyle w:val="Prrafodelista"/>
        <w:numPr>
          <w:ilvl w:val="0"/>
          <w:numId w:val="16"/>
        </w:numPr>
        <w:spacing w:before="100" w:beforeAutospacing="1" w:after="100" w:afterAutospacing="1" w:line="360" w:lineRule="auto"/>
        <w:jc w:val="both"/>
        <w:rPr>
          <w:rFonts w:ascii="Arial" w:hAnsi="Arial" w:cs="Arial"/>
          <w:sz w:val="24"/>
          <w:szCs w:val="24"/>
          <w:lang w:val="es-ES_tradnl"/>
        </w:rPr>
      </w:pPr>
      <w:r w:rsidRPr="00B92499">
        <w:rPr>
          <w:rFonts w:ascii="Arial" w:hAnsi="Arial" w:cs="Arial"/>
          <w:sz w:val="24"/>
          <w:szCs w:val="24"/>
          <w:lang w:val="es-ES_tradnl"/>
        </w:rPr>
        <w:t>Fracción XXXVI, con un ICP de 78.91</w:t>
      </w:r>
      <w:r w:rsidR="00AA2096" w:rsidRPr="00B92499">
        <w:rPr>
          <w:rFonts w:ascii="Arial" w:hAnsi="Arial" w:cs="Arial"/>
          <w:sz w:val="24"/>
          <w:szCs w:val="24"/>
          <w:lang w:val="es-ES_tradnl"/>
        </w:rPr>
        <w:t>%</w:t>
      </w:r>
      <w:r w:rsidRPr="00B92499">
        <w:rPr>
          <w:rFonts w:ascii="Arial" w:hAnsi="Arial" w:cs="Arial"/>
          <w:sz w:val="24"/>
          <w:szCs w:val="24"/>
          <w:lang w:val="es-ES_tradnl"/>
        </w:rPr>
        <w:t xml:space="preserve"> en la cual se mandata la publicación del </w:t>
      </w:r>
      <w:r w:rsidRPr="00B92499">
        <w:rPr>
          <w:rFonts w:ascii="Arial" w:hAnsi="Arial" w:cs="Arial"/>
          <w:color w:val="000000"/>
          <w:sz w:val="24"/>
          <w:szCs w:val="24"/>
          <w:lang w:val="es-ES_tradnl"/>
        </w:rPr>
        <w:t xml:space="preserve">inventario de bienes muebles. </w:t>
      </w:r>
      <w:r w:rsidRPr="00B92499">
        <w:rPr>
          <w:rFonts w:ascii="Arial" w:hAnsi="Arial" w:cs="Arial"/>
          <w:sz w:val="24"/>
          <w:szCs w:val="24"/>
          <w:lang w:val="es-ES_tradnl"/>
        </w:rPr>
        <w:t xml:space="preserve">El área de oportunidad de las alcaldías respecto de esta fracción es actualizar la información semestralmente en relación a los bienes muebles e inmuebles con los que cuente el </w:t>
      </w:r>
      <w:r w:rsidR="008710F6" w:rsidRPr="00B92499">
        <w:rPr>
          <w:rFonts w:ascii="Arial" w:hAnsi="Arial" w:cs="Arial"/>
          <w:sz w:val="24"/>
          <w:szCs w:val="24"/>
          <w:lang w:val="es-ES_tradnl"/>
        </w:rPr>
        <w:t>sujeto obligado</w:t>
      </w:r>
      <w:r w:rsidRPr="00B92499">
        <w:rPr>
          <w:rFonts w:ascii="Arial" w:hAnsi="Arial" w:cs="Arial"/>
          <w:sz w:val="24"/>
          <w:szCs w:val="24"/>
          <w:lang w:val="es-ES_tradnl"/>
        </w:rPr>
        <w:t>.</w:t>
      </w:r>
    </w:p>
    <w:p w14:paraId="573FF627" w14:textId="5A3FE469" w:rsidR="00B671B7" w:rsidRPr="00B92499" w:rsidRDefault="00B671B7" w:rsidP="009F64B5">
      <w:pPr>
        <w:pStyle w:val="Prrafodelista"/>
        <w:numPr>
          <w:ilvl w:val="0"/>
          <w:numId w:val="16"/>
        </w:numPr>
        <w:spacing w:before="100" w:beforeAutospacing="1" w:after="100" w:afterAutospacing="1" w:line="360" w:lineRule="auto"/>
        <w:jc w:val="both"/>
        <w:rPr>
          <w:rFonts w:ascii="Arial" w:hAnsi="Arial" w:cs="Arial"/>
          <w:sz w:val="24"/>
          <w:szCs w:val="24"/>
          <w:lang w:val="es-ES_tradnl"/>
        </w:rPr>
      </w:pPr>
      <w:r w:rsidRPr="00B92499">
        <w:rPr>
          <w:rFonts w:ascii="Arial" w:hAnsi="Arial" w:cs="Arial"/>
          <w:sz w:val="24"/>
          <w:szCs w:val="24"/>
          <w:lang w:val="es-ES_tradnl"/>
        </w:rPr>
        <w:t xml:space="preserve">Fracción XXVI, con un ICP de 79.11% en la cual se mandata la publicación de los </w:t>
      </w:r>
      <w:r w:rsidRPr="00B92499">
        <w:rPr>
          <w:rFonts w:ascii="Arial" w:hAnsi="Arial" w:cs="Arial"/>
          <w:color w:val="000000"/>
          <w:sz w:val="24"/>
          <w:szCs w:val="24"/>
          <w:lang w:val="es-ES_tradnl"/>
        </w:rPr>
        <w:t xml:space="preserve">informes de resultados de </w:t>
      </w:r>
      <w:r w:rsidR="00C7683E" w:rsidRPr="00B92499">
        <w:rPr>
          <w:rFonts w:ascii="Arial" w:hAnsi="Arial" w:cs="Arial"/>
          <w:color w:val="000000"/>
          <w:sz w:val="24"/>
          <w:szCs w:val="24"/>
          <w:lang w:val="es-ES_tradnl"/>
        </w:rPr>
        <w:t>auditorías</w:t>
      </w:r>
      <w:r w:rsidRPr="00B92499">
        <w:rPr>
          <w:rFonts w:ascii="Arial" w:hAnsi="Arial" w:cs="Arial"/>
          <w:sz w:val="24"/>
          <w:szCs w:val="24"/>
          <w:lang w:val="es-ES_tradnl"/>
        </w:rPr>
        <w:t>. El área de oportunidad de las alcaldías respecto de esta fracción es actualizar la información conforme indica la normatividad vigente.</w:t>
      </w:r>
    </w:p>
    <w:p w14:paraId="4BD325D0" w14:textId="77777777" w:rsidR="00B671B7" w:rsidRPr="00B92499" w:rsidRDefault="00B671B7" w:rsidP="009F64B5">
      <w:pPr>
        <w:pStyle w:val="Prrafodelista"/>
        <w:numPr>
          <w:ilvl w:val="0"/>
          <w:numId w:val="16"/>
        </w:numPr>
        <w:spacing w:before="100" w:beforeAutospacing="1" w:after="100" w:afterAutospacing="1" w:line="360" w:lineRule="auto"/>
        <w:jc w:val="both"/>
        <w:rPr>
          <w:rFonts w:ascii="Arial" w:hAnsi="Arial" w:cs="Arial"/>
          <w:sz w:val="24"/>
          <w:szCs w:val="24"/>
          <w:lang w:val="es-ES_tradnl"/>
        </w:rPr>
      </w:pPr>
      <w:r w:rsidRPr="00B92499">
        <w:rPr>
          <w:rFonts w:ascii="Arial" w:hAnsi="Arial" w:cs="Arial"/>
          <w:sz w:val="24"/>
          <w:szCs w:val="24"/>
          <w:lang w:val="es-ES_tradnl"/>
        </w:rPr>
        <w:t xml:space="preserve">Fracción XXVIII, con un ICP de 79.49% en la cual está señalada la obligación de publicar </w:t>
      </w:r>
      <w:r w:rsidRPr="00B92499">
        <w:rPr>
          <w:rFonts w:ascii="Arial" w:hAnsi="Arial" w:cs="Arial"/>
          <w:color w:val="000000"/>
          <w:sz w:val="24"/>
          <w:szCs w:val="24"/>
          <w:lang w:val="es-ES_tradnl"/>
        </w:rPr>
        <w:t>los montos, criterios, convocatoria y convocatorias de personas físicas y morales que reciban recursos públicos o realicen actos de autoridad</w:t>
      </w:r>
      <w:r w:rsidRPr="00B92499">
        <w:rPr>
          <w:rFonts w:ascii="Arial" w:hAnsi="Arial" w:cs="Arial"/>
          <w:sz w:val="24"/>
          <w:szCs w:val="24"/>
          <w:lang w:val="es-ES_tradnl"/>
        </w:rPr>
        <w:t>. El área de oportunidad de las alcaldías respecto de esta fracción es actualizar la información conforme indica la normatividad vigente.</w:t>
      </w:r>
    </w:p>
    <w:p w14:paraId="090DDDCD" w14:textId="117217EB" w:rsidR="00074700" w:rsidRPr="00B92499" w:rsidRDefault="00940CBA" w:rsidP="00074700">
      <w:pPr>
        <w:spacing w:before="100" w:beforeAutospacing="1" w:after="100" w:afterAutospacing="1" w:line="360" w:lineRule="auto"/>
        <w:contextualSpacing/>
        <w:jc w:val="both"/>
        <w:rPr>
          <w:rFonts w:ascii="Arial" w:hAnsi="Arial" w:cs="Arial"/>
        </w:rPr>
      </w:pPr>
      <w:r w:rsidRPr="00B92499">
        <w:rPr>
          <w:rFonts w:ascii="Arial" w:hAnsi="Arial" w:cs="Arial"/>
        </w:rPr>
        <w:t>De igual forma, las</w:t>
      </w:r>
      <w:r w:rsidR="000D67A7" w:rsidRPr="00B92499">
        <w:rPr>
          <w:rFonts w:ascii="Arial" w:hAnsi="Arial" w:cs="Arial"/>
        </w:rPr>
        <w:t xml:space="preserve"> 5</w:t>
      </w:r>
      <w:r w:rsidRPr="00B92499">
        <w:rPr>
          <w:rFonts w:ascii="Arial" w:hAnsi="Arial" w:cs="Arial"/>
        </w:rPr>
        <w:t xml:space="preserve"> fracciones con un ICP ubicadas en el rango de </w:t>
      </w:r>
      <w:r w:rsidR="00074700" w:rsidRPr="00B92499">
        <w:rPr>
          <w:rFonts w:ascii="Arial" w:hAnsi="Arial" w:cs="Arial"/>
        </w:rPr>
        <w:t>95% y 99.96</w:t>
      </w:r>
      <w:r w:rsidRPr="00B92499">
        <w:rPr>
          <w:rFonts w:ascii="Arial" w:hAnsi="Arial" w:cs="Arial"/>
        </w:rPr>
        <w:t>% son las que se detallan a continuación:</w:t>
      </w:r>
    </w:p>
    <w:p w14:paraId="7402B1A6" w14:textId="47C4101F" w:rsidR="00074700" w:rsidRPr="00B92499" w:rsidRDefault="00074700" w:rsidP="00074700">
      <w:pPr>
        <w:pStyle w:val="Prrafodelista"/>
        <w:numPr>
          <w:ilvl w:val="0"/>
          <w:numId w:val="3"/>
        </w:numPr>
        <w:spacing w:before="100" w:beforeAutospacing="1" w:after="100" w:afterAutospacing="1" w:line="360" w:lineRule="auto"/>
        <w:jc w:val="both"/>
        <w:rPr>
          <w:rFonts w:ascii="Arial" w:hAnsi="Arial" w:cs="Arial"/>
          <w:sz w:val="24"/>
          <w:szCs w:val="24"/>
          <w:lang w:val="es-ES_tradnl"/>
        </w:rPr>
      </w:pPr>
      <w:r w:rsidRPr="00B92499">
        <w:rPr>
          <w:rFonts w:ascii="Arial" w:hAnsi="Arial" w:cs="Arial"/>
          <w:sz w:val="24"/>
          <w:szCs w:val="24"/>
          <w:lang w:val="es-ES_tradnl"/>
        </w:rPr>
        <w:t>Fracción XVII, con un ICP de 95% en la cual</w:t>
      </w:r>
      <w:r w:rsidR="00773979" w:rsidRPr="00B92499">
        <w:rPr>
          <w:rFonts w:ascii="Arial" w:hAnsi="Arial" w:cs="Arial"/>
          <w:sz w:val="24"/>
          <w:szCs w:val="24"/>
          <w:lang w:val="es-ES_tradnl"/>
        </w:rPr>
        <w:t xml:space="preserve"> se mandata la publicación de los currículos de las personas servidoras públicas desde las jefaturas de departamento hasta el titular del </w:t>
      </w:r>
      <w:r w:rsidR="008710F6" w:rsidRPr="00B92499">
        <w:rPr>
          <w:rFonts w:ascii="Arial" w:hAnsi="Arial" w:cs="Arial"/>
          <w:sz w:val="24"/>
          <w:szCs w:val="24"/>
          <w:lang w:val="es-ES_tradnl"/>
        </w:rPr>
        <w:t>sujeto obligado</w:t>
      </w:r>
      <w:r w:rsidR="00773979" w:rsidRPr="00B92499">
        <w:rPr>
          <w:rFonts w:ascii="Arial" w:hAnsi="Arial" w:cs="Arial"/>
          <w:sz w:val="24"/>
          <w:szCs w:val="24"/>
          <w:lang w:val="es-ES_tradnl"/>
        </w:rPr>
        <w:t xml:space="preserve">. </w:t>
      </w:r>
    </w:p>
    <w:p w14:paraId="266625A4" w14:textId="77777777" w:rsidR="00074700" w:rsidRPr="00B92499" w:rsidRDefault="00074700" w:rsidP="00074700">
      <w:pPr>
        <w:pStyle w:val="Prrafodelista"/>
        <w:numPr>
          <w:ilvl w:val="0"/>
          <w:numId w:val="3"/>
        </w:numPr>
        <w:spacing w:before="100" w:beforeAutospacing="1" w:after="100" w:afterAutospacing="1" w:line="360" w:lineRule="auto"/>
        <w:jc w:val="both"/>
        <w:rPr>
          <w:rFonts w:ascii="Arial" w:hAnsi="Arial" w:cs="Arial"/>
          <w:sz w:val="24"/>
          <w:szCs w:val="24"/>
          <w:lang w:val="es-ES_tradnl"/>
        </w:rPr>
      </w:pPr>
      <w:r w:rsidRPr="00B92499">
        <w:rPr>
          <w:rFonts w:ascii="Arial" w:hAnsi="Arial" w:cs="Arial"/>
          <w:sz w:val="24"/>
          <w:szCs w:val="24"/>
          <w:lang w:val="es-ES_tradnl"/>
        </w:rPr>
        <w:t>Fracción XX, con un ICP de 95.14% en la cual</w:t>
      </w:r>
      <w:r w:rsidR="00773979" w:rsidRPr="00B92499">
        <w:rPr>
          <w:rFonts w:ascii="Arial" w:hAnsi="Arial" w:cs="Arial"/>
          <w:sz w:val="24"/>
          <w:szCs w:val="24"/>
          <w:lang w:val="es-ES_tradnl"/>
        </w:rPr>
        <w:t xml:space="preserve"> es señalada la obligación de publicar los trámites que se ofrecen y los requisitos para los mismos. </w:t>
      </w:r>
    </w:p>
    <w:p w14:paraId="37BED3A1" w14:textId="77777777" w:rsidR="00074700" w:rsidRPr="00B92499" w:rsidRDefault="00074700" w:rsidP="00074700">
      <w:pPr>
        <w:pStyle w:val="Prrafodelista"/>
        <w:numPr>
          <w:ilvl w:val="0"/>
          <w:numId w:val="3"/>
        </w:numPr>
        <w:spacing w:before="100" w:beforeAutospacing="1" w:after="100" w:afterAutospacing="1" w:line="360" w:lineRule="auto"/>
        <w:jc w:val="both"/>
        <w:rPr>
          <w:rFonts w:ascii="Arial" w:hAnsi="Arial" w:cs="Arial"/>
          <w:sz w:val="24"/>
          <w:szCs w:val="24"/>
          <w:lang w:val="es-ES_tradnl"/>
        </w:rPr>
      </w:pPr>
      <w:r w:rsidRPr="00B92499">
        <w:rPr>
          <w:rFonts w:ascii="Arial" w:hAnsi="Arial" w:cs="Arial"/>
          <w:sz w:val="24"/>
          <w:szCs w:val="24"/>
          <w:lang w:val="es-ES_tradnl"/>
        </w:rPr>
        <w:lastRenderedPageBreak/>
        <w:t>Fracción XIX, con un ICP de 95.96% en la cual</w:t>
      </w:r>
      <w:r w:rsidR="00773979" w:rsidRPr="00B92499">
        <w:rPr>
          <w:rFonts w:ascii="Arial" w:hAnsi="Arial" w:cs="Arial"/>
          <w:sz w:val="24"/>
          <w:szCs w:val="24"/>
          <w:lang w:val="es-ES_tradnl"/>
        </w:rPr>
        <w:t xml:space="preserve"> se mandata la publicación de los servicios que ofrecen y requisitos para acceder a ellos. </w:t>
      </w:r>
    </w:p>
    <w:p w14:paraId="2EC9932B" w14:textId="77777777" w:rsidR="00074700" w:rsidRPr="00B92499" w:rsidRDefault="00074700" w:rsidP="00074700">
      <w:pPr>
        <w:pStyle w:val="Prrafodelista"/>
        <w:numPr>
          <w:ilvl w:val="0"/>
          <w:numId w:val="3"/>
        </w:numPr>
        <w:spacing w:before="100" w:beforeAutospacing="1" w:after="100" w:afterAutospacing="1" w:line="360" w:lineRule="auto"/>
        <w:jc w:val="both"/>
        <w:rPr>
          <w:rFonts w:ascii="Arial" w:hAnsi="Arial" w:cs="Arial"/>
          <w:sz w:val="24"/>
          <w:szCs w:val="24"/>
          <w:lang w:val="es-ES_tradnl"/>
        </w:rPr>
      </w:pPr>
      <w:r w:rsidRPr="00B92499">
        <w:rPr>
          <w:rFonts w:ascii="Arial" w:hAnsi="Arial" w:cs="Arial"/>
          <w:sz w:val="24"/>
          <w:szCs w:val="24"/>
          <w:lang w:val="es-ES_tradnl"/>
        </w:rPr>
        <w:t>Fracción LI, con un ICP de 98.59% en la cua</w:t>
      </w:r>
      <w:r w:rsidR="00773979" w:rsidRPr="00B92499">
        <w:rPr>
          <w:rFonts w:ascii="Arial" w:hAnsi="Arial" w:cs="Arial"/>
          <w:sz w:val="24"/>
          <w:szCs w:val="24"/>
          <w:lang w:val="es-ES_tradnl"/>
        </w:rPr>
        <w:t>l es señalada la obligación de publicar un listado de solicitudes a las empresas concesionarias de telecomunicaciones y proveedoras de servicios de internet para la intervención de comunicaciones y la geolocalización.</w:t>
      </w:r>
    </w:p>
    <w:p w14:paraId="061F9DA2" w14:textId="77777777" w:rsidR="00D2376D" w:rsidRPr="00B92499" w:rsidRDefault="00074700" w:rsidP="00074700">
      <w:pPr>
        <w:pStyle w:val="Prrafodelista"/>
        <w:numPr>
          <w:ilvl w:val="0"/>
          <w:numId w:val="3"/>
        </w:numPr>
        <w:spacing w:before="100" w:beforeAutospacing="1" w:after="100" w:afterAutospacing="1" w:line="360" w:lineRule="auto"/>
        <w:jc w:val="both"/>
        <w:rPr>
          <w:rFonts w:ascii="Arial" w:hAnsi="Arial" w:cs="Arial"/>
          <w:sz w:val="24"/>
          <w:szCs w:val="24"/>
          <w:lang w:val="es-ES_tradnl"/>
        </w:rPr>
      </w:pPr>
      <w:r w:rsidRPr="00B92499">
        <w:rPr>
          <w:rFonts w:ascii="Arial" w:hAnsi="Arial" w:cs="Arial"/>
          <w:sz w:val="24"/>
          <w:szCs w:val="24"/>
          <w:lang w:val="es-ES_tradnl"/>
        </w:rPr>
        <w:t>Fracción XIV, con un ICP de 99.96% en la cual</w:t>
      </w:r>
      <w:r w:rsidR="00773979" w:rsidRPr="00B92499">
        <w:rPr>
          <w:rFonts w:ascii="Arial" w:hAnsi="Arial" w:cs="Arial"/>
          <w:sz w:val="24"/>
          <w:szCs w:val="24"/>
          <w:lang w:val="es-ES_tradnl"/>
        </w:rPr>
        <w:t xml:space="preserve"> se mandata la publicación del domicilio de la Unidad de Transparencia. </w:t>
      </w:r>
    </w:p>
    <w:p w14:paraId="05EF0E7F" w14:textId="13A1338E" w:rsidR="00074700" w:rsidRPr="00B92499" w:rsidRDefault="00735992" w:rsidP="00074700">
      <w:pPr>
        <w:spacing w:before="100" w:beforeAutospacing="1" w:after="100" w:afterAutospacing="1" w:line="360" w:lineRule="auto"/>
        <w:jc w:val="both"/>
        <w:rPr>
          <w:rFonts w:ascii="Arial" w:hAnsi="Arial" w:cs="Arial"/>
        </w:rPr>
      </w:pPr>
      <w:r w:rsidRPr="00B92499">
        <w:rPr>
          <w:rFonts w:ascii="Arial" w:hAnsi="Arial" w:cs="Arial"/>
        </w:rPr>
        <w:t>Con el objetivo de mostrar con mayor detalle el ICP de cada fracción del artículo 121 es presentada la siguiente tabla ordenada de forma descendente.</w:t>
      </w:r>
    </w:p>
    <w:tbl>
      <w:tblPr>
        <w:tblW w:w="8926" w:type="dxa"/>
        <w:tblCellMar>
          <w:left w:w="70" w:type="dxa"/>
          <w:right w:w="70" w:type="dxa"/>
        </w:tblCellMar>
        <w:tblLook w:val="04A0" w:firstRow="1" w:lastRow="0" w:firstColumn="1" w:lastColumn="0" w:noHBand="0" w:noVBand="1"/>
      </w:tblPr>
      <w:tblGrid>
        <w:gridCol w:w="974"/>
        <w:gridCol w:w="7101"/>
        <w:gridCol w:w="852"/>
      </w:tblGrid>
      <w:tr w:rsidR="00074700" w:rsidRPr="00B92499" w14:paraId="429ACF89" w14:textId="77777777" w:rsidTr="00773979">
        <w:trPr>
          <w:trHeight w:val="20"/>
          <w:tblHeader/>
        </w:trPr>
        <w:tc>
          <w:tcPr>
            <w:tcW w:w="8926" w:type="dxa"/>
            <w:gridSpan w:val="3"/>
            <w:tcBorders>
              <w:top w:val="single" w:sz="4" w:space="0" w:color="auto"/>
              <w:left w:val="single" w:sz="4" w:space="0" w:color="auto"/>
              <w:bottom w:val="single" w:sz="4" w:space="0" w:color="auto"/>
              <w:right w:val="single" w:sz="4" w:space="0" w:color="auto"/>
            </w:tcBorders>
            <w:shd w:val="clear" w:color="auto" w:fill="00B0F0"/>
            <w:noWrap/>
            <w:vAlign w:val="center"/>
            <w:hideMark/>
          </w:tcPr>
          <w:p w14:paraId="3F0BCBEB" w14:textId="20DA9F76" w:rsidR="00074700" w:rsidRPr="00B92499" w:rsidRDefault="00074700" w:rsidP="00074700">
            <w:pPr>
              <w:jc w:val="center"/>
              <w:rPr>
                <w:rFonts w:ascii="Arial" w:hAnsi="Arial" w:cs="Arial"/>
                <w:b/>
                <w:bCs/>
                <w:color w:val="000000"/>
                <w:sz w:val="20"/>
                <w:szCs w:val="20"/>
              </w:rPr>
            </w:pPr>
            <w:r w:rsidRPr="00B92499">
              <w:rPr>
                <w:rFonts w:ascii="Arial" w:hAnsi="Arial" w:cs="Arial"/>
                <w:b/>
                <w:bCs/>
                <w:color w:val="000000"/>
                <w:sz w:val="20"/>
                <w:szCs w:val="20"/>
              </w:rPr>
              <w:t xml:space="preserve">Artículo 121 de las </w:t>
            </w:r>
            <w:r w:rsidR="008710F6" w:rsidRPr="00B92499">
              <w:rPr>
                <w:rFonts w:ascii="Arial" w:hAnsi="Arial" w:cs="Arial"/>
                <w:b/>
                <w:bCs/>
                <w:color w:val="000000"/>
                <w:sz w:val="20"/>
                <w:szCs w:val="20"/>
              </w:rPr>
              <w:t>obligaciones de transparencia</w:t>
            </w:r>
            <w:r w:rsidRPr="00B92499">
              <w:rPr>
                <w:rFonts w:ascii="Arial" w:hAnsi="Arial" w:cs="Arial"/>
                <w:b/>
                <w:bCs/>
                <w:color w:val="000000"/>
                <w:sz w:val="20"/>
                <w:szCs w:val="20"/>
              </w:rPr>
              <w:t xml:space="preserve"> comunes</w:t>
            </w:r>
          </w:p>
        </w:tc>
      </w:tr>
      <w:tr w:rsidR="00074700" w:rsidRPr="00B92499" w14:paraId="4096728A" w14:textId="77777777" w:rsidTr="00773979">
        <w:trPr>
          <w:trHeight w:val="20"/>
          <w:tblHeader/>
        </w:trPr>
        <w:tc>
          <w:tcPr>
            <w:tcW w:w="0" w:type="auto"/>
            <w:tcBorders>
              <w:top w:val="nil"/>
              <w:left w:val="single" w:sz="4" w:space="0" w:color="auto"/>
              <w:bottom w:val="single" w:sz="4" w:space="0" w:color="auto"/>
              <w:right w:val="single" w:sz="4" w:space="0" w:color="auto"/>
            </w:tcBorders>
            <w:shd w:val="clear" w:color="auto" w:fill="00B0F0"/>
            <w:noWrap/>
            <w:vAlign w:val="center"/>
            <w:hideMark/>
          </w:tcPr>
          <w:p w14:paraId="48189A74" w14:textId="77777777" w:rsidR="00074700" w:rsidRPr="00B92499" w:rsidRDefault="00074700" w:rsidP="00074700">
            <w:pPr>
              <w:jc w:val="center"/>
              <w:rPr>
                <w:rFonts w:ascii="Arial" w:hAnsi="Arial" w:cs="Arial"/>
                <w:b/>
                <w:bCs/>
                <w:color w:val="000000"/>
                <w:sz w:val="20"/>
                <w:szCs w:val="20"/>
              </w:rPr>
            </w:pPr>
            <w:r w:rsidRPr="00B92499">
              <w:rPr>
                <w:rFonts w:ascii="Arial" w:hAnsi="Arial" w:cs="Arial"/>
                <w:b/>
                <w:bCs/>
                <w:color w:val="000000"/>
                <w:sz w:val="20"/>
                <w:szCs w:val="20"/>
              </w:rPr>
              <w:t>Fracción</w:t>
            </w:r>
          </w:p>
        </w:tc>
        <w:tc>
          <w:tcPr>
            <w:tcW w:w="0" w:type="auto"/>
            <w:tcBorders>
              <w:top w:val="nil"/>
              <w:left w:val="nil"/>
              <w:bottom w:val="single" w:sz="4" w:space="0" w:color="auto"/>
              <w:right w:val="single" w:sz="4" w:space="0" w:color="auto"/>
            </w:tcBorders>
            <w:shd w:val="clear" w:color="auto" w:fill="00B0F0"/>
            <w:noWrap/>
            <w:vAlign w:val="center"/>
            <w:hideMark/>
          </w:tcPr>
          <w:p w14:paraId="72EA2C41" w14:textId="77777777" w:rsidR="00074700" w:rsidRPr="00B92499" w:rsidRDefault="00074700" w:rsidP="00074700">
            <w:pPr>
              <w:jc w:val="center"/>
              <w:rPr>
                <w:rFonts w:ascii="Arial" w:hAnsi="Arial" w:cs="Arial"/>
                <w:b/>
                <w:bCs/>
                <w:color w:val="000000"/>
                <w:sz w:val="20"/>
                <w:szCs w:val="20"/>
              </w:rPr>
            </w:pPr>
            <w:r w:rsidRPr="00B92499">
              <w:rPr>
                <w:rFonts w:ascii="Arial" w:hAnsi="Arial" w:cs="Arial"/>
                <w:b/>
                <w:bCs/>
                <w:color w:val="000000"/>
                <w:sz w:val="20"/>
                <w:szCs w:val="20"/>
              </w:rPr>
              <w:t>Resumen de la Fracción</w:t>
            </w:r>
          </w:p>
        </w:tc>
        <w:tc>
          <w:tcPr>
            <w:tcW w:w="1234" w:type="dxa"/>
            <w:tcBorders>
              <w:top w:val="nil"/>
              <w:left w:val="nil"/>
              <w:bottom w:val="single" w:sz="4" w:space="0" w:color="auto"/>
              <w:right w:val="single" w:sz="4" w:space="0" w:color="auto"/>
            </w:tcBorders>
            <w:shd w:val="clear" w:color="auto" w:fill="00B0F0"/>
            <w:vAlign w:val="center"/>
            <w:hideMark/>
          </w:tcPr>
          <w:p w14:paraId="1CB0AAD5" w14:textId="77777777" w:rsidR="00074700" w:rsidRPr="00B92499" w:rsidRDefault="004C25C5" w:rsidP="00074700">
            <w:pPr>
              <w:jc w:val="center"/>
              <w:rPr>
                <w:rFonts w:ascii="Arial" w:hAnsi="Arial" w:cs="Arial"/>
                <w:b/>
                <w:bCs/>
                <w:color w:val="000000"/>
                <w:sz w:val="20"/>
                <w:szCs w:val="20"/>
              </w:rPr>
            </w:pPr>
            <w:r w:rsidRPr="00B92499">
              <w:rPr>
                <w:rFonts w:ascii="Arial" w:hAnsi="Arial" w:cs="Arial"/>
                <w:b/>
                <w:bCs/>
                <w:color w:val="000000"/>
                <w:sz w:val="20"/>
                <w:szCs w:val="20"/>
              </w:rPr>
              <w:t>ICP</w:t>
            </w:r>
          </w:p>
        </w:tc>
      </w:tr>
      <w:tr w:rsidR="00074700" w:rsidRPr="00B92499" w14:paraId="09380994" w14:textId="77777777" w:rsidTr="00773979">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6B4E4B5" w14:textId="77777777" w:rsidR="00074700" w:rsidRPr="00B92499" w:rsidRDefault="00074700" w:rsidP="00074700">
            <w:pPr>
              <w:jc w:val="center"/>
              <w:rPr>
                <w:rFonts w:ascii="Arial" w:hAnsi="Arial" w:cs="Arial"/>
                <w:color w:val="000000"/>
                <w:sz w:val="20"/>
                <w:szCs w:val="20"/>
              </w:rPr>
            </w:pPr>
            <w:r w:rsidRPr="00B92499">
              <w:rPr>
                <w:rFonts w:ascii="Arial" w:hAnsi="Arial" w:cs="Arial"/>
                <w:color w:val="000000"/>
                <w:sz w:val="20"/>
                <w:szCs w:val="20"/>
              </w:rPr>
              <w:t>XIV</w:t>
            </w:r>
          </w:p>
        </w:tc>
        <w:tc>
          <w:tcPr>
            <w:tcW w:w="0" w:type="auto"/>
            <w:tcBorders>
              <w:top w:val="nil"/>
              <w:left w:val="nil"/>
              <w:bottom w:val="single" w:sz="4" w:space="0" w:color="auto"/>
              <w:right w:val="single" w:sz="4" w:space="0" w:color="auto"/>
            </w:tcBorders>
            <w:shd w:val="clear" w:color="auto" w:fill="auto"/>
            <w:vAlign w:val="center"/>
            <w:hideMark/>
          </w:tcPr>
          <w:p w14:paraId="44B6E605" w14:textId="77777777" w:rsidR="00074700" w:rsidRPr="00B92499" w:rsidRDefault="00074700" w:rsidP="00773979">
            <w:pPr>
              <w:rPr>
                <w:rFonts w:ascii="Arial" w:hAnsi="Arial" w:cs="Arial"/>
                <w:color w:val="000000"/>
                <w:sz w:val="20"/>
                <w:szCs w:val="20"/>
              </w:rPr>
            </w:pPr>
            <w:r w:rsidRPr="00B92499">
              <w:rPr>
                <w:rFonts w:ascii="Arial" w:hAnsi="Arial" w:cs="Arial"/>
                <w:color w:val="000000"/>
                <w:sz w:val="20"/>
                <w:szCs w:val="20"/>
              </w:rPr>
              <w:t>Domicilio de la Unidad de Transparencia.</w:t>
            </w:r>
          </w:p>
        </w:tc>
        <w:tc>
          <w:tcPr>
            <w:tcW w:w="1234" w:type="dxa"/>
            <w:tcBorders>
              <w:top w:val="nil"/>
              <w:left w:val="nil"/>
              <w:bottom w:val="single" w:sz="4" w:space="0" w:color="auto"/>
              <w:right w:val="single" w:sz="4" w:space="0" w:color="auto"/>
            </w:tcBorders>
            <w:shd w:val="clear" w:color="auto" w:fill="auto"/>
            <w:vAlign w:val="center"/>
            <w:hideMark/>
          </w:tcPr>
          <w:p w14:paraId="37A327BB" w14:textId="77777777" w:rsidR="00074700" w:rsidRPr="00B92499" w:rsidRDefault="00074700" w:rsidP="00074700">
            <w:pPr>
              <w:jc w:val="center"/>
              <w:rPr>
                <w:rFonts w:ascii="Arial" w:hAnsi="Arial" w:cs="Arial"/>
                <w:color w:val="000000"/>
                <w:sz w:val="20"/>
                <w:szCs w:val="20"/>
              </w:rPr>
            </w:pPr>
            <w:r w:rsidRPr="00B92499">
              <w:rPr>
                <w:rFonts w:ascii="Arial" w:hAnsi="Arial" w:cs="Arial"/>
                <w:color w:val="000000"/>
                <w:sz w:val="20"/>
                <w:szCs w:val="20"/>
              </w:rPr>
              <w:t>99.96</w:t>
            </w:r>
          </w:p>
        </w:tc>
      </w:tr>
      <w:tr w:rsidR="00074700" w:rsidRPr="00B92499" w14:paraId="151D4E72" w14:textId="77777777" w:rsidTr="00773979">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5D421AC" w14:textId="77777777" w:rsidR="00074700" w:rsidRPr="00B92499" w:rsidRDefault="00074700" w:rsidP="00074700">
            <w:pPr>
              <w:jc w:val="center"/>
              <w:rPr>
                <w:rFonts w:ascii="Arial" w:hAnsi="Arial" w:cs="Arial"/>
                <w:color w:val="000000"/>
                <w:sz w:val="20"/>
                <w:szCs w:val="20"/>
              </w:rPr>
            </w:pPr>
            <w:r w:rsidRPr="00B92499">
              <w:rPr>
                <w:rFonts w:ascii="Arial" w:hAnsi="Arial" w:cs="Arial"/>
                <w:color w:val="000000"/>
                <w:sz w:val="20"/>
                <w:szCs w:val="20"/>
              </w:rPr>
              <w:t>LI</w:t>
            </w:r>
          </w:p>
        </w:tc>
        <w:tc>
          <w:tcPr>
            <w:tcW w:w="0" w:type="auto"/>
            <w:tcBorders>
              <w:top w:val="nil"/>
              <w:left w:val="nil"/>
              <w:bottom w:val="single" w:sz="4" w:space="0" w:color="auto"/>
              <w:right w:val="single" w:sz="4" w:space="0" w:color="auto"/>
            </w:tcBorders>
            <w:shd w:val="clear" w:color="auto" w:fill="auto"/>
            <w:vAlign w:val="center"/>
            <w:hideMark/>
          </w:tcPr>
          <w:p w14:paraId="761C9215" w14:textId="77777777" w:rsidR="00074700" w:rsidRPr="00B92499" w:rsidRDefault="00074700" w:rsidP="00773979">
            <w:pPr>
              <w:rPr>
                <w:rFonts w:ascii="Arial" w:hAnsi="Arial" w:cs="Arial"/>
                <w:color w:val="000000"/>
                <w:sz w:val="20"/>
                <w:szCs w:val="20"/>
              </w:rPr>
            </w:pPr>
            <w:r w:rsidRPr="00B92499">
              <w:rPr>
                <w:rFonts w:ascii="Arial" w:hAnsi="Arial" w:cs="Arial"/>
                <w:color w:val="000000"/>
                <w:sz w:val="20"/>
                <w:szCs w:val="20"/>
              </w:rPr>
              <w:t>Listado de solicitudes a las empresas concesionarias de telecomunicaciones y proveedores de servicios de internet para la intervención de comunicaciones y la geolocalización.</w:t>
            </w:r>
          </w:p>
        </w:tc>
        <w:tc>
          <w:tcPr>
            <w:tcW w:w="1234" w:type="dxa"/>
            <w:tcBorders>
              <w:top w:val="nil"/>
              <w:left w:val="nil"/>
              <w:bottom w:val="single" w:sz="4" w:space="0" w:color="auto"/>
              <w:right w:val="single" w:sz="4" w:space="0" w:color="auto"/>
            </w:tcBorders>
            <w:shd w:val="clear" w:color="auto" w:fill="auto"/>
            <w:vAlign w:val="center"/>
            <w:hideMark/>
          </w:tcPr>
          <w:p w14:paraId="411D1E39" w14:textId="77777777" w:rsidR="00074700" w:rsidRPr="00B92499" w:rsidRDefault="00074700" w:rsidP="00074700">
            <w:pPr>
              <w:jc w:val="center"/>
              <w:rPr>
                <w:rFonts w:ascii="Arial" w:hAnsi="Arial" w:cs="Arial"/>
                <w:color w:val="000000"/>
                <w:sz w:val="20"/>
                <w:szCs w:val="20"/>
              </w:rPr>
            </w:pPr>
            <w:r w:rsidRPr="00B92499">
              <w:rPr>
                <w:rFonts w:ascii="Arial" w:hAnsi="Arial" w:cs="Arial"/>
                <w:color w:val="000000"/>
                <w:sz w:val="20"/>
                <w:szCs w:val="20"/>
              </w:rPr>
              <w:t>98.59</w:t>
            </w:r>
          </w:p>
        </w:tc>
      </w:tr>
      <w:tr w:rsidR="00074700" w:rsidRPr="00B92499" w14:paraId="36683E2F" w14:textId="77777777" w:rsidTr="00773979">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05727CF" w14:textId="77777777" w:rsidR="00074700" w:rsidRPr="00B92499" w:rsidRDefault="00074700" w:rsidP="00074700">
            <w:pPr>
              <w:jc w:val="center"/>
              <w:rPr>
                <w:rFonts w:ascii="Arial" w:hAnsi="Arial" w:cs="Arial"/>
                <w:color w:val="000000"/>
                <w:sz w:val="20"/>
                <w:szCs w:val="20"/>
              </w:rPr>
            </w:pPr>
            <w:r w:rsidRPr="00B92499">
              <w:rPr>
                <w:rFonts w:ascii="Arial" w:hAnsi="Arial" w:cs="Arial"/>
                <w:color w:val="000000"/>
                <w:sz w:val="20"/>
                <w:szCs w:val="20"/>
              </w:rPr>
              <w:t>XIX</w:t>
            </w:r>
          </w:p>
        </w:tc>
        <w:tc>
          <w:tcPr>
            <w:tcW w:w="0" w:type="auto"/>
            <w:tcBorders>
              <w:top w:val="nil"/>
              <w:left w:val="nil"/>
              <w:bottom w:val="single" w:sz="4" w:space="0" w:color="auto"/>
              <w:right w:val="single" w:sz="4" w:space="0" w:color="auto"/>
            </w:tcBorders>
            <w:shd w:val="clear" w:color="auto" w:fill="auto"/>
            <w:vAlign w:val="center"/>
            <w:hideMark/>
          </w:tcPr>
          <w:p w14:paraId="4A9EF31C" w14:textId="77777777" w:rsidR="00074700" w:rsidRPr="00B92499" w:rsidRDefault="00074700" w:rsidP="00773979">
            <w:pPr>
              <w:rPr>
                <w:rFonts w:ascii="Arial" w:hAnsi="Arial" w:cs="Arial"/>
                <w:color w:val="000000"/>
                <w:sz w:val="20"/>
                <w:szCs w:val="20"/>
              </w:rPr>
            </w:pPr>
            <w:r w:rsidRPr="00B92499">
              <w:rPr>
                <w:rFonts w:ascii="Arial" w:hAnsi="Arial" w:cs="Arial"/>
                <w:color w:val="000000"/>
                <w:sz w:val="20"/>
                <w:szCs w:val="20"/>
              </w:rPr>
              <w:t>Servicios que ofrecen y requisitos para acceder a ellos.</w:t>
            </w:r>
          </w:p>
        </w:tc>
        <w:tc>
          <w:tcPr>
            <w:tcW w:w="1234" w:type="dxa"/>
            <w:tcBorders>
              <w:top w:val="nil"/>
              <w:left w:val="nil"/>
              <w:bottom w:val="single" w:sz="4" w:space="0" w:color="auto"/>
              <w:right w:val="single" w:sz="4" w:space="0" w:color="auto"/>
            </w:tcBorders>
            <w:shd w:val="clear" w:color="auto" w:fill="auto"/>
            <w:vAlign w:val="center"/>
            <w:hideMark/>
          </w:tcPr>
          <w:p w14:paraId="4EE15AE1" w14:textId="77777777" w:rsidR="00074700" w:rsidRPr="00B92499" w:rsidRDefault="00074700" w:rsidP="00074700">
            <w:pPr>
              <w:jc w:val="center"/>
              <w:rPr>
                <w:rFonts w:ascii="Arial" w:hAnsi="Arial" w:cs="Arial"/>
                <w:color w:val="000000"/>
                <w:sz w:val="20"/>
                <w:szCs w:val="20"/>
              </w:rPr>
            </w:pPr>
            <w:r w:rsidRPr="00B92499">
              <w:rPr>
                <w:rFonts w:ascii="Arial" w:hAnsi="Arial" w:cs="Arial"/>
                <w:color w:val="000000"/>
                <w:sz w:val="20"/>
                <w:szCs w:val="20"/>
              </w:rPr>
              <w:t>95.96</w:t>
            </w:r>
          </w:p>
        </w:tc>
      </w:tr>
      <w:tr w:rsidR="00074700" w:rsidRPr="00B92499" w14:paraId="3DE773F5" w14:textId="77777777" w:rsidTr="00773979">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8265FBF" w14:textId="77777777" w:rsidR="00074700" w:rsidRPr="00B92499" w:rsidRDefault="00074700" w:rsidP="00074700">
            <w:pPr>
              <w:jc w:val="center"/>
              <w:rPr>
                <w:rFonts w:ascii="Arial" w:hAnsi="Arial" w:cs="Arial"/>
                <w:color w:val="000000"/>
                <w:sz w:val="20"/>
                <w:szCs w:val="20"/>
              </w:rPr>
            </w:pPr>
            <w:r w:rsidRPr="00B92499">
              <w:rPr>
                <w:rFonts w:ascii="Arial" w:hAnsi="Arial" w:cs="Arial"/>
                <w:color w:val="000000"/>
                <w:sz w:val="20"/>
                <w:szCs w:val="20"/>
              </w:rPr>
              <w:t>XX</w:t>
            </w:r>
          </w:p>
        </w:tc>
        <w:tc>
          <w:tcPr>
            <w:tcW w:w="0" w:type="auto"/>
            <w:tcBorders>
              <w:top w:val="nil"/>
              <w:left w:val="nil"/>
              <w:bottom w:val="single" w:sz="4" w:space="0" w:color="auto"/>
              <w:right w:val="single" w:sz="4" w:space="0" w:color="auto"/>
            </w:tcBorders>
            <w:shd w:val="clear" w:color="auto" w:fill="auto"/>
            <w:vAlign w:val="center"/>
            <w:hideMark/>
          </w:tcPr>
          <w:p w14:paraId="533417F3" w14:textId="77777777" w:rsidR="00074700" w:rsidRPr="00B92499" w:rsidRDefault="00074700" w:rsidP="00773979">
            <w:pPr>
              <w:rPr>
                <w:rFonts w:ascii="Arial" w:hAnsi="Arial" w:cs="Arial"/>
                <w:color w:val="000000"/>
                <w:sz w:val="20"/>
                <w:szCs w:val="20"/>
              </w:rPr>
            </w:pPr>
            <w:r w:rsidRPr="00B92499">
              <w:rPr>
                <w:rFonts w:ascii="Arial" w:hAnsi="Arial" w:cs="Arial"/>
                <w:color w:val="000000"/>
                <w:sz w:val="20"/>
                <w:szCs w:val="20"/>
              </w:rPr>
              <w:t>Trámites que ofrecen y requisitos.</w:t>
            </w:r>
          </w:p>
        </w:tc>
        <w:tc>
          <w:tcPr>
            <w:tcW w:w="1234" w:type="dxa"/>
            <w:tcBorders>
              <w:top w:val="nil"/>
              <w:left w:val="nil"/>
              <w:bottom w:val="single" w:sz="4" w:space="0" w:color="auto"/>
              <w:right w:val="single" w:sz="4" w:space="0" w:color="auto"/>
            </w:tcBorders>
            <w:shd w:val="clear" w:color="auto" w:fill="auto"/>
            <w:vAlign w:val="center"/>
            <w:hideMark/>
          </w:tcPr>
          <w:p w14:paraId="10879EE5" w14:textId="77777777" w:rsidR="00074700" w:rsidRPr="00B92499" w:rsidRDefault="00074700" w:rsidP="00074700">
            <w:pPr>
              <w:jc w:val="center"/>
              <w:rPr>
                <w:rFonts w:ascii="Arial" w:hAnsi="Arial" w:cs="Arial"/>
                <w:color w:val="000000"/>
                <w:sz w:val="20"/>
                <w:szCs w:val="20"/>
              </w:rPr>
            </w:pPr>
            <w:r w:rsidRPr="00B92499">
              <w:rPr>
                <w:rFonts w:ascii="Arial" w:hAnsi="Arial" w:cs="Arial"/>
                <w:color w:val="000000"/>
                <w:sz w:val="20"/>
                <w:szCs w:val="20"/>
              </w:rPr>
              <w:t>95.14</w:t>
            </w:r>
          </w:p>
        </w:tc>
      </w:tr>
      <w:tr w:rsidR="00074700" w:rsidRPr="00B92499" w14:paraId="2EF862EE" w14:textId="77777777" w:rsidTr="00773979">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35863C1" w14:textId="77777777" w:rsidR="00074700" w:rsidRPr="00B92499" w:rsidRDefault="00074700" w:rsidP="00074700">
            <w:pPr>
              <w:jc w:val="center"/>
              <w:rPr>
                <w:rFonts w:ascii="Arial" w:hAnsi="Arial" w:cs="Arial"/>
                <w:color w:val="000000"/>
                <w:sz w:val="20"/>
                <w:szCs w:val="20"/>
              </w:rPr>
            </w:pPr>
            <w:r w:rsidRPr="00B92499">
              <w:rPr>
                <w:rFonts w:ascii="Arial" w:hAnsi="Arial" w:cs="Arial"/>
                <w:color w:val="000000"/>
                <w:sz w:val="20"/>
                <w:szCs w:val="20"/>
              </w:rPr>
              <w:t>XVII</w:t>
            </w:r>
          </w:p>
        </w:tc>
        <w:tc>
          <w:tcPr>
            <w:tcW w:w="0" w:type="auto"/>
            <w:tcBorders>
              <w:top w:val="nil"/>
              <w:left w:val="nil"/>
              <w:bottom w:val="single" w:sz="4" w:space="0" w:color="auto"/>
              <w:right w:val="single" w:sz="4" w:space="0" w:color="auto"/>
            </w:tcBorders>
            <w:shd w:val="clear" w:color="auto" w:fill="auto"/>
            <w:vAlign w:val="center"/>
            <w:hideMark/>
          </w:tcPr>
          <w:p w14:paraId="20F7D694" w14:textId="77777777" w:rsidR="00074700" w:rsidRPr="00B92499" w:rsidRDefault="00074700" w:rsidP="00773979">
            <w:pPr>
              <w:rPr>
                <w:rFonts w:ascii="Arial" w:hAnsi="Arial" w:cs="Arial"/>
                <w:color w:val="000000"/>
                <w:sz w:val="20"/>
                <w:szCs w:val="20"/>
              </w:rPr>
            </w:pPr>
            <w:r w:rsidRPr="00B92499">
              <w:rPr>
                <w:rFonts w:ascii="Arial" w:hAnsi="Arial" w:cs="Arial"/>
                <w:color w:val="000000"/>
                <w:sz w:val="20"/>
                <w:szCs w:val="20"/>
              </w:rPr>
              <w:t>CV de jefe de departamento para arriba.</w:t>
            </w:r>
          </w:p>
        </w:tc>
        <w:tc>
          <w:tcPr>
            <w:tcW w:w="1234" w:type="dxa"/>
            <w:tcBorders>
              <w:top w:val="nil"/>
              <w:left w:val="nil"/>
              <w:bottom w:val="single" w:sz="4" w:space="0" w:color="auto"/>
              <w:right w:val="single" w:sz="4" w:space="0" w:color="auto"/>
            </w:tcBorders>
            <w:shd w:val="clear" w:color="auto" w:fill="auto"/>
            <w:vAlign w:val="center"/>
            <w:hideMark/>
          </w:tcPr>
          <w:p w14:paraId="5EEFC228" w14:textId="77777777" w:rsidR="00074700" w:rsidRPr="00B92499" w:rsidRDefault="00074700" w:rsidP="00074700">
            <w:pPr>
              <w:jc w:val="center"/>
              <w:rPr>
                <w:rFonts w:ascii="Arial" w:hAnsi="Arial" w:cs="Arial"/>
                <w:color w:val="000000"/>
                <w:sz w:val="20"/>
                <w:szCs w:val="20"/>
              </w:rPr>
            </w:pPr>
            <w:r w:rsidRPr="00B92499">
              <w:rPr>
                <w:rFonts w:ascii="Arial" w:hAnsi="Arial" w:cs="Arial"/>
                <w:color w:val="000000"/>
                <w:sz w:val="20"/>
                <w:szCs w:val="20"/>
              </w:rPr>
              <w:t>95.00</w:t>
            </w:r>
          </w:p>
        </w:tc>
      </w:tr>
      <w:tr w:rsidR="00074700" w:rsidRPr="00B92499" w14:paraId="7E6DB3CD" w14:textId="77777777" w:rsidTr="00773979">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9F81B9B" w14:textId="77777777" w:rsidR="00074700" w:rsidRPr="00B92499" w:rsidRDefault="00074700" w:rsidP="00074700">
            <w:pPr>
              <w:jc w:val="center"/>
              <w:rPr>
                <w:rFonts w:ascii="Arial" w:hAnsi="Arial" w:cs="Arial"/>
                <w:color w:val="000000"/>
                <w:sz w:val="20"/>
                <w:szCs w:val="20"/>
              </w:rPr>
            </w:pPr>
            <w:r w:rsidRPr="00B92499">
              <w:rPr>
                <w:rFonts w:ascii="Arial" w:hAnsi="Arial" w:cs="Arial"/>
                <w:color w:val="000000"/>
                <w:sz w:val="20"/>
                <w:szCs w:val="20"/>
              </w:rPr>
              <w:t>IX</w:t>
            </w:r>
          </w:p>
        </w:tc>
        <w:tc>
          <w:tcPr>
            <w:tcW w:w="0" w:type="auto"/>
            <w:tcBorders>
              <w:top w:val="nil"/>
              <w:left w:val="nil"/>
              <w:bottom w:val="single" w:sz="4" w:space="0" w:color="auto"/>
              <w:right w:val="single" w:sz="4" w:space="0" w:color="auto"/>
            </w:tcBorders>
            <w:shd w:val="clear" w:color="auto" w:fill="auto"/>
            <w:vAlign w:val="center"/>
            <w:hideMark/>
          </w:tcPr>
          <w:p w14:paraId="0E47C64E" w14:textId="77777777" w:rsidR="00074700" w:rsidRPr="00B92499" w:rsidRDefault="00074700" w:rsidP="00773979">
            <w:pPr>
              <w:rPr>
                <w:rFonts w:ascii="Arial" w:hAnsi="Arial" w:cs="Arial"/>
                <w:color w:val="000000"/>
                <w:sz w:val="20"/>
                <w:szCs w:val="20"/>
              </w:rPr>
            </w:pPr>
            <w:r w:rsidRPr="00B92499">
              <w:rPr>
                <w:rFonts w:ascii="Arial" w:hAnsi="Arial" w:cs="Arial"/>
                <w:color w:val="000000"/>
                <w:sz w:val="20"/>
                <w:szCs w:val="20"/>
              </w:rPr>
              <w:t>Remuneraciones mensual bruta y neta</w:t>
            </w:r>
          </w:p>
        </w:tc>
        <w:tc>
          <w:tcPr>
            <w:tcW w:w="1234" w:type="dxa"/>
            <w:tcBorders>
              <w:top w:val="nil"/>
              <w:left w:val="nil"/>
              <w:bottom w:val="single" w:sz="4" w:space="0" w:color="auto"/>
              <w:right w:val="single" w:sz="4" w:space="0" w:color="auto"/>
            </w:tcBorders>
            <w:shd w:val="clear" w:color="auto" w:fill="auto"/>
            <w:vAlign w:val="center"/>
            <w:hideMark/>
          </w:tcPr>
          <w:p w14:paraId="728F4C44" w14:textId="77777777" w:rsidR="00074700" w:rsidRPr="00B92499" w:rsidRDefault="00074700" w:rsidP="00074700">
            <w:pPr>
              <w:jc w:val="center"/>
              <w:rPr>
                <w:rFonts w:ascii="Arial" w:hAnsi="Arial" w:cs="Arial"/>
                <w:color w:val="000000"/>
                <w:sz w:val="20"/>
                <w:szCs w:val="20"/>
              </w:rPr>
            </w:pPr>
            <w:r w:rsidRPr="00B92499">
              <w:rPr>
                <w:rFonts w:ascii="Arial" w:hAnsi="Arial" w:cs="Arial"/>
                <w:color w:val="000000"/>
                <w:sz w:val="20"/>
                <w:szCs w:val="20"/>
              </w:rPr>
              <w:t>94.96</w:t>
            </w:r>
          </w:p>
        </w:tc>
      </w:tr>
      <w:tr w:rsidR="00074700" w:rsidRPr="00B92499" w14:paraId="18368562" w14:textId="77777777" w:rsidTr="00773979">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197BD47" w14:textId="77777777" w:rsidR="00074700" w:rsidRPr="00B92499" w:rsidRDefault="00074700" w:rsidP="00074700">
            <w:pPr>
              <w:jc w:val="center"/>
              <w:rPr>
                <w:rFonts w:ascii="Arial" w:hAnsi="Arial" w:cs="Arial"/>
                <w:color w:val="000000"/>
                <w:sz w:val="20"/>
                <w:szCs w:val="20"/>
              </w:rPr>
            </w:pPr>
            <w:r w:rsidRPr="00B92499">
              <w:rPr>
                <w:rFonts w:ascii="Arial" w:hAnsi="Arial" w:cs="Arial"/>
                <w:color w:val="000000"/>
                <w:sz w:val="20"/>
                <w:szCs w:val="20"/>
              </w:rPr>
              <w:t>XXXIV</w:t>
            </w:r>
          </w:p>
        </w:tc>
        <w:tc>
          <w:tcPr>
            <w:tcW w:w="0" w:type="auto"/>
            <w:tcBorders>
              <w:top w:val="nil"/>
              <w:left w:val="nil"/>
              <w:bottom w:val="single" w:sz="4" w:space="0" w:color="auto"/>
              <w:right w:val="single" w:sz="4" w:space="0" w:color="auto"/>
            </w:tcBorders>
            <w:shd w:val="clear" w:color="auto" w:fill="auto"/>
            <w:vAlign w:val="center"/>
            <w:hideMark/>
          </w:tcPr>
          <w:p w14:paraId="454525BC" w14:textId="77777777" w:rsidR="00074700" w:rsidRPr="00B92499" w:rsidRDefault="00074700" w:rsidP="00773979">
            <w:pPr>
              <w:rPr>
                <w:rFonts w:ascii="Arial" w:hAnsi="Arial" w:cs="Arial"/>
                <w:color w:val="000000"/>
                <w:sz w:val="20"/>
                <w:szCs w:val="20"/>
              </w:rPr>
            </w:pPr>
            <w:r w:rsidRPr="00B92499">
              <w:rPr>
                <w:rFonts w:ascii="Arial" w:hAnsi="Arial" w:cs="Arial"/>
                <w:color w:val="000000"/>
                <w:sz w:val="20"/>
                <w:szCs w:val="20"/>
              </w:rPr>
              <w:t>Padrón de proveedores y contratistas.</w:t>
            </w:r>
          </w:p>
        </w:tc>
        <w:tc>
          <w:tcPr>
            <w:tcW w:w="1234" w:type="dxa"/>
            <w:tcBorders>
              <w:top w:val="nil"/>
              <w:left w:val="nil"/>
              <w:bottom w:val="single" w:sz="4" w:space="0" w:color="auto"/>
              <w:right w:val="single" w:sz="4" w:space="0" w:color="auto"/>
            </w:tcBorders>
            <w:shd w:val="clear" w:color="auto" w:fill="auto"/>
            <w:vAlign w:val="center"/>
            <w:hideMark/>
          </w:tcPr>
          <w:p w14:paraId="08C56814" w14:textId="77777777" w:rsidR="00074700" w:rsidRPr="00B92499" w:rsidRDefault="00074700" w:rsidP="00074700">
            <w:pPr>
              <w:jc w:val="center"/>
              <w:rPr>
                <w:rFonts w:ascii="Arial" w:hAnsi="Arial" w:cs="Arial"/>
                <w:color w:val="000000"/>
                <w:sz w:val="20"/>
                <w:szCs w:val="20"/>
              </w:rPr>
            </w:pPr>
            <w:r w:rsidRPr="00B92499">
              <w:rPr>
                <w:rFonts w:ascii="Arial" w:hAnsi="Arial" w:cs="Arial"/>
                <w:color w:val="000000"/>
                <w:sz w:val="20"/>
                <w:szCs w:val="20"/>
              </w:rPr>
              <w:t>94.06</w:t>
            </w:r>
          </w:p>
        </w:tc>
      </w:tr>
      <w:tr w:rsidR="00074700" w:rsidRPr="00B92499" w14:paraId="042B4C16" w14:textId="77777777" w:rsidTr="00773979">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EA7CA54" w14:textId="77777777" w:rsidR="00074700" w:rsidRPr="00B92499" w:rsidRDefault="00074700" w:rsidP="00074700">
            <w:pPr>
              <w:jc w:val="center"/>
              <w:rPr>
                <w:rFonts w:ascii="Arial" w:hAnsi="Arial" w:cs="Arial"/>
                <w:color w:val="000000"/>
                <w:sz w:val="20"/>
                <w:szCs w:val="20"/>
              </w:rPr>
            </w:pPr>
            <w:r w:rsidRPr="00B92499">
              <w:rPr>
                <w:rFonts w:ascii="Arial" w:hAnsi="Arial" w:cs="Arial"/>
                <w:color w:val="000000"/>
                <w:sz w:val="20"/>
                <w:szCs w:val="20"/>
              </w:rPr>
              <w:t>X</w:t>
            </w:r>
          </w:p>
        </w:tc>
        <w:tc>
          <w:tcPr>
            <w:tcW w:w="0" w:type="auto"/>
            <w:tcBorders>
              <w:top w:val="nil"/>
              <w:left w:val="nil"/>
              <w:bottom w:val="single" w:sz="4" w:space="0" w:color="auto"/>
              <w:right w:val="single" w:sz="4" w:space="0" w:color="auto"/>
            </w:tcBorders>
            <w:shd w:val="clear" w:color="auto" w:fill="auto"/>
            <w:vAlign w:val="center"/>
            <w:hideMark/>
          </w:tcPr>
          <w:p w14:paraId="0609EE88" w14:textId="77777777" w:rsidR="00074700" w:rsidRPr="00B92499" w:rsidRDefault="00074700" w:rsidP="00773979">
            <w:pPr>
              <w:rPr>
                <w:rFonts w:ascii="Arial" w:hAnsi="Arial" w:cs="Arial"/>
                <w:color w:val="000000"/>
                <w:sz w:val="20"/>
                <w:szCs w:val="20"/>
              </w:rPr>
            </w:pPr>
            <w:r w:rsidRPr="00B92499">
              <w:rPr>
                <w:rFonts w:ascii="Arial" w:hAnsi="Arial" w:cs="Arial"/>
                <w:color w:val="000000"/>
                <w:sz w:val="20"/>
                <w:szCs w:val="20"/>
              </w:rPr>
              <w:t>Lista con el importe con el concepto de viáticos.</w:t>
            </w:r>
          </w:p>
        </w:tc>
        <w:tc>
          <w:tcPr>
            <w:tcW w:w="1234" w:type="dxa"/>
            <w:tcBorders>
              <w:top w:val="nil"/>
              <w:left w:val="nil"/>
              <w:bottom w:val="single" w:sz="4" w:space="0" w:color="auto"/>
              <w:right w:val="single" w:sz="4" w:space="0" w:color="auto"/>
            </w:tcBorders>
            <w:shd w:val="clear" w:color="auto" w:fill="auto"/>
            <w:vAlign w:val="center"/>
            <w:hideMark/>
          </w:tcPr>
          <w:p w14:paraId="46108E2E" w14:textId="77777777" w:rsidR="00074700" w:rsidRPr="00B92499" w:rsidRDefault="00074700" w:rsidP="00074700">
            <w:pPr>
              <w:jc w:val="center"/>
              <w:rPr>
                <w:rFonts w:ascii="Arial" w:hAnsi="Arial" w:cs="Arial"/>
                <w:color w:val="000000"/>
                <w:sz w:val="20"/>
                <w:szCs w:val="20"/>
              </w:rPr>
            </w:pPr>
            <w:r w:rsidRPr="00B92499">
              <w:rPr>
                <w:rFonts w:ascii="Arial" w:hAnsi="Arial" w:cs="Arial"/>
                <w:color w:val="000000"/>
                <w:sz w:val="20"/>
                <w:szCs w:val="20"/>
              </w:rPr>
              <w:t>93.91</w:t>
            </w:r>
          </w:p>
        </w:tc>
      </w:tr>
      <w:tr w:rsidR="00074700" w:rsidRPr="00B92499" w14:paraId="19DA001E" w14:textId="77777777" w:rsidTr="00773979">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C12A583" w14:textId="77777777" w:rsidR="00074700" w:rsidRPr="00B92499" w:rsidRDefault="00074700" w:rsidP="00074700">
            <w:pPr>
              <w:jc w:val="center"/>
              <w:rPr>
                <w:rFonts w:ascii="Arial" w:hAnsi="Arial" w:cs="Arial"/>
                <w:color w:val="000000"/>
                <w:sz w:val="20"/>
                <w:szCs w:val="20"/>
              </w:rPr>
            </w:pPr>
            <w:r w:rsidRPr="00B92499">
              <w:rPr>
                <w:rFonts w:ascii="Arial" w:hAnsi="Arial" w:cs="Arial"/>
                <w:color w:val="000000"/>
                <w:sz w:val="20"/>
                <w:szCs w:val="20"/>
              </w:rPr>
              <w:t>LIII</w:t>
            </w:r>
          </w:p>
        </w:tc>
        <w:tc>
          <w:tcPr>
            <w:tcW w:w="0" w:type="auto"/>
            <w:tcBorders>
              <w:top w:val="nil"/>
              <w:left w:val="nil"/>
              <w:bottom w:val="single" w:sz="4" w:space="0" w:color="auto"/>
              <w:right w:val="single" w:sz="4" w:space="0" w:color="auto"/>
            </w:tcBorders>
            <w:shd w:val="clear" w:color="auto" w:fill="auto"/>
            <w:vAlign w:val="center"/>
            <w:hideMark/>
          </w:tcPr>
          <w:p w14:paraId="42644AF0" w14:textId="77777777" w:rsidR="00074700" w:rsidRPr="00B92499" w:rsidRDefault="00074700" w:rsidP="00773979">
            <w:pPr>
              <w:rPr>
                <w:rFonts w:ascii="Arial" w:hAnsi="Arial" w:cs="Arial"/>
                <w:color w:val="000000"/>
                <w:sz w:val="20"/>
                <w:szCs w:val="20"/>
              </w:rPr>
            </w:pPr>
            <w:r w:rsidRPr="00B92499">
              <w:rPr>
                <w:rFonts w:ascii="Arial" w:hAnsi="Arial" w:cs="Arial"/>
                <w:color w:val="000000"/>
                <w:sz w:val="20"/>
                <w:szCs w:val="20"/>
              </w:rPr>
              <w:t>La ubicación de todas las obras públicas.</w:t>
            </w:r>
          </w:p>
        </w:tc>
        <w:tc>
          <w:tcPr>
            <w:tcW w:w="1234" w:type="dxa"/>
            <w:tcBorders>
              <w:top w:val="nil"/>
              <w:left w:val="nil"/>
              <w:bottom w:val="single" w:sz="4" w:space="0" w:color="auto"/>
              <w:right w:val="single" w:sz="4" w:space="0" w:color="auto"/>
            </w:tcBorders>
            <w:shd w:val="clear" w:color="auto" w:fill="auto"/>
            <w:vAlign w:val="center"/>
            <w:hideMark/>
          </w:tcPr>
          <w:p w14:paraId="1C9BA372" w14:textId="77777777" w:rsidR="00074700" w:rsidRPr="00B92499" w:rsidRDefault="00074700" w:rsidP="00074700">
            <w:pPr>
              <w:jc w:val="center"/>
              <w:rPr>
                <w:rFonts w:ascii="Arial" w:hAnsi="Arial" w:cs="Arial"/>
                <w:color w:val="000000"/>
                <w:sz w:val="20"/>
                <w:szCs w:val="20"/>
              </w:rPr>
            </w:pPr>
            <w:r w:rsidRPr="00B92499">
              <w:rPr>
                <w:rFonts w:ascii="Arial" w:hAnsi="Arial" w:cs="Arial"/>
                <w:color w:val="000000"/>
                <w:sz w:val="20"/>
                <w:szCs w:val="20"/>
              </w:rPr>
              <w:t>93.83</w:t>
            </w:r>
          </w:p>
        </w:tc>
      </w:tr>
      <w:tr w:rsidR="00074700" w:rsidRPr="00B92499" w14:paraId="53A579F2" w14:textId="77777777" w:rsidTr="00773979">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B433F1C" w14:textId="77777777" w:rsidR="00074700" w:rsidRPr="00B92499" w:rsidRDefault="00074700" w:rsidP="00074700">
            <w:pPr>
              <w:jc w:val="center"/>
              <w:rPr>
                <w:rFonts w:ascii="Arial" w:hAnsi="Arial" w:cs="Arial"/>
                <w:color w:val="000000"/>
                <w:sz w:val="20"/>
                <w:szCs w:val="20"/>
              </w:rPr>
            </w:pPr>
            <w:r w:rsidRPr="00B92499">
              <w:rPr>
                <w:rFonts w:ascii="Arial" w:hAnsi="Arial" w:cs="Arial"/>
                <w:color w:val="000000"/>
                <w:sz w:val="20"/>
                <w:szCs w:val="20"/>
              </w:rPr>
              <w:t>V</w:t>
            </w:r>
          </w:p>
        </w:tc>
        <w:tc>
          <w:tcPr>
            <w:tcW w:w="0" w:type="auto"/>
            <w:tcBorders>
              <w:top w:val="nil"/>
              <w:left w:val="nil"/>
              <w:bottom w:val="single" w:sz="4" w:space="0" w:color="auto"/>
              <w:right w:val="single" w:sz="4" w:space="0" w:color="auto"/>
            </w:tcBorders>
            <w:shd w:val="clear" w:color="auto" w:fill="auto"/>
            <w:vAlign w:val="center"/>
            <w:hideMark/>
          </w:tcPr>
          <w:p w14:paraId="3DD90890" w14:textId="77777777" w:rsidR="00074700" w:rsidRPr="00B92499" w:rsidRDefault="00074700" w:rsidP="00773979">
            <w:pPr>
              <w:rPr>
                <w:rFonts w:ascii="Arial" w:hAnsi="Arial" w:cs="Arial"/>
                <w:color w:val="000000"/>
                <w:sz w:val="20"/>
                <w:szCs w:val="20"/>
              </w:rPr>
            </w:pPr>
            <w:r w:rsidRPr="00B92499">
              <w:rPr>
                <w:rFonts w:ascii="Arial" w:hAnsi="Arial" w:cs="Arial"/>
                <w:color w:val="000000"/>
                <w:sz w:val="20"/>
                <w:szCs w:val="20"/>
              </w:rPr>
              <w:t>Indicadores de temas de interés público.</w:t>
            </w:r>
          </w:p>
        </w:tc>
        <w:tc>
          <w:tcPr>
            <w:tcW w:w="1234" w:type="dxa"/>
            <w:tcBorders>
              <w:top w:val="nil"/>
              <w:left w:val="nil"/>
              <w:bottom w:val="single" w:sz="4" w:space="0" w:color="auto"/>
              <w:right w:val="single" w:sz="4" w:space="0" w:color="auto"/>
            </w:tcBorders>
            <w:shd w:val="clear" w:color="auto" w:fill="auto"/>
            <w:vAlign w:val="center"/>
            <w:hideMark/>
          </w:tcPr>
          <w:p w14:paraId="4A2A4BA9" w14:textId="77777777" w:rsidR="00074700" w:rsidRPr="00B92499" w:rsidRDefault="00074700" w:rsidP="00074700">
            <w:pPr>
              <w:jc w:val="center"/>
              <w:rPr>
                <w:rFonts w:ascii="Arial" w:hAnsi="Arial" w:cs="Arial"/>
                <w:color w:val="000000"/>
                <w:sz w:val="20"/>
                <w:szCs w:val="20"/>
              </w:rPr>
            </w:pPr>
            <w:r w:rsidRPr="00B92499">
              <w:rPr>
                <w:rFonts w:ascii="Arial" w:hAnsi="Arial" w:cs="Arial"/>
                <w:color w:val="000000"/>
                <w:sz w:val="20"/>
                <w:szCs w:val="20"/>
              </w:rPr>
              <w:t>93.38</w:t>
            </w:r>
          </w:p>
        </w:tc>
      </w:tr>
      <w:tr w:rsidR="00074700" w:rsidRPr="00B92499" w14:paraId="7B67C435" w14:textId="77777777" w:rsidTr="00773979">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E4413CE" w14:textId="77777777" w:rsidR="00074700" w:rsidRPr="00B92499" w:rsidRDefault="00074700" w:rsidP="00074700">
            <w:pPr>
              <w:jc w:val="center"/>
              <w:rPr>
                <w:rFonts w:ascii="Arial" w:hAnsi="Arial" w:cs="Arial"/>
                <w:color w:val="000000"/>
                <w:sz w:val="20"/>
                <w:szCs w:val="20"/>
              </w:rPr>
            </w:pPr>
            <w:r w:rsidRPr="00B92499">
              <w:rPr>
                <w:rFonts w:ascii="Arial" w:hAnsi="Arial" w:cs="Arial"/>
                <w:color w:val="000000"/>
                <w:sz w:val="20"/>
                <w:szCs w:val="20"/>
              </w:rPr>
              <w:t>XXII</w:t>
            </w:r>
          </w:p>
        </w:tc>
        <w:tc>
          <w:tcPr>
            <w:tcW w:w="0" w:type="auto"/>
            <w:tcBorders>
              <w:top w:val="nil"/>
              <w:left w:val="nil"/>
              <w:bottom w:val="single" w:sz="4" w:space="0" w:color="auto"/>
              <w:right w:val="single" w:sz="4" w:space="0" w:color="auto"/>
            </w:tcBorders>
            <w:shd w:val="clear" w:color="auto" w:fill="auto"/>
            <w:vAlign w:val="center"/>
            <w:hideMark/>
          </w:tcPr>
          <w:p w14:paraId="64B885F9" w14:textId="77777777" w:rsidR="00074700" w:rsidRPr="00B92499" w:rsidRDefault="00074700" w:rsidP="00773979">
            <w:pPr>
              <w:rPr>
                <w:rFonts w:ascii="Arial" w:hAnsi="Arial" w:cs="Arial"/>
                <w:color w:val="000000"/>
                <w:sz w:val="20"/>
                <w:szCs w:val="20"/>
              </w:rPr>
            </w:pPr>
            <w:r w:rsidRPr="00B92499">
              <w:rPr>
                <w:rFonts w:ascii="Arial" w:hAnsi="Arial" w:cs="Arial"/>
                <w:color w:val="000000"/>
                <w:sz w:val="20"/>
                <w:szCs w:val="20"/>
              </w:rPr>
              <w:t>Programas Operativos Anuales y de trabajo.</w:t>
            </w:r>
          </w:p>
        </w:tc>
        <w:tc>
          <w:tcPr>
            <w:tcW w:w="1234" w:type="dxa"/>
            <w:tcBorders>
              <w:top w:val="nil"/>
              <w:left w:val="nil"/>
              <w:bottom w:val="single" w:sz="4" w:space="0" w:color="auto"/>
              <w:right w:val="single" w:sz="4" w:space="0" w:color="auto"/>
            </w:tcBorders>
            <w:shd w:val="clear" w:color="auto" w:fill="auto"/>
            <w:vAlign w:val="center"/>
            <w:hideMark/>
          </w:tcPr>
          <w:p w14:paraId="15F88DE2" w14:textId="77777777" w:rsidR="00074700" w:rsidRPr="00B92499" w:rsidRDefault="00074700" w:rsidP="00074700">
            <w:pPr>
              <w:jc w:val="center"/>
              <w:rPr>
                <w:rFonts w:ascii="Arial" w:hAnsi="Arial" w:cs="Arial"/>
                <w:color w:val="000000"/>
                <w:sz w:val="20"/>
                <w:szCs w:val="20"/>
              </w:rPr>
            </w:pPr>
            <w:r w:rsidRPr="00B92499">
              <w:rPr>
                <w:rFonts w:ascii="Arial" w:hAnsi="Arial" w:cs="Arial"/>
                <w:color w:val="000000"/>
                <w:sz w:val="20"/>
                <w:szCs w:val="20"/>
              </w:rPr>
              <w:t>93.35</w:t>
            </w:r>
          </w:p>
        </w:tc>
      </w:tr>
      <w:tr w:rsidR="00074700" w:rsidRPr="00B92499" w14:paraId="59F1250D" w14:textId="77777777" w:rsidTr="00773979">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6DF0C6E" w14:textId="77777777" w:rsidR="00074700" w:rsidRPr="00B92499" w:rsidRDefault="00074700" w:rsidP="00074700">
            <w:pPr>
              <w:jc w:val="center"/>
              <w:rPr>
                <w:rFonts w:ascii="Arial" w:hAnsi="Arial" w:cs="Arial"/>
                <w:color w:val="000000"/>
                <w:sz w:val="20"/>
                <w:szCs w:val="20"/>
              </w:rPr>
            </w:pPr>
            <w:r w:rsidRPr="00B92499">
              <w:rPr>
                <w:rFonts w:ascii="Arial" w:hAnsi="Arial" w:cs="Arial"/>
                <w:color w:val="000000"/>
                <w:sz w:val="20"/>
                <w:szCs w:val="20"/>
              </w:rPr>
              <w:t>XXIX</w:t>
            </w:r>
          </w:p>
        </w:tc>
        <w:tc>
          <w:tcPr>
            <w:tcW w:w="0" w:type="auto"/>
            <w:tcBorders>
              <w:top w:val="nil"/>
              <w:left w:val="nil"/>
              <w:bottom w:val="single" w:sz="4" w:space="0" w:color="auto"/>
              <w:right w:val="single" w:sz="4" w:space="0" w:color="auto"/>
            </w:tcBorders>
            <w:shd w:val="clear" w:color="auto" w:fill="auto"/>
            <w:vAlign w:val="center"/>
            <w:hideMark/>
          </w:tcPr>
          <w:p w14:paraId="45ECB672" w14:textId="77777777" w:rsidR="00074700" w:rsidRPr="00B92499" w:rsidRDefault="00074700" w:rsidP="00773979">
            <w:pPr>
              <w:rPr>
                <w:rFonts w:ascii="Arial" w:hAnsi="Arial" w:cs="Arial"/>
                <w:color w:val="000000"/>
                <w:sz w:val="20"/>
                <w:szCs w:val="20"/>
              </w:rPr>
            </w:pPr>
            <w:r w:rsidRPr="00B92499">
              <w:rPr>
                <w:rFonts w:ascii="Arial" w:hAnsi="Arial" w:cs="Arial"/>
                <w:color w:val="000000"/>
                <w:sz w:val="20"/>
                <w:szCs w:val="20"/>
              </w:rPr>
              <w:t>Concesiones, contratos, convenios, permisos, licencias o autorizaciones otorgados.</w:t>
            </w:r>
          </w:p>
        </w:tc>
        <w:tc>
          <w:tcPr>
            <w:tcW w:w="1234" w:type="dxa"/>
            <w:tcBorders>
              <w:top w:val="nil"/>
              <w:left w:val="nil"/>
              <w:bottom w:val="single" w:sz="4" w:space="0" w:color="auto"/>
              <w:right w:val="single" w:sz="4" w:space="0" w:color="auto"/>
            </w:tcBorders>
            <w:shd w:val="clear" w:color="auto" w:fill="auto"/>
            <w:vAlign w:val="center"/>
            <w:hideMark/>
          </w:tcPr>
          <w:p w14:paraId="25200F21" w14:textId="77777777" w:rsidR="00074700" w:rsidRPr="00B92499" w:rsidRDefault="00074700" w:rsidP="00074700">
            <w:pPr>
              <w:jc w:val="center"/>
              <w:rPr>
                <w:rFonts w:ascii="Arial" w:hAnsi="Arial" w:cs="Arial"/>
                <w:color w:val="000000"/>
                <w:sz w:val="20"/>
                <w:szCs w:val="20"/>
              </w:rPr>
            </w:pPr>
            <w:r w:rsidRPr="00B92499">
              <w:rPr>
                <w:rFonts w:ascii="Arial" w:hAnsi="Arial" w:cs="Arial"/>
                <w:color w:val="000000"/>
                <w:sz w:val="20"/>
                <w:szCs w:val="20"/>
              </w:rPr>
              <w:t>93.32</w:t>
            </w:r>
          </w:p>
        </w:tc>
      </w:tr>
      <w:tr w:rsidR="00074700" w:rsidRPr="00B92499" w14:paraId="5AEE7ED7" w14:textId="77777777" w:rsidTr="00773979">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327492E" w14:textId="77777777" w:rsidR="00074700" w:rsidRPr="00B92499" w:rsidRDefault="00074700" w:rsidP="00074700">
            <w:pPr>
              <w:jc w:val="center"/>
              <w:rPr>
                <w:rFonts w:ascii="Arial" w:hAnsi="Arial" w:cs="Arial"/>
                <w:color w:val="000000"/>
                <w:sz w:val="20"/>
                <w:szCs w:val="20"/>
              </w:rPr>
            </w:pPr>
            <w:r w:rsidRPr="00B92499">
              <w:rPr>
                <w:rFonts w:ascii="Arial" w:hAnsi="Arial" w:cs="Arial"/>
                <w:color w:val="000000"/>
                <w:sz w:val="20"/>
                <w:szCs w:val="20"/>
              </w:rPr>
              <w:t>XXXIX</w:t>
            </w:r>
          </w:p>
        </w:tc>
        <w:tc>
          <w:tcPr>
            <w:tcW w:w="0" w:type="auto"/>
            <w:tcBorders>
              <w:top w:val="nil"/>
              <w:left w:val="nil"/>
              <w:bottom w:val="single" w:sz="4" w:space="0" w:color="auto"/>
              <w:right w:val="single" w:sz="4" w:space="0" w:color="auto"/>
            </w:tcBorders>
            <w:shd w:val="clear" w:color="auto" w:fill="auto"/>
            <w:vAlign w:val="center"/>
            <w:hideMark/>
          </w:tcPr>
          <w:p w14:paraId="652F1AF0" w14:textId="77777777" w:rsidR="00074700" w:rsidRPr="00B92499" w:rsidRDefault="00074700" w:rsidP="00773979">
            <w:pPr>
              <w:rPr>
                <w:rFonts w:ascii="Arial" w:hAnsi="Arial" w:cs="Arial"/>
                <w:color w:val="000000"/>
                <w:sz w:val="20"/>
                <w:szCs w:val="20"/>
              </w:rPr>
            </w:pPr>
            <w:r w:rsidRPr="00B92499">
              <w:rPr>
                <w:rFonts w:ascii="Arial" w:hAnsi="Arial" w:cs="Arial"/>
                <w:color w:val="000000"/>
                <w:sz w:val="20"/>
                <w:szCs w:val="20"/>
              </w:rPr>
              <w:t>Resoluciones y laudos que se emitan en procesos seguidos en forma de juicio.</w:t>
            </w:r>
          </w:p>
        </w:tc>
        <w:tc>
          <w:tcPr>
            <w:tcW w:w="1234" w:type="dxa"/>
            <w:tcBorders>
              <w:top w:val="nil"/>
              <w:left w:val="nil"/>
              <w:bottom w:val="single" w:sz="4" w:space="0" w:color="auto"/>
              <w:right w:val="single" w:sz="4" w:space="0" w:color="auto"/>
            </w:tcBorders>
            <w:shd w:val="clear" w:color="auto" w:fill="auto"/>
            <w:vAlign w:val="center"/>
            <w:hideMark/>
          </w:tcPr>
          <w:p w14:paraId="5B294FFD" w14:textId="77777777" w:rsidR="00074700" w:rsidRPr="00B92499" w:rsidRDefault="00074700" w:rsidP="00074700">
            <w:pPr>
              <w:jc w:val="center"/>
              <w:rPr>
                <w:rFonts w:ascii="Arial" w:hAnsi="Arial" w:cs="Arial"/>
                <w:color w:val="000000"/>
                <w:sz w:val="20"/>
                <w:szCs w:val="20"/>
              </w:rPr>
            </w:pPr>
            <w:r w:rsidRPr="00B92499">
              <w:rPr>
                <w:rFonts w:ascii="Arial" w:hAnsi="Arial" w:cs="Arial"/>
                <w:color w:val="000000"/>
                <w:sz w:val="20"/>
                <w:szCs w:val="20"/>
              </w:rPr>
              <w:t>91.77</w:t>
            </w:r>
          </w:p>
        </w:tc>
      </w:tr>
      <w:tr w:rsidR="00074700" w:rsidRPr="00B92499" w14:paraId="52A55D4C" w14:textId="77777777" w:rsidTr="00773979">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A84E775" w14:textId="77777777" w:rsidR="00074700" w:rsidRPr="00B92499" w:rsidRDefault="00074700" w:rsidP="00074700">
            <w:pPr>
              <w:jc w:val="center"/>
              <w:rPr>
                <w:rFonts w:ascii="Arial" w:hAnsi="Arial" w:cs="Arial"/>
                <w:color w:val="000000"/>
                <w:sz w:val="20"/>
                <w:szCs w:val="20"/>
              </w:rPr>
            </w:pPr>
            <w:r w:rsidRPr="00B92499">
              <w:rPr>
                <w:rFonts w:ascii="Arial" w:hAnsi="Arial" w:cs="Arial"/>
                <w:color w:val="000000"/>
                <w:sz w:val="20"/>
                <w:szCs w:val="20"/>
              </w:rPr>
              <w:t>VI</w:t>
            </w:r>
          </w:p>
        </w:tc>
        <w:tc>
          <w:tcPr>
            <w:tcW w:w="0" w:type="auto"/>
            <w:tcBorders>
              <w:top w:val="nil"/>
              <w:left w:val="nil"/>
              <w:bottom w:val="single" w:sz="4" w:space="0" w:color="auto"/>
              <w:right w:val="single" w:sz="4" w:space="0" w:color="auto"/>
            </w:tcBorders>
            <w:shd w:val="clear" w:color="auto" w:fill="auto"/>
            <w:vAlign w:val="center"/>
            <w:hideMark/>
          </w:tcPr>
          <w:p w14:paraId="27B035D1" w14:textId="77777777" w:rsidR="00074700" w:rsidRPr="00B92499" w:rsidRDefault="00074700" w:rsidP="00773979">
            <w:pPr>
              <w:rPr>
                <w:rFonts w:ascii="Arial" w:hAnsi="Arial" w:cs="Arial"/>
                <w:color w:val="000000"/>
                <w:sz w:val="20"/>
                <w:szCs w:val="20"/>
              </w:rPr>
            </w:pPr>
            <w:r w:rsidRPr="00B92499">
              <w:rPr>
                <w:rFonts w:ascii="Arial" w:hAnsi="Arial" w:cs="Arial"/>
                <w:color w:val="000000"/>
                <w:sz w:val="20"/>
                <w:szCs w:val="20"/>
              </w:rPr>
              <w:t>Indicadores que permitan rendir cuentas.</w:t>
            </w:r>
          </w:p>
        </w:tc>
        <w:tc>
          <w:tcPr>
            <w:tcW w:w="1234" w:type="dxa"/>
            <w:tcBorders>
              <w:top w:val="nil"/>
              <w:left w:val="nil"/>
              <w:bottom w:val="single" w:sz="4" w:space="0" w:color="auto"/>
              <w:right w:val="single" w:sz="4" w:space="0" w:color="auto"/>
            </w:tcBorders>
            <w:shd w:val="clear" w:color="auto" w:fill="auto"/>
            <w:vAlign w:val="center"/>
            <w:hideMark/>
          </w:tcPr>
          <w:p w14:paraId="2E0D6340" w14:textId="77777777" w:rsidR="00074700" w:rsidRPr="00B92499" w:rsidRDefault="00074700" w:rsidP="00074700">
            <w:pPr>
              <w:jc w:val="center"/>
              <w:rPr>
                <w:rFonts w:ascii="Arial" w:hAnsi="Arial" w:cs="Arial"/>
                <w:color w:val="000000"/>
                <w:sz w:val="20"/>
                <w:szCs w:val="20"/>
              </w:rPr>
            </w:pPr>
            <w:r w:rsidRPr="00B92499">
              <w:rPr>
                <w:rFonts w:ascii="Arial" w:hAnsi="Arial" w:cs="Arial"/>
                <w:color w:val="000000"/>
                <w:sz w:val="20"/>
                <w:szCs w:val="20"/>
              </w:rPr>
              <w:t>91.12</w:t>
            </w:r>
          </w:p>
        </w:tc>
      </w:tr>
      <w:tr w:rsidR="00074700" w:rsidRPr="00B92499" w14:paraId="22266558" w14:textId="77777777" w:rsidTr="00773979">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CF91EA7" w14:textId="77777777" w:rsidR="00074700" w:rsidRPr="00B92499" w:rsidRDefault="00074700" w:rsidP="00074700">
            <w:pPr>
              <w:jc w:val="center"/>
              <w:rPr>
                <w:rFonts w:ascii="Arial" w:hAnsi="Arial" w:cs="Arial"/>
                <w:color w:val="000000"/>
                <w:sz w:val="20"/>
                <w:szCs w:val="20"/>
              </w:rPr>
            </w:pPr>
            <w:r w:rsidRPr="00B92499">
              <w:rPr>
                <w:rFonts w:ascii="Arial" w:hAnsi="Arial" w:cs="Arial"/>
                <w:color w:val="000000"/>
                <w:sz w:val="20"/>
                <w:szCs w:val="20"/>
              </w:rPr>
              <w:t>XLVIII</w:t>
            </w:r>
          </w:p>
        </w:tc>
        <w:tc>
          <w:tcPr>
            <w:tcW w:w="0" w:type="auto"/>
            <w:tcBorders>
              <w:top w:val="nil"/>
              <w:left w:val="nil"/>
              <w:bottom w:val="single" w:sz="4" w:space="0" w:color="auto"/>
              <w:right w:val="single" w:sz="4" w:space="0" w:color="auto"/>
            </w:tcBorders>
            <w:shd w:val="clear" w:color="auto" w:fill="auto"/>
            <w:vAlign w:val="center"/>
            <w:hideMark/>
          </w:tcPr>
          <w:p w14:paraId="6C19B1AD" w14:textId="77777777" w:rsidR="00074700" w:rsidRPr="00B92499" w:rsidRDefault="00074700" w:rsidP="00773979">
            <w:pPr>
              <w:rPr>
                <w:rFonts w:ascii="Arial" w:hAnsi="Arial" w:cs="Arial"/>
                <w:color w:val="000000"/>
                <w:sz w:val="20"/>
                <w:szCs w:val="20"/>
              </w:rPr>
            </w:pPr>
            <w:r w:rsidRPr="00B92499">
              <w:rPr>
                <w:rFonts w:ascii="Arial" w:hAnsi="Arial" w:cs="Arial"/>
                <w:color w:val="000000"/>
                <w:sz w:val="20"/>
                <w:szCs w:val="20"/>
              </w:rPr>
              <w:t>Donaciones en dinero o especie hechas por terceros.</w:t>
            </w:r>
          </w:p>
        </w:tc>
        <w:tc>
          <w:tcPr>
            <w:tcW w:w="1234" w:type="dxa"/>
            <w:tcBorders>
              <w:top w:val="nil"/>
              <w:left w:val="nil"/>
              <w:bottom w:val="single" w:sz="4" w:space="0" w:color="auto"/>
              <w:right w:val="single" w:sz="4" w:space="0" w:color="auto"/>
            </w:tcBorders>
            <w:shd w:val="clear" w:color="auto" w:fill="auto"/>
            <w:vAlign w:val="center"/>
            <w:hideMark/>
          </w:tcPr>
          <w:p w14:paraId="30C21EDA" w14:textId="77777777" w:rsidR="00074700" w:rsidRPr="00B92499" w:rsidRDefault="00074700" w:rsidP="00074700">
            <w:pPr>
              <w:jc w:val="center"/>
              <w:rPr>
                <w:rFonts w:ascii="Arial" w:hAnsi="Arial" w:cs="Arial"/>
                <w:color w:val="000000"/>
                <w:sz w:val="20"/>
                <w:szCs w:val="20"/>
              </w:rPr>
            </w:pPr>
            <w:r w:rsidRPr="00B92499">
              <w:rPr>
                <w:rFonts w:ascii="Arial" w:hAnsi="Arial" w:cs="Arial"/>
                <w:color w:val="000000"/>
                <w:sz w:val="20"/>
                <w:szCs w:val="20"/>
              </w:rPr>
              <w:t>91.05</w:t>
            </w:r>
          </w:p>
        </w:tc>
      </w:tr>
      <w:tr w:rsidR="00074700" w:rsidRPr="00B92499" w14:paraId="3CA26001" w14:textId="77777777" w:rsidTr="00773979">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60A93C5" w14:textId="77777777" w:rsidR="00074700" w:rsidRPr="00B92499" w:rsidRDefault="00074700" w:rsidP="00074700">
            <w:pPr>
              <w:jc w:val="center"/>
              <w:rPr>
                <w:rFonts w:ascii="Arial" w:hAnsi="Arial" w:cs="Arial"/>
                <w:color w:val="000000"/>
                <w:sz w:val="20"/>
                <w:szCs w:val="20"/>
              </w:rPr>
            </w:pPr>
            <w:r w:rsidRPr="00B92499">
              <w:rPr>
                <w:rFonts w:ascii="Arial" w:hAnsi="Arial" w:cs="Arial"/>
                <w:color w:val="000000"/>
                <w:sz w:val="20"/>
                <w:szCs w:val="20"/>
              </w:rPr>
              <w:t>XIII</w:t>
            </w:r>
          </w:p>
        </w:tc>
        <w:tc>
          <w:tcPr>
            <w:tcW w:w="0" w:type="auto"/>
            <w:tcBorders>
              <w:top w:val="nil"/>
              <w:left w:val="nil"/>
              <w:bottom w:val="single" w:sz="4" w:space="0" w:color="auto"/>
              <w:right w:val="single" w:sz="4" w:space="0" w:color="auto"/>
            </w:tcBorders>
            <w:shd w:val="clear" w:color="auto" w:fill="auto"/>
            <w:vAlign w:val="center"/>
            <w:hideMark/>
          </w:tcPr>
          <w:p w14:paraId="4ED3CC40" w14:textId="77777777" w:rsidR="00074700" w:rsidRPr="00B92499" w:rsidRDefault="00074700" w:rsidP="00773979">
            <w:pPr>
              <w:rPr>
                <w:rFonts w:ascii="Arial" w:hAnsi="Arial" w:cs="Arial"/>
                <w:color w:val="000000"/>
                <w:sz w:val="20"/>
                <w:szCs w:val="20"/>
              </w:rPr>
            </w:pPr>
            <w:r w:rsidRPr="00B92499">
              <w:rPr>
                <w:rFonts w:ascii="Arial" w:hAnsi="Arial" w:cs="Arial"/>
                <w:color w:val="000000"/>
                <w:sz w:val="20"/>
                <w:szCs w:val="20"/>
              </w:rPr>
              <w:t>Declaraciones 3de3.</w:t>
            </w:r>
          </w:p>
        </w:tc>
        <w:tc>
          <w:tcPr>
            <w:tcW w:w="1234" w:type="dxa"/>
            <w:tcBorders>
              <w:top w:val="nil"/>
              <w:left w:val="nil"/>
              <w:bottom w:val="single" w:sz="4" w:space="0" w:color="auto"/>
              <w:right w:val="single" w:sz="4" w:space="0" w:color="auto"/>
            </w:tcBorders>
            <w:shd w:val="clear" w:color="auto" w:fill="auto"/>
            <w:vAlign w:val="center"/>
            <w:hideMark/>
          </w:tcPr>
          <w:p w14:paraId="2E4F8B5E" w14:textId="77777777" w:rsidR="00074700" w:rsidRPr="00B92499" w:rsidRDefault="00074700" w:rsidP="00074700">
            <w:pPr>
              <w:jc w:val="center"/>
              <w:rPr>
                <w:rFonts w:ascii="Arial" w:hAnsi="Arial" w:cs="Arial"/>
                <w:color w:val="000000"/>
                <w:sz w:val="20"/>
                <w:szCs w:val="20"/>
              </w:rPr>
            </w:pPr>
            <w:r w:rsidRPr="00B92499">
              <w:rPr>
                <w:rFonts w:ascii="Arial" w:hAnsi="Arial" w:cs="Arial"/>
                <w:color w:val="000000"/>
                <w:sz w:val="20"/>
                <w:szCs w:val="20"/>
              </w:rPr>
              <w:t>90.78</w:t>
            </w:r>
          </w:p>
        </w:tc>
      </w:tr>
      <w:tr w:rsidR="00074700" w:rsidRPr="00B92499" w14:paraId="64107473" w14:textId="77777777" w:rsidTr="00773979">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C49CB73" w14:textId="77777777" w:rsidR="00074700" w:rsidRPr="00B92499" w:rsidRDefault="00074700" w:rsidP="00074700">
            <w:pPr>
              <w:jc w:val="center"/>
              <w:rPr>
                <w:rFonts w:ascii="Arial" w:hAnsi="Arial" w:cs="Arial"/>
                <w:color w:val="000000"/>
                <w:sz w:val="20"/>
                <w:szCs w:val="20"/>
              </w:rPr>
            </w:pPr>
            <w:r w:rsidRPr="00B92499">
              <w:rPr>
                <w:rFonts w:ascii="Arial" w:hAnsi="Arial" w:cs="Arial"/>
                <w:color w:val="000000"/>
                <w:sz w:val="20"/>
                <w:szCs w:val="20"/>
              </w:rPr>
              <w:t>XXXVII</w:t>
            </w:r>
          </w:p>
        </w:tc>
        <w:tc>
          <w:tcPr>
            <w:tcW w:w="0" w:type="auto"/>
            <w:tcBorders>
              <w:top w:val="nil"/>
              <w:left w:val="nil"/>
              <w:bottom w:val="single" w:sz="4" w:space="0" w:color="auto"/>
              <w:right w:val="single" w:sz="4" w:space="0" w:color="auto"/>
            </w:tcBorders>
            <w:shd w:val="clear" w:color="auto" w:fill="auto"/>
            <w:vAlign w:val="center"/>
            <w:hideMark/>
          </w:tcPr>
          <w:p w14:paraId="760EC062" w14:textId="1284E46E" w:rsidR="00074700" w:rsidRPr="00B92499" w:rsidRDefault="00074700" w:rsidP="00773979">
            <w:pPr>
              <w:rPr>
                <w:rFonts w:ascii="Arial" w:hAnsi="Arial" w:cs="Arial"/>
                <w:color w:val="000000"/>
                <w:sz w:val="20"/>
                <w:szCs w:val="20"/>
              </w:rPr>
            </w:pPr>
            <w:r w:rsidRPr="00B92499">
              <w:rPr>
                <w:rFonts w:ascii="Arial" w:hAnsi="Arial" w:cs="Arial"/>
                <w:color w:val="000000"/>
                <w:sz w:val="20"/>
                <w:szCs w:val="20"/>
              </w:rPr>
              <w:t xml:space="preserve">Relación del número de recomendaciones emitidas al </w:t>
            </w:r>
            <w:r w:rsidR="008710F6" w:rsidRPr="00B92499">
              <w:rPr>
                <w:rFonts w:ascii="Arial" w:hAnsi="Arial" w:cs="Arial"/>
                <w:color w:val="000000"/>
                <w:sz w:val="20"/>
                <w:szCs w:val="20"/>
              </w:rPr>
              <w:t>sujeto obligado</w:t>
            </w:r>
            <w:r w:rsidRPr="00B92499">
              <w:rPr>
                <w:rFonts w:ascii="Arial" w:hAnsi="Arial" w:cs="Arial"/>
                <w:color w:val="000000"/>
                <w:sz w:val="20"/>
                <w:szCs w:val="20"/>
              </w:rPr>
              <w:t xml:space="preserve"> </w:t>
            </w:r>
            <w:r w:rsidR="0069524E" w:rsidRPr="00B92499">
              <w:rPr>
                <w:rFonts w:ascii="Arial" w:hAnsi="Arial" w:cs="Arial"/>
                <w:color w:val="000000"/>
                <w:sz w:val="20"/>
                <w:szCs w:val="20"/>
              </w:rPr>
              <w:t xml:space="preserve">por </w:t>
            </w:r>
            <w:r w:rsidRPr="00B92499">
              <w:rPr>
                <w:rFonts w:ascii="Arial" w:hAnsi="Arial" w:cs="Arial"/>
                <w:color w:val="000000"/>
                <w:sz w:val="20"/>
                <w:szCs w:val="20"/>
              </w:rPr>
              <w:t>la CDHCDMX.</w:t>
            </w:r>
          </w:p>
        </w:tc>
        <w:tc>
          <w:tcPr>
            <w:tcW w:w="1234" w:type="dxa"/>
            <w:tcBorders>
              <w:top w:val="nil"/>
              <w:left w:val="nil"/>
              <w:bottom w:val="single" w:sz="4" w:space="0" w:color="auto"/>
              <w:right w:val="single" w:sz="4" w:space="0" w:color="auto"/>
            </w:tcBorders>
            <w:shd w:val="clear" w:color="auto" w:fill="auto"/>
            <w:vAlign w:val="center"/>
            <w:hideMark/>
          </w:tcPr>
          <w:p w14:paraId="2EF765FD" w14:textId="77777777" w:rsidR="00074700" w:rsidRPr="00B92499" w:rsidRDefault="00074700" w:rsidP="00074700">
            <w:pPr>
              <w:jc w:val="center"/>
              <w:rPr>
                <w:rFonts w:ascii="Arial" w:hAnsi="Arial" w:cs="Arial"/>
                <w:color w:val="000000"/>
                <w:sz w:val="20"/>
                <w:szCs w:val="20"/>
              </w:rPr>
            </w:pPr>
            <w:r w:rsidRPr="00B92499">
              <w:rPr>
                <w:rFonts w:ascii="Arial" w:hAnsi="Arial" w:cs="Arial"/>
                <w:color w:val="000000"/>
                <w:sz w:val="20"/>
                <w:szCs w:val="20"/>
              </w:rPr>
              <w:t>90.36</w:t>
            </w:r>
          </w:p>
        </w:tc>
      </w:tr>
      <w:tr w:rsidR="00074700" w:rsidRPr="00B92499" w14:paraId="4E3981F9" w14:textId="77777777" w:rsidTr="00773979">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6503BF0" w14:textId="77777777" w:rsidR="00074700" w:rsidRPr="00B92499" w:rsidRDefault="00074700" w:rsidP="00074700">
            <w:pPr>
              <w:jc w:val="center"/>
              <w:rPr>
                <w:rFonts w:ascii="Arial" w:hAnsi="Arial" w:cs="Arial"/>
                <w:color w:val="000000"/>
                <w:sz w:val="20"/>
                <w:szCs w:val="20"/>
              </w:rPr>
            </w:pPr>
            <w:r w:rsidRPr="00B92499">
              <w:rPr>
                <w:rFonts w:ascii="Arial" w:hAnsi="Arial" w:cs="Arial"/>
                <w:color w:val="000000"/>
                <w:sz w:val="20"/>
                <w:szCs w:val="20"/>
              </w:rPr>
              <w:t>II</w:t>
            </w:r>
          </w:p>
        </w:tc>
        <w:tc>
          <w:tcPr>
            <w:tcW w:w="0" w:type="auto"/>
            <w:tcBorders>
              <w:top w:val="nil"/>
              <w:left w:val="nil"/>
              <w:bottom w:val="single" w:sz="4" w:space="0" w:color="auto"/>
              <w:right w:val="single" w:sz="4" w:space="0" w:color="auto"/>
            </w:tcBorders>
            <w:shd w:val="clear" w:color="auto" w:fill="auto"/>
            <w:vAlign w:val="center"/>
            <w:hideMark/>
          </w:tcPr>
          <w:p w14:paraId="2F185010" w14:textId="77777777" w:rsidR="00074700" w:rsidRPr="00B92499" w:rsidRDefault="00074700" w:rsidP="00773979">
            <w:pPr>
              <w:rPr>
                <w:rFonts w:ascii="Arial" w:hAnsi="Arial" w:cs="Arial"/>
                <w:color w:val="000000"/>
                <w:sz w:val="20"/>
                <w:szCs w:val="20"/>
              </w:rPr>
            </w:pPr>
            <w:r w:rsidRPr="00B92499">
              <w:rPr>
                <w:rFonts w:ascii="Arial" w:hAnsi="Arial" w:cs="Arial"/>
                <w:color w:val="000000"/>
                <w:sz w:val="20"/>
                <w:szCs w:val="20"/>
              </w:rPr>
              <w:t>Estructura orgánica.</w:t>
            </w:r>
          </w:p>
        </w:tc>
        <w:tc>
          <w:tcPr>
            <w:tcW w:w="1234" w:type="dxa"/>
            <w:tcBorders>
              <w:top w:val="nil"/>
              <w:left w:val="nil"/>
              <w:bottom w:val="single" w:sz="4" w:space="0" w:color="auto"/>
              <w:right w:val="single" w:sz="4" w:space="0" w:color="auto"/>
            </w:tcBorders>
            <w:shd w:val="clear" w:color="auto" w:fill="auto"/>
            <w:vAlign w:val="center"/>
            <w:hideMark/>
          </w:tcPr>
          <w:p w14:paraId="52C4428A" w14:textId="77777777" w:rsidR="00074700" w:rsidRPr="00B92499" w:rsidRDefault="00074700" w:rsidP="00074700">
            <w:pPr>
              <w:jc w:val="center"/>
              <w:rPr>
                <w:rFonts w:ascii="Arial" w:hAnsi="Arial" w:cs="Arial"/>
                <w:color w:val="000000"/>
                <w:sz w:val="20"/>
                <w:szCs w:val="20"/>
              </w:rPr>
            </w:pPr>
            <w:r w:rsidRPr="00B92499">
              <w:rPr>
                <w:rFonts w:ascii="Arial" w:hAnsi="Arial" w:cs="Arial"/>
                <w:color w:val="000000"/>
                <w:sz w:val="20"/>
                <w:szCs w:val="20"/>
              </w:rPr>
              <w:t>90.21</w:t>
            </w:r>
          </w:p>
        </w:tc>
      </w:tr>
      <w:tr w:rsidR="00074700" w:rsidRPr="00B92499" w14:paraId="343299FC" w14:textId="77777777" w:rsidTr="00773979">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F3BFF22" w14:textId="77777777" w:rsidR="00074700" w:rsidRPr="00B92499" w:rsidRDefault="00074700" w:rsidP="00074700">
            <w:pPr>
              <w:jc w:val="center"/>
              <w:rPr>
                <w:rFonts w:ascii="Arial" w:hAnsi="Arial" w:cs="Arial"/>
                <w:color w:val="000000"/>
                <w:sz w:val="20"/>
                <w:szCs w:val="20"/>
              </w:rPr>
            </w:pPr>
            <w:r w:rsidRPr="00B92499">
              <w:rPr>
                <w:rFonts w:ascii="Arial" w:hAnsi="Arial" w:cs="Arial"/>
                <w:color w:val="000000"/>
                <w:sz w:val="20"/>
                <w:szCs w:val="20"/>
              </w:rPr>
              <w:t>XXIV</w:t>
            </w:r>
          </w:p>
        </w:tc>
        <w:tc>
          <w:tcPr>
            <w:tcW w:w="0" w:type="auto"/>
            <w:tcBorders>
              <w:top w:val="nil"/>
              <w:left w:val="nil"/>
              <w:bottom w:val="single" w:sz="4" w:space="0" w:color="auto"/>
              <w:right w:val="single" w:sz="4" w:space="0" w:color="auto"/>
            </w:tcBorders>
            <w:shd w:val="clear" w:color="auto" w:fill="auto"/>
            <w:vAlign w:val="center"/>
            <w:hideMark/>
          </w:tcPr>
          <w:p w14:paraId="0BB76E62" w14:textId="77777777" w:rsidR="00074700" w:rsidRPr="00B92499" w:rsidRDefault="00074700" w:rsidP="00773979">
            <w:pPr>
              <w:rPr>
                <w:rFonts w:ascii="Arial" w:hAnsi="Arial" w:cs="Arial"/>
                <w:color w:val="000000"/>
                <w:sz w:val="20"/>
                <w:szCs w:val="20"/>
              </w:rPr>
            </w:pPr>
            <w:r w:rsidRPr="00B92499">
              <w:rPr>
                <w:rFonts w:ascii="Arial" w:hAnsi="Arial" w:cs="Arial"/>
                <w:color w:val="000000"/>
                <w:sz w:val="20"/>
                <w:szCs w:val="20"/>
              </w:rPr>
              <w:t>Información relativa a la cuenta y deuda públicas.</w:t>
            </w:r>
          </w:p>
        </w:tc>
        <w:tc>
          <w:tcPr>
            <w:tcW w:w="1234" w:type="dxa"/>
            <w:tcBorders>
              <w:top w:val="nil"/>
              <w:left w:val="nil"/>
              <w:bottom w:val="single" w:sz="4" w:space="0" w:color="auto"/>
              <w:right w:val="single" w:sz="4" w:space="0" w:color="auto"/>
            </w:tcBorders>
            <w:shd w:val="clear" w:color="auto" w:fill="auto"/>
            <w:vAlign w:val="center"/>
            <w:hideMark/>
          </w:tcPr>
          <w:p w14:paraId="17124D77" w14:textId="77777777" w:rsidR="00074700" w:rsidRPr="00B92499" w:rsidRDefault="00074700" w:rsidP="00074700">
            <w:pPr>
              <w:jc w:val="center"/>
              <w:rPr>
                <w:rFonts w:ascii="Arial" w:hAnsi="Arial" w:cs="Arial"/>
                <w:color w:val="000000"/>
                <w:sz w:val="20"/>
                <w:szCs w:val="20"/>
              </w:rPr>
            </w:pPr>
            <w:r w:rsidRPr="00B92499">
              <w:rPr>
                <w:rFonts w:ascii="Arial" w:hAnsi="Arial" w:cs="Arial"/>
                <w:color w:val="000000"/>
                <w:sz w:val="20"/>
                <w:szCs w:val="20"/>
              </w:rPr>
              <w:t>90.11</w:t>
            </w:r>
          </w:p>
        </w:tc>
      </w:tr>
      <w:tr w:rsidR="00074700" w:rsidRPr="00B92499" w14:paraId="7C709A05" w14:textId="77777777" w:rsidTr="00773979">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44A2487" w14:textId="77777777" w:rsidR="00074700" w:rsidRPr="00B92499" w:rsidRDefault="00074700" w:rsidP="00074700">
            <w:pPr>
              <w:jc w:val="center"/>
              <w:rPr>
                <w:rFonts w:ascii="Arial" w:hAnsi="Arial" w:cs="Arial"/>
                <w:color w:val="000000"/>
                <w:sz w:val="20"/>
                <w:szCs w:val="20"/>
              </w:rPr>
            </w:pPr>
            <w:r w:rsidRPr="00B92499">
              <w:rPr>
                <w:rFonts w:ascii="Arial" w:hAnsi="Arial" w:cs="Arial"/>
                <w:color w:val="000000"/>
                <w:sz w:val="20"/>
                <w:szCs w:val="20"/>
              </w:rPr>
              <w:t>XL</w:t>
            </w:r>
          </w:p>
        </w:tc>
        <w:tc>
          <w:tcPr>
            <w:tcW w:w="0" w:type="auto"/>
            <w:tcBorders>
              <w:top w:val="nil"/>
              <w:left w:val="nil"/>
              <w:bottom w:val="single" w:sz="4" w:space="0" w:color="auto"/>
              <w:right w:val="single" w:sz="4" w:space="0" w:color="auto"/>
            </w:tcBorders>
            <w:shd w:val="clear" w:color="auto" w:fill="auto"/>
            <w:vAlign w:val="center"/>
            <w:hideMark/>
          </w:tcPr>
          <w:p w14:paraId="7B68098F" w14:textId="77777777" w:rsidR="00074700" w:rsidRPr="00B92499" w:rsidRDefault="00074700" w:rsidP="00773979">
            <w:pPr>
              <w:rPr>
                <w:rFonts w:ascii="Arial" w:hAnsi="Arial" w:cs="Arial"/>
                <w:color w:val="000000"/>
                <w:sz w:val="20"/>
                <w:szCs w:val="20"/>
              </w:rPr>
            </w:pPr>
            <w:r w:rsidRPr="00B92499">
              <w:rPr>
                <w:rFonts w:ascii="Arial" w:hAnsi="Arial" w:cs="Arial"/>
                <w:color w:val="000000"/>
                <w:sz w:val="20"/>
                <w:szCs w:val="20"/>
              </w:rPr>
              <w:t>Mecanismos de participación ciudadana.</w:t>
            </w:r>
          </w:p>
        </w:tc>
        <w:tc>
          <w:tcPr>
            <w:tcW w:w="1234" w:type="dxa"/>
            <w:tcBorders>
              <w:top w:val="nil"/>
              <w:left w:val="nil"/>
              <w:bottom w:val="single" w:sz="4" w:space="0" w:color="auto"/>
              <w:right w:val="single" w:sz="4" w:space="0" w:color="auto"/>
            </w:tcBorders>
            <w:shd w:val="clear" w:color="auto" w:fill="auto"/>
            <w:vAlign w:val="center"/>
            <w:hideMark/>
          </w:tcPr>
          <w:p w14:paraId="6143ADD4" w14:textId="77777777" w:rsidR="00074700" w:rsidRPr="00B92499" w:rsidRDefault="00074700" w:rsidP="00074700">
            <w:pPr>
              <w:jc w:val="center"/>
              <w:rPr>
                <w:rFonts w:ascii="Arial" w:hAnsi="Arial" w:cs="Arial"/>
                <w:color w:val="000000"/>
                <w:sz w:val="20"/>
                <w:szCs w:val="20"/>
              </w:rPr>
            </w:pPr>
            <w:r w:rsidRPr="00B92499">
              <w:rPr>
                <w:rFonts w:ascii="Arial" w:hAnsi="Arial" w:cs="Arial"/>
                <w:color w:val="000000"/>
                <w:sz w:val="20"/>
                <w:szCs w:val="20"/>
              </w:rPr>
              <w:t>90.09</w:t>
            </w:r>
          </w:p>
        </w:tc>
      </w:tr>
      <w:tr w:rsidR="00074700" w:rsidRPr="00B92499" w14:paraId="144BB98A" w14:textId="77777777" w:rsidTr="00773979">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6D1A343" w14:textId="77777777" w:rsidR="00074700" w:rsidRPr="00B92499" w:rsidRDefault="00074700" w:rsidP="00074700">
            <w:pPr>
              <w:jc w:val="center"/>
              <w:rPr>
                <w:rFonts w:ascii="Arial" w:hAnsi="Arial" w:cs="Arial"/>
                <w:color w:val="000000"/>
                <w:sz w:val="20"/>
                <w:szCs w:val="20"/>
              </w:rPr>
            </w:pPr>
            <w:r w:rsidRPr="00B92499">
              <w:rPr>
                <w:rFonts w:ascii="Arial" w:hAnsi="Arial" w:cs="Arial"/>
                <w:color w:val="000000"/>
                <w:sz w:val="20"/>
                <w:szCs w:val="20"/>
              </w:rPr>
              <w:t>VIII</w:t>
            </w:r>
          </w:p>
        </w:tc>
        <w:tc>
          <w:tcPr>
            <w:tcW w:w="0" w:type="auto"/>
            <w:tcBorders>
              <w:top w:val="nil"/>
              <w:left w:val="nil"/>
              <w:bottom w:val="single" w:sz="4" w:space="0" w:color="auto"/>
              <w:right w:val="single" w:sz="4" w:space="0" w:color="auto"/>
            </w:tcBorders>
            <w:shd w:val="clear" w:color="auto" w:fill="auto"/>
            <w:vAlign w:val="center"/>
            <w:hideMark/>
          </w:tcPr>
          <w:p w14:paraId="3370F51E" w14:textId="77777777" w:rsidR="00074700" w:rsidRPr="00B92499" w:rsidRDefault="00074700" w:rsidP="00773979">
            <w:pPr>
              <w:rPr>
                <w:rFonts w:ascii="Arial" w:hAnsi="Arial" w:cs="Arial"/>
                <w:color w:val="000000"/>
                <w:sz w:val="20"/>
                <w:szCs w:val="20"/>
              </w:rPr>
            </w:pPr>
            <w:r w:rsidRPr="00B92499">
              <w:rPr>
                <w:rFonts w:ascii="Arial" w:hAnsi="Arial" w:cs="Arial"/>
                <w:color w:val="000000"/>
                <w:sz w:val="20"/>
                <w:szCs w:val="20"/>
              </w:rPr>
              <w:t>Directorio del área.</w:t>
            </w:r>
          </w:p>
        </w:tc>
        <w:tc>
          <w:tcPr>
            <w:tcW w:w="1234" w:type="dxa"/>
            <w:tcBorders>
              <w:top w:val="nil"/>
              <w:left w:val="nil"/>
              <w:bottom w:val="single" w:sz="4" w:space="0" w:color="auto"/>
              <w:right w:val="single" w:sz="4" w:space="0" w:color="auto"/>
            </w:tcBorders>
            <w:shd w:val="clear" w:color="auto" w:fill="auto"/>
            <w:vAlign w:val="center"/>
            <w:hideMark/>
          </w:tcPr>
          <w:p w14:paraId="0F784715" w14:textId="77777777" w:rsidR="00074700" w:rsidRPr="00B92499" w:rsidRDefault="00074700" w:rsidP="00074700">
            <w:pPr>
              <w:jc w:val="center"/>
              <w:rPr>
                <w:rFonts w:ascii="Arial" w:hAnsi="Arial" w:cs="Arial"/>
                <w:color w:val="000000"/>
                <w:sz w:val="20"/>
                <w:szCs w:val="20"/>
              </w:rPr>
            </w:pPr>
            <w:r w:rsidRPr="00B92499">
              <w:rPr>
                <w:rFonts w:ascii="Arial" w:hAnsi="Arial" w:cs="Arial"/>
                <w:color w:val="000000"/>
                <w:sz w:val="20"/>
                <w:szCs w:val="20"/>
              </w:rPr>
              <w:t>89.79</w:t>
            </w:r>
          </w:p>
        </w:tc>
      </w:tr>
      <w:tr w:rsidR="00074700" w:rsidRPr="00B92499" w14:paraId="21ACC147" w14:textId="77777777" w:rsidTr="00773979">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8198C7E" w14:textId="77777777" w:rsidR="00074700" w:rsidRPr="00B92499" w:rsidRDefault="00074700" w:rsidP="00074700">
            <w:pPr>
              <w:jc w:val="center"/>
              <w:rPr>
                <w:rFonts w:ascii="Arial" w:hAnsi="Arial" w:cs="Arial"/>
                <w:color w:val="000000"/>
                <w:sz w:val="20"/>
                <w:szCs w:val="20"/>
              </w:rPr>
            </w:pPr>
            <w:r w:rsidRPr="00B92499">
              <w:rPr>
                <w:rFonts w:ascii="Arial" w:hAnsi="Arial" w:cs="Arial"/>
                <w:color w:val="000000"/>
                <w:sz w:val="20"/>
                <w:szCs w:val="20"/>
              </w:rPr>
              <w:t>XI</w:t>
            </w:r>
          </w:p>
        </w:tc>
        <w:tc>
          <w:tcPr>
            <w:tcW w:w="0" w:type="auto"/>
            <w:tcBorders>
              <w:top w:val="nil"/>
              <w:left w:val="nil"/>
              <w:bottom w:val="single" w:sz="4" w:space="0" w:color="auto"/>
              <w:right w:val="single" w:sz="4" w:space="0" w:color="auto"/>
            </w:tcBorders>
            <w:shd w:val="clear" w:color="auto" w:fill="auto"/>
            <w:vAlign w:val="center"/>
            <w:hideMark/>
          </w:tcPr>
          <w:p w14:paraId="472FA1CD" w14:textId="77777777" w:rsidR="00074700" w:rsidRPr="00B92499" w:rsidRDefault="00074700" w:rsidP="00773979">
            <w:pPr>
              <w:rPr>
                <w:rFonts w:ascii="Arial" w:hAnsi="Arial" w:cs="Arial"/>
                <w:color w:val="000000"/>
                <w:sz w:val="20"/>
                <w:szCs w:val="20"/>
              </w:rPr>
            </w:pPr>
            <w:r w:rsidRPr="00B92499">
              <w:rPr>
                <w:rFonts w:ascii="Arial" w:hAnsi="Arial" w:cs="Arial"/>
                <w:color w:val="000000"/>
                <w:sz w:val="20"/>
                <w:szCs w:val="20"/>
              </w:rPr>
              <w:t>Número tal de plazas y tipos.</w:t>
            </w:r>
          </w:p>
        </w:tc>
        <w:tc>
          <w:tcPr>
            <w:tcW w:w="1234" w:type="dxa"/>
            <w:tcBorders>
              <w:top w:val="nil"/>
              <w:left w:val="nil"/>
              <w:bottom w:val="single" w:sz="4" w:space="0" w:color="auto"/>
              <w:right w:val="single" w:sz="4" w:space="0" w:color="auto"/>
            </w:tcBorders>
            <w:shd w:val="clear" w:color="auto" w:fill="auto"/>
            <w:vAlign w:val="center"/>
            <w:hideMark/>
          </w:tcPr>
          <w:p w14:paraId="095F221F" w14:textId="77777777" w:rsidR="00074700" w:rsidRPr="00B92499" w:rsidRDefault="00074700" w:rsidP="00074700">
            <w:pPr>
              <w:jc w:val="center"/>
              <w:rPr>
                <w:rFonts w:ascii="Arial" w:hAnsi="Arial" w:cs="Arial"/>
                <w:color w:val="000000"/>
                <w:sz w:val="20"/>
                <w:szCs w:val="20"/>
              </w:rPr>
            </w:pPr>
            <w:r w:rsidRPr="00B92499">
              <w:rPr>
                <w:rFonts w:ascii="Arial" w:hAnsi="Arial" w:cs="Arial"/>
                <w:color w:val="000000"/>
                <w:sz w:val="20"/>
                <w:szCs w:val="20"/>
              </w:rPr>
              <w:t>89.71</w:t>
            </w:r>
          </w:p>
        </w:tc>
      </w:tr>
      <w:tr w:rsidR="00074700" w:rsidRPr="00B92499" w14:paraId="0E425B75" w14:textId="77777777" w:rsidTr="00773979">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B7F753D" w14:textId="77777777" w:rsidR="00074700" w:rsidRPr="00B92499" w:rsidRDefault="00074700" w:rsidP="00074700">
            <w:pPr>
              <w:jc w:val="center"/>
              <w:rPr>
                <w:rFonts w:ascii="Arial" w:hAnsi="Arial" w:cs="Arial"/>
                <w:color w:val="000000"/>
                <w:sz w:val="20"/>
                <w:szCs w:val="20"/>
              </w:rPr>
            </w:pPr>
            <w:r w:rsidRPr="00B92499">
              <w:rPr>
                <w:rFonts w:ascii="Arial" w:hAnsi="Arial" w:cs="Arial"/>
                <w:color w:val="000000"/>
                <w:sz w:val="20"/>
                <w:szCs w:val="20"/>
              </w:rPr>
              <w:t>XXXI</w:t>
            </w:r>
          </w:p>
        </w:tc>
        <w:tc>
          <w:tcPr>
            <w:tcW w:w="0" w:type="auto"/>
            <w:tcBorders>
              <w:top w:val="nil"/>
              <w:left w:val="nil"/>
              <w:bottom w:val="single" w:sz="4" w:space="0" w:color="auto"/>
              <w:right w:val="single" w:sz="4" w:space="0" w:color="auto"/>
            </w:tcBorders>
            <w:shd w:val="clear" w:color="auto" w:fill="auto"/>
            <w:vAlign w:val="center"/>
            <w:hideMark/>
          </w:tcPr>
          <w:p w14:paraId="63C1AB0E" w14:textId="0DDDE008" w:rsidR="00074700" w:rsidRPr="00B92499" w:rsidRDefault="00074700" w:rsidP="00773979">
            <w:pPr>
              <w:rPr>
                <w:rFonts w:ascii="Arial" w:hAnsi="Arial" w:cs="Arial"/>
                <w:color w:val="000000"/>
                <w:sz w:val="20"/>
                <w:szCs w:val="20"/>
              </w:rPr>
            </w:pPr>
            <w:r w:rsidRPr="00B92499">
              <w:rPr>
                <w:rFonts w:ascii="Arial" w:hAnsi="Arial" w:cs="Arial"/>
                <w:color w:val="000000"/>
                <w:sz w:val="20"/>
                <w:szCs w:val="20"/>
              </w:rPr>
              <w:t xml:space="preserve">Informes que debe rendir el </w:t>
            </w:r>
            <w:r w:rsidR="008710F6" w:rsidRPr="00B92499">
              <w:rPr>
                <w:rFonts w:ascii="Arial" w:hAnsi="Arial" w:cs="Arial"/>
                <w:color w:val="000000"/>
                <w:sz w:val="20"/>
                <w:szCs w:val="20"/>
              </w:rPr>
              <w:t>sujeto obligado</w:t>
            </w:r>
            <w:r w:rsidRPr="00B92499">
              <w:rPr>
                <w:rFonts w:ascii="Arial" w:hAnsi="Arial" w:cs="Arial"/>
                <w:color w:val="000000"/>
                <w:sz w:val="20"/>
                <w:szCs w:val="20"/>
              </w:rPr>
              <w:t>.</w:t>
            </w:r>
          </w:p>
        </w:tc>
        <w:tc>
          <w:tcPr>
            <w:tcW w:w="1234" w:type="dxa"/>
            <w:tcBorders>
              <w:top w:val="nil"/>
              <w:left w:val="nil"/>
              <w:bottom w:val="single" w:sz="4" w:space="0" w:color="auto"/>
              <w:right w:val="single" w:sz="4" w:space="0" w:color="auto"/>
            </w:tcBorders>
            <w:shd w:val="clear" w:color="auto" w:fill="auto"/>
            <w:vAlign w:val="center"/>
            <w:hideMark/>
          </w:tcPr>
          <w:p w14:paraId="17CC28B5" w14:textId="77777777" w:rsidR="00074700" w:rsidRPr="00B92499" w:rsidRDefault="00074700" w:rsidP="00074700">
            <w:pPr>
              <w:jc w:val="center"/>
              <w:rPr>
                <w:rFonts w:ascii="Arial" w:hAnsi="Arial" w:cs="Arial"/>
                <w:color w:val="000000"/>
                <w:sz w:val="20"/>
                <w:szCs w:val="20"/>
              </w:rPr>
            </w:pPr>
            <w:r w:rsidRPr="00B92499">
              <w:rPr>
                <w:rFonts w:ascii="Arial" w:hAnsi="Arial" w:cs="Arial"/>
                <w:color w:val="000000"/>
                <w:sz w:val="20"/>
                <w:szCs w:val="20"/>
              </w:rPr>
              <w:t>89.43</w:t>
            </w:r>
          </w:p>
        </w:tc>
      </w:tr>
      <w:tr w:rsidR="00074700" w:rsidRPr="00B92499" w14:paraId="17F80CFA" w14:textId="77777777" w:rsidTr="00773979">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2BB57B8" w14:textId="77777777" w:rsidR="00074700" w:rsidRPr="00B92499" w:rsidRDefault="00074700" w:rsidP="00074700">
            <w:pPr>
              <w:jc w:val="center"/>
              <w:rPr>
                <w:rFonts w:ascii="Arial" w:hAnsi="Arial" w:cs="Arial"/>
                <w:color w:val="000000"/>
                <w:sz w:val="20"/>
                <w:szCs w:val="20"/>
              </w:rPr>
            </w:pPr>
            <w:r w:rsidRPr="00B92499">
              <w:rPr>
                <w:rFonts w:ascii="Arial" w:hAnsi="Arial" w:cs="Arial"/>
                <w:color w:val="000000"/>
                <w:sz w:val="20"/>
                <w:szCs w:val="20"/>
              </w:rPr>
              <w:t>XXX</w:t>
            </w:r>
          </w:p>
        </w:tc>
        <w:tc>
          <w:tcPr>
            <w:tcW w:w="0" w:type="auto"/>
            <w:tcBorders>
              <w:top w:val="nil"/>
              <w:left w:val="nil"/>
              <w:bottom w:val="single" w:sz="4" w:space="0" w:color="auto"/>
              <w:right w:val="single" w:sz="4" w:space="0" w:color="auto"/>
            </w:tcBorders>
            <w:shd w:val="clear" w:color="auto" w:fill="auto"/>
            <w:vAlign w:val="center"/>
            <w:hideMark/>
          </w:tcPr>
          <w:p w14:paraId="0820FAE0" w14:textId="77777777" w:rsidR="00074700" w:rsidRPr="00B92499" w:rsidRDefault="00074700" w:rsidP="00773979">
            <w:pPr>
              <w:rPr>
                <w:rFonts w:ascii="Arial" w:hAnsi="Arial" w:cs="Arial"/>
                <w:color w:val="000000"/>
                <w:sz w:val="20"/>
                <w:szCs w:val="20"/>
              </w:rPr>
            </w:pPr>
            <w:r w:rsidRPr="00B92499">
              <w:rPr>
                <w:rFonts w:ascii="Arial" w:hAnsi="Arial" w:cs="Arial"/>
                <w:color w:val="000000"/>
                <w:sz w:val="20"/>
                <w:szCs w:val="20"/>
              </w:rPr>
              <w:t>Resultados de procedimiento de adjudicación directa, invitación restringida y licitación.</w:t>
            </w:r>
          </w:p>
        </w:tc>
        <w:tc>
          <w:tcPr>
            <w:tcW w:w="1234" w:type="dxa"/>
            <w:tcBorders>
              <w:top w:val="nil"/>
              <w:left w:val="nil"/>
              <w:bottom w:val="single" w:sz="4" w:space="0" w:color="auto"/>
              <w:right w:val="single" w:sz="4" w:space="0" w:color="auto"/>
            </w:tcBorders>
            <w:shd w:val="clear" w:color="auto" w:fill="auto"/>
            <w:vAlign w:val="center"/>
            <w:hideMark/>
          </w:tcPr>
          <w:p w14:paraId="74450C5C" w14:textId="77777777" w:rsidR="00074700" w:rsidRPr="00B92499" w:rsidRDefault="00074700" w:rsidP="00074700">
            <w:pPr>
              <w:jc w:val="center"/>
              <w:rPr>
                <w:rFonts w:ascii="Arial" w:hAnsi="Arial" w:cs="Arial"/>
                <w:color w:val="000000"/>
                <w:sz w:val="20"/>
                <w:szCs w:val="20"/>
              </w:rPr>
            </w:pPr>
            <w:r w:rsidRPr="00B92499">
              <w:rPr>
                <w:rFonts w:ascii="Arial" w:hAnsi="Arial" w:cs="Arial"/>
                <w:color w:val="000000"/>
                <w:sz w:val="20"/>
                <w:szCs w:val="20"/>
              </w:rPr>
              <w:t>89.39</w:t>
            </w:r>
          </w:p>
        </w:tc>
      </w:tr>
      <w:tr w:rsidR="00074700" w:rsidRPr="00B92499" w14:paraId="0EF23E55" w14:textId="77777777" w:rsidTr="00773979">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216877F" w14:textId="77777777" w:rsidR="00074700" w:rsidRPr="00B92499" w:rsidRDefault="00074700" w:rsidP="00074700">
            <w:pPr>
              <w:jc w:val="center"/>
              <w:rPr>
                <w:rFonts w:ascii="Arial" w:hAnsi="Arial" w:cs="Arial"/>
                <w:color w:val="000000"/>
                <w:sz w:val="20"/>
                <w:szCs w:val="20"/>
              </w:rPr>
            </w:pPr>
            <w:r w:rsidRPr="00B92499">
              <w:rPr>
                <w:rFonts w:ascii="Arial" w:hAnsi="Arial" w:cs="Arial"/>
                <w:color w:val="000000"/>
                <w:sz w:val="20"/>
                <w:szCs w:val="20"/>
              </w:rPr>
              <w:t>XV</w:t>
            </w:r>
          </w:p>
        </w:tc>
        <w:tc>
          <w:tcPr>
            <w:tcW w:w="0" w:type="auto"/>
            <w:tcBorders>
              <w:top w:val="nil"/>
              <w:left w:val="nil"/>
              <w:bottom w:val="single" w:sz="4" w:space="0" w:color="auto"/>
              <w:right w:val="single" w:sz="4" w:space="0" w:color="auto"/>
            </w:tcBorders>
            <w:shd w:val="clear" w:color="auto" w:fill="auto"/>
            <w:vAlign w:val="center"/>
            <w:hideMark/>
          </w:tcPr>
          <w:p w14:paraId="5558E136" w14:textId="77777777" w:rsidR="00074700" w:rsidRPr="00B92499" w:rsidRDefault="00074700" w:rsidP="00773979">
            <w:pPr>
              <w:rPr>
                <w:rFonts w:ascii="Arial" w:hAnsi="Arial" w:cs="Arial"/>
                <w:color w:val="000000"/>
                <w:sz w:val="20"/>
                <w:szCs w:val="20"/>
              </w:rPr>
            </w:pPr>
            <w:r w:rsidRPr="00B92499">
              <w:rPr>
                <w:rFonts w:ascii="Arial" w:hAnsi="Arial" w:cs="Arial"/>
                <w:color w:val="000000"/>
                <w:sz w:val="20"/>
                <w:szCs w:val="20"/>
              </w:rPr>
              <w:t>Información curricular y perfil de puestos.</w:t>
            </w:r>
          </w:p>
        </w:tc>
        <w:tc>
          <w:tcPr>
            <w:tcW w:w="1234" w:type="dxa"/>
            <w:tcBorders>
              <w:top w:val="nil"/>
              <w:left w:val="nil"/>
              <w:bottom w:val="single" w:sz="4" w:space="0" w:color="auto"/>
              <w:right w:val="single" w:sz="4" w:space="0" w:color="auto"/>
            </w:tcBorders>
            <w:shd w:val="clear" w:color="auto" w:fill="auto"/>
            <w:vAlign w:val="center"/>
            <w:hideMark/>
          </w:tcPr>
          <w:p w14:paraId="4DC4B8CC" w14:textId="77777777" w:rsidR="00074700" w:rsidRPr="00B92499" w:rsidRDefault="00074700" w:rsidP="00074700">
            <w:pPr>
              <w:jc w:val="center"/>
              <w:rPr>
                <w:rFonts w:ascii="Arial" w:hAnsi="Arial" w:cs="Arial"/>
                <w:color w:val="000000"/>
                <w:sz w:val="20"/>
                <w:szCs w:val="20"/>
              </w:rPr>
            </w:pPr>
            <w:r w:rsidRPr="00B92499">
              <w:rPr>
                <w:rFonts w:ascii="Arial" w:hAnsi="Arial" w:cs="Arial"/>
                <w:color w:val="000000"/>
                <w:sz w:val="20"/>
                <w:szCs w:val="20"/>
              </w:rPr>
              <w:t>89.34</w:t>
            </w:r>
          </w:p>
        </w:tc>
      </w:tr>
      <w:tr w:rsidR="00074700" w:rsidRPr="00B92499" w14:paraId="1C3B3427" w14:textId="77777777" w:rsidTr="00773979">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E4DFCA5" w14:textId="77777777" w:rsidR="00074700" w:rsidRPr="00B92499" w:rsidRDefault="00074700" w:rsidP="00074700">
            <w:pPr>
              <w:jc w:val="center"/>
              <w:rPr>
                <w:rFonts w:ascii="Arial" w:hAnsi="Arial" w:cs="Arial"/>
                <w:color w:val="000000"/>
                <w:sz w:val="20"/>
                <w:szCs w:val="20"/>
              </w:rPr>
            </w:pPr>
            <w:r w:rsidRPr="00B92499">
              <w:rPr>
                <w:rFonts w:ascii="Arial" w:hAnsi="Arial" w:cs="Arial"/>
                <w:color w:val="000000"/>
                <w:sz w:val="20"/>
                <w:szCs w:val="20"/>
              </w:rPr>
              <w:lastRenderedPageBreak/>
              <w:t>XVI</w:t>
            </w:r>
          </w:p>
        </w:tc>
        <w:tc>
          <w:tcPr>
            <w:tcW w:w="0" w:type="auto"/>
            <w:tcBorders>
              <w:top w:val="nil"/>
              <w:left w:val="nil"/>
              <w:bottom w:val="single" w:sz="4" w:space="0" w:color="auto"/>
              <w:right w:val="single" w:sz="4" w:space="0" w:color="auto"/>
            </w:tcBorders>
            <w:shd w:val="clear" w:color="auto" w:fill="auto"/>
            <w:vAlign w:val="center"/>
            <w:hideMark/>
          </w:tcPr>
          <w:p w14:paraId="10E247DF" w14:textId="77777777" w:rsidR="00074700" w:rsidRPr="00B92499" w:rsidRDefault="00074700" w:rsidP="00773979">
            <w:pPr>
              <w:rPr>
                <w:rFonts w:ascii="Arial" w:hAnsi="Arial" w:cs="Arial"/>
                <w:color w:val="000000"/>
                <w:sz w:val="20"/>
                <w:szCs w:val="20"/>
              </w:rPr>
            </w:pPr>
            <w:r w:rsidRPr="00B92499">
              <w:rPr>
                <w:rFonts w:ascii="Arial" w:hAnsi="Arial" w:cs="Arial"/>
                <w:color w:val="000000"/>
                <w:sz w:val="20"/>
                <w:szCs w:val="20"/>
              </w:rPr>
              <w:t>Condiciones generales de trabajo, contratos y convenios que regulen la relación laboral, recursos otorgados a sindicatos.</w:t>
            </w:r>
          </w:p>
        </w:tc>
        <w:tc>
          <w:tcPr>
            <w:tcW w:w="1234" w:type="dxa"/>
            <w:tcBorders>
              <w:top w:val="nil"/>
              <w:left w:val="nil"/>
              <w:bottom w:val="single" w:sz="4" w:space="0" w:color="auto"/>
              <w:right w:val="single" w:sz="4" w:space="0" w:color="auto"/>
            </w:tcBorders>
            <w:shd w:val="clear" w:color="auto" w:fill="auto"/>
            <w:vAlign w:val="center"/>
            <w:hideMark/>
          </w:tcPr>
          <w:p w14:paraId="53EBE84A" w14:textId="77777777" w:rsidR="00074700" w:rsidRPr="00B92499" w:rsidRDefault="00074700" w:rsidP="00074700">
            <w:pPr>
              <w:jc w:val="center"/>
              <w:rPr>
                <w:rFonts w:ascii="Arial" w:hAnsi="Arial" w:cs="Arial"/>
                <w:color w:val="000000"/>
                <w:sz w:val="20"/>
                <w:szCs w:val="20"/>
              </w:rPr>
            </w:pPr>
            <w:r w:rsidRPr="00B92499">
              <w:rPr>
                <w:rFonts w:ascii="Arial" w:hAnsi="Arial" w:cs="Arial"/>
                <w:color w:val="000000"/>
                <w:sz w:val="20"/>
                <w:szCs w:val="20"/>
              </w:rPr>
              <w:t>89.06</w:t>
            </w:r>
          </w:p>
        </w:tc>
      </w:tr>
      <w:tr w:rsidR="00074700" w:rsidRPr="00B92499" w14:paraId="37CCBB3A" w14:textId="77777777" w:rsidTr="00773979">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64C8AC5" w14:textId="77777777" w:rsidR="00074700" w:rsidRPr="00B92499" w:rsidRDefault="00074700" w:rsidP="00074700">
            <w:pPr>
              <w:jc w:val="center"/>
              <w:rPr>
                <w:rFonts w:ascii="Arial" w:hAnsi="Arial" w:cs="Arial"/>
                <w:color w:val="000000"/>
                <w:sz w:val="20"/>
                <w:szCs w:val="20"/>
              </w:rPr>
            </w:pPr>
            <w:r w:rsidRPr="00B92499">
              <w:rPr>
                <w:rFonts w:ascii="Arial" w:hAnsi="Arial" w:cs="Arial"/>
                <w:color w:val="000000"/>
                <w:sz w:val="20"/>
                <w:szCs w:val="20"/>
              </w:rPr>
              <w:t>XXXVIII</w:t>
            </w:r>
          </w:p>
        </w:tc>
        <w:tc>
          <w:tcPr>
            <w:tcW w:w="0" w:type="auto"/>
            <w:tcBorders>
              <w:top w:val="nil"/>
              <w:left w:val="nil"/>
              <w:bottom w:val="single" w:sz="4" w:space="0" w:color="auto"/>
              <w:right w:val="single" w:sz="4" w:space="0" w:color="auto"/>
            </w:tcBorders>
            <w:shd w:val="clear" w:color="auto" w:fill="auto"/>
            <w:vAlign w:val="center"/>
            <w:hideMark/>
          </w:tcPr>
          <w:p w14:paraId="61746FCC" w14:textId="544AC7F5" w:rsidR="00074700" w:rsidRPr="00B92499" w:rsidRDefault="00074700" w:rsidP="00773979">
            <w:pPr>
              <w:rPr>
                <w:rFonts w:ascii="Arial" w:hAnsi="Arial" w:cs="Arial"/>
                <w:color w:val="000000"/>
                <w:sz w:val="20"/>
                <w:szCs w:val="20"/>
              </w:rPr>
            </w:pPr>
            <w:r w:rsidRPr="00B92499">
              <w:rPr>
                <w:rFonts w:ascii="Arial" w:hAnsi="Arial" w:cs="Arial"/>
                <w:color w:val="000000"/>
                <w:sz w:val="20"/>
                <w:szCs w:val="20"/>
              </w:rPr>
              <w:t xml:space="preserve">Relación del número de recomendaciones emitidas por el Instituto al </w:t>
            </w:r>
            <w:r w:rsidR="008710F6" w:rsidRPr="00B92499">
              <w:rPr>
                <w:rFonts w:ascii="Arial" w:hAnsi="Arial" w:cs="Arial"/>
                <w:color w:val="000000"/>
                <w:sz w:val="20"/>
                <w:szCs w:val="20"/>
              </w:rPr>
              <w:t>sujeto obligado</w:t>
            </w:r>
            <w:r w:rsidRPr="00B92499">
              <w:rPr>
                <w:rFonts w:ascii="Arial" w:hAnsi="Arial" w:cs="Arial"/>
                <w:color w:val="000000"/>
                <w:sz w:val="20"/>
                <w:szCs w:val="20"/>
              </w:rPr>
              <w:t>.</w:t>
            </w:r>
          </w:p>
        </w:tc>
        <w:tc>
          <w:tcPr>
            <w:tcW w:w="1234" w:type="dxa"/>
            <w:tcBorders>
              <w:top w:val="nil"/>
              <w:left w:val="nil"/>
              <w:bottom w:val="single" w:sz="4" w:space="0" w:color="auto"/>
              <w:right w:val="single" w:sz="4" w:space="0" w:color="auto"/>
            </w:tcBorders>
            <w:shd w:val="clear" w:color="auto" w:fill="auto"/>
            <w:vAlign w:val="center"/>
            <w:hideMark/>
          </w:tcPr>
          <w:p w14:paraId="4AF1C2D8" w14:textId="77777777" w:rsidR="00074700" w:rsidRPr="00B92499" w:rsidRDefault="00074700" w:rsidP="00074700">
            <w:pPr>
              <w:jc w:val="center"/>
              <w:rPr>
                <w:rFonts w:ascii="Arial" w:hAnsi="Arial" w:cs="Arial"/>
                <w:color w:val="000000"/>
                <w:sz w:val="20"/>
                <w:szCs w:val="20"/>
              </w:rPr>
            </w:pPr>
            <w:r w:rsidRPr="00B92499">
              <w:rPr>
                <w:rFonts w:ascii="Arial" w:hAnsi="Arial" w:cs="Arial"/>
                <w:color w:val="000000"/>
                <w:sz w:val="20"/>
                <w:szCs w:val="20"/>
              </w:rPr>
              <w:t>88.39</w:t>
            </w:r>
          </w:p>
        </w:tc>
      </w:tr>
      <w:tr w:rsidR="00074700" w:rsidRPr="00B92499" w14:paraId="7853C71A" w14:textId="77777777" w:rsidTr="00773979">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43762FB" w14:textId="77777777" w:rsidR="00074700" w:rsidRPr="00B92499" w:rsidRDefault="00074700" w:rsidP="00074700">
            <w:pPr>
              <w:jc w:val="center"/>
              <w:rPr>
                <w:rFonts w:ascii="Arial" w:hAnsi="Arial" w:cs="Arial"/>
                <w:color w:val="000000"/>
                <w:sz w:val="20"/>
                <w:szCs w:val="20"/>
              </w:rPr>
            </w:pPr>
            <w:r w:rsidRPr="00B92499">
              <w:rPr>
                <w:rFonts w:ascii="Arial" w:hAnsi="Arial" w:cs="Arial"/>
                <w:color w:val="000000"/>
                <w:sz w:val="20"/>
                <w:szCs w:val="20"/>
              </w:rPr>
              <w:t>XXI</w:t>
            </w:r>
          </w:p>
        </w:tc>
        <w:tc>
          <w:tcPr>
            <w:tcW w:w="0" w:type="auto"/>
            <w:tcBorders>
              <w:top w:val="nil"/>
              <w:left w:val="nil"/>
              <w:bottom w:val="single" w:sz="4" w:space="0" w:color="auto"/>
              <w:right w:val="single" w:sz="4" w:space="0" w:color="auto"/>
            </w:tcBorders>
            <w:shd w:val="clear" w:color="auto" w:fill="auto"/>
            <w:vAlign w:val="center"/>
            <w:hideMark/>
          </w:tcPr>
          <w:p w14:paraId="1BDD18E5" w14:textId="77777777" w:rsidR="00074700" w:rsidRPr="00B92499" w:rsidRDefault="00074700" w:rsidP="00773979">
            <w:pPr>
              <w:rPr>
                <w:rFonts w:ascii="Arial" w:hAnsi="Arial" w:cs="Arial"/>
                <w:color w:val="000000"/>
                <w:sz w:val="20"/>
                <w:szCs w:val="20"/>
              </w:rPr>
            </w:pPr>
            <w:r w:rsidRPr="00B92499">
              <w:rPr>
                <w:rFonts w:ascii="Arial" w:hAnsi="Arial" w:cs="Arial"/>
                <w:color w:val="000000"/>
                <w:sz w:val="20"/>
                <w:szCs w:val="20"/>
              </w:rPr>
              <w:t>La información financiera sobre el presupuesto asignado.</w:t>
            </w:r>
          </w:p>
        </w:tc>
        <w:tc>
          <w:tcPr>
            <w:tcW w:w="1234" w:type="dxa"/>
            <w:tcBorders>
              <w:top w:val="nil"/>
              <w:left w:val="nil"/>
              <w:bottom w:val="single" w:sz="4" w:space="0" w:color="auto"/>
              <w:right w:val="single" w:sz="4" w:space="0" w:color="auto"/>
            </w:tcBorders>
            <w:shd w:val="clear" w:color="auto" w:fill="auto"/>
            <w:vAlign w:val="center"/>
            <w:hideMark/>
          </w:tcPr>
          <w:p w14:paraId="0C10B747" w14:textId="77777777" w:rsidR="00074700" w:rsidRPr="00B92499" w:rsidRDefault="00074700" w:rsidP="00074700">
            <w:pPr>
              <w:jc w:val="center"/>
              <w:rPr>
                <w:rFonts w:ascii="Arial" w:hAnsi="Arial" w:cs="Arial"/>
                <w:color w:val="000000"/>
                <w:sz w:val="20"/>
                <w:szCs w:val="20"/>
              </w:rPr>
            </w:pPr>
            <w:r w:rsidRPr="00B92499">
              <w:rPr>
                <w:rFonts w:ascii="Arial" w:hAnsi="Arial" w:cs="Arial"/>
                <w:color w:val="000000"/>
                <w:sz w:val="20"/>
                <w:szCs w:val="20"/>
              </w:rPr>
              <w:t>88.22</w:t>
            </w:r>
          </w:p>
        </w:tc>
      </w:tr>
      <w:tr w:rsidR="00074700" w:rsidRPr="00B92499" w14:paraId="0C25CBF2" w14:textId="77777777" w:rsidTr="00773979">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10A2602" w14:textId="77777777" w:rsidR="00074700" w:rsidRPr="00B92499" w:rsidRDefault="00074700" w:rsidP="00074700">
            <w:pPr>
              <w:jc w:val="center"/>
              <w:rPr>
                <w:rFonts w:ascii="Arial" w:hAnsi="Arial" w:cs="Arial"/>
                <w:color w:val="000000"/>
                <w:sz w:val="20"/>
                <w:szCs w:val="20"/>
              </w:rPr>
            </w:pPr>
            <w:r w:rsidRPr="00B92499">
              <w:rPr>
                <w:rFonts w:ascii="Arial" w:hAnsi="Arial" w:cs="Arial"/>
                <w:color w:val="000000"/>
                <w:sz w:val="20"/>
                <w:szCs w:val="20"/>
              </w:rPr>
              <w:t>XLVI</w:t>
            </w:r>
          </w:p>
        </w:tc>
        <w:tc>
          <w:tcPr>
            <w:tcW w:w="0" w:type="auto"/>
            <w:tcBorders>
              <w:top w:val="nil"/>
              <w:left w:val="nil"/>
              <w:bottom w:val="single" w:sz="4" w:space="0" w:color="auto"/>
              <w:right w:val="single" w:sz="4" w:space="0" w:color="auto"/>
            </w:tcBorders>
            <w:shd w:val="clear" w:color="auto" w:fill="auto"/>
            <w:vAlign w:val="center"/>
            <w:hideMark/>
          </w:tcPr>
          <w:p w14:paraId="3D60F46B" w14:textId="77777777" w:rsidR="00074700" w:rsidRPr="00B92499" w:rsidRDefault="00074700" w:rsidP="00773979">
            <w:pPr>
              <w:rPr>
                <w:rFonts w:ascii="Arial" w:hAnsi="Arial" w:cs="Arial"/>
                <w:color w:val="000000"/>
                <w:sz w:val="20"/>
                <w:szCs w:val="20"/>
              </w:rPr>
            </w:pPr>
            <w:r w:rsidRPr="00B92499">
              <w:rPr>
                <w:rFonts w:ascii="Arial" w:hAnsi="Arial" w:cs="Arial"/>
                <w:color w:val="000000"/>
                <w:sz w:val="20"/>
                <w:szCs w:val="20"/>
              </w:rPr>
              <w:t>Listado de jubilados y pensionados y monto que reciben.</w:t>
            </w:r>
          </w:p>
        </w:tc>
        <w:tc>
          <w:tcPr>
            <w:tcW w:w="1234" w:type="dxa"/>
            <w:tcBorders>
              <w:top w:val="nil"/>
              <w:left w:val="nil"/>
              <w:bottom w:val="single" w:sz="4" w:space="0" w:color="auto"/>
              <w:right w:val="single" w:sz="4" w:space="0" w:color="auto"/>
            </w:tcBorders>
            <w:shd w:val="clear" w:color="auto" w:fill="auto"/>
            <w:vAlign w:val="center"/>
            <w:hideMark/>
          </w:tcPr>
          <w:p w14:paraId="4B8D709B" w14:textId="77777777" w:rsidR="00074700" w:rsidRPr="00B92499" w:rsidRDefault="00074700" w:rsidP="00074700">
            <w:pPr>
              <w:jc w:val="center"/>
              <w:rPr>
                <w:rFonts w:ascii="Arial" w:hAnsi="Arial" w:cs="Arial"/>
                <w:color w:val="000000"/>
                <w:sz w:val="20"/>
                <w:szCs w:val="20"/>
              </w:rPr>
            </w:pPr>
            <w:r w:rsidRPr="00B92499">
              <w:rPr>
                <w:rFonts w:ascii="Arial" w:hAnsi="Arial" w:cs="Arial"/>
                <w:color w:val="000000"/>
                <w:sz w:val="20"/>
                <w:szCs w:val="20"/>
              </w:rPr>
              <w:t>87.97</w:t>
            </w:r>
          </w:p>
        </w:tc>
      </w:tr>
      <w:tr w:rsidR="00074700" w:rsidRPr="00B92499" w14:paraId="162C3A1A" w14:textId="77777777" w:rsidTr="00773979">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10DAA07" w14:textId="77777777" w:rsidR="00074700" w:rsidRPr="00B92499" w:rsidRDefault="00074700" w:rsidP="00074700">
            <w:pPr>
              <w:jc w:val="center"/>
              <w:rPr>
                <w:rFonts w:ascii="Arial" w:hAnsi="Arial" w:cs="Arial"/>
                <w:color w:val="000000"/>
                <w:sz w:val="20"/>
                <w:szCs w:val="20"/>
              </w:rPr>
            </w:pPr>
            <w:r w:rsidRPr="00B92499">
              <w:rPr>
                <w:rFonts w:ascii="Arial" w:hAnsi="Arial" w:cs="Arial"/>
                <w:color w:val="000000"/>
                <w:sz w:val="20"/>
                <w:szCs w:val="20"/>
              </w:rPr>
              <w:t>LIV</w:t>
            </w:r>
          </w:p>
        </w:tc>
        <w:tc>
          <w:tcPr>
            <w:tcW w:w="0" w:type="auto"/>
            <w:tcBorders>
              <w:top w:val="nil"/>
              <w:left w:val="nil"/>
              <w:bottom w:val="single" w:sz="4" w:space="0" w:color="auto"/>
              <w:right w:val="single" w:sz="4" w:space="0" w:color="auto"/>
            </w:tcBorders>
            <w:shd w:val="clear" w:color="auto" w:fill="auto"/>
            <w:vAlign w:val="center"/>
            <w:hideMark/>
          </w:tcPr>
          <w:p w14:paraId="2440A157" w14:textId="77777777" w:rsidR="00074700" w:rsidRPr="00B92499" w:rsidRDefault="00074700" w:rsidP="00773979">
            <w:pPr>
              <w:rPr>
                <w:rFonts w:ascii="Arial" w:hAnsi="Arial" w:cs="Arial"/>
                <w:color w:val="000000"/>
                <w:sz w:val="20"/>
                <w:szCs w:val="20"/>
              </w:rPr>
            </w:pPr>
            <w:r w:rsidRPr="00B92499">
              <w:rPr>
                <w:rFonts w:ascii="Arial" w:hAnsi="Arial" w:cs="Arial"/>
                <w:color w:val="000000"/>
                <w:sz w:val="20"/>
                <w:szCs w:val="20"/>
              </w:rPr>
              <w:t>Personas beneficiadas, la temporalidad, los montos y todo aquello relacionado con el acto administrativo de los incentivos, condonaciones, reducciones fiscales, concesiones, permisos o licencias, entre otros actos.</w:t>
            </w:r>
          </w:p>
        </w:tc>
        <w:tc>
          <w:tcPr>
            <w:tcW w:w="1234" w:type="dxa"/>
            <w:tcBorders>
              <w:top w:val="nil"/>
              <w:left w:val="nil"/>
              <w:bottom w:val="single" w:sz="4" w:space="0" w:color="auto"/>
              <w:right w:val="single" w:sz="4" w:space="0" w:color="auto"/>
            </w:tcBorders>
            <w:shd w:val="clear" w:color="auto" w:fill="auto"/>
            <w:vAlign w:val="center"/>
            <w:hideMark/>
          </w:tcPr>
          <w:p w14:paraId="5E7A556E" w14:textId="77777777" w:rsidR="00074700" w:rsidRPr="00B92499" w:rsidRDefault="00074700" w:rsidP="00074700">
            <w:pPr>
              <w:jc w:val="center"/>
              <w:rPr>
                <w:rFonts w:ascii="Arial" w:hAnsi="Arial" w:cs="Arial"/>
                <w:color w:val="000000"/>
                <w:sz w:val="20"/>
                <w:szCs w:val="20"/>
              </w:rPr>
            </w:pPr>
            <w:r w:rsidRPr="00B92499">
              <w:rPr>
                <w:rFonts w:ascii="Arial" w:hAnsi="Arial" w:cs="Arial"/>
                <w:color w:val="000000"/>
                <w:sz w:val="20"/>
                <w:szCs w:val="20"/>
              </w:rPr>
              <w:t>87.34</w:t>
            </w:r>
          </w:p>
        </w:tc>
      </w:tr>
      <w:tr w:rsidR="00074700" w:rsidRPr="00B92499" w14:paraId="203E8B4D" w14:textId="77777777" w:rsidTr="00773979">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9BDA274" w14:textId="77777777" w:rsidR="00074700" w:rsidRPr="00B92499" w:rsidRDefault="00074700" w:rsidP="00074700">
            <w:pPr>
              <w:jc w:val="center"/>
              <w:rPr>
                <w:rFonts w:ascii="Arial" w:hAnsi="Arial" w:cs="Arial"/>
                <w:color w:val="000000"/>
                <w:sz w:val="20"/>
                <w:szCs w:val="20"/>
              </w:rPr>
            </w:pPr>
            <w:r w:rsidRPr="00B92499">
              <w:rPr>
                <w:rFonts w:ascii="Arial" w:hAnsi="Arial" w:cs="Arial"/>
                <w:color w:val="000000"/>
                <w:sz w:val="20"/>
                <w:szCs w:val="20"/>
              </w:rPr>
              <w:t>XXXV</w:t>
            </w:r>
          </w:p>
        </w:tc>
        <w:tc>
          <w:tcPr>
            <w:tcW w:w="0" w:type="auto"/>
            <w:tcBorders>
              <w:top w:val="nil"/>
              <w:left w:val="nil"/>
              <w:bottom w:val="single" w:sz="4" w:space="0" w:color="auto"/>
              <w:right w:val="single" w:sz="4" w:space="0" w:color="auto"/>
            </w:tcBorders>
            <w:shd w:val="clear" w:color="auto" w:fill="auto"/>
            <w:vAlign w:val="center"/>
            <w:hideMark/>
          </w:tcPr>
          <w:p w14:paraId="3B0E2005" w14:textId="77777777" w:rsidR="00074700" w:rsidRPr="00B92499" w:rsidRDefault="00074700" w:rsidP="00773979">
            <w:pPr>
              <w:rPr>
                <w:rFonts w:ascii="Arial" w:hAnsi="Arial" w:cs="Arial"/>
                <w:color w:val="000000"/>
                <w:sz w:val="20"/>
                <w:szCs w:val="20"/>
              </w:rPr>
            </w:pPr>
            <w:r w:rsidRPr="00B92499">
              <w:rPr>
                <w:rFonts w:ascii="Arial" w:hAnsi="Arial" w:cs="Arial"/>
                <w:color w:val="000000"/>
                <w:sz w:val="20"/>
                <w:szCs w:val="20"/>
              </w:rPr>
              <w:t>Convenios de coordinación de concertación con los sectores sociales y privado.</w:t>
            </w:r>
          </w:p>
        </w:tc>
        <w:tc>
          <w:tcPr>
            <w:tcW w:w="1234" w:type="dxa"/>
            <w:tcBorders>
              <w:top w:val="nil"/>
              <w:left w:val="nil"/>
              <w:bottom w:val="single" w:sz="4" w:space="0" w:color="auto"/>
              <w:right w:val="single" w:sz="4" w:space="0" w:color="auto"/>
            </w:tcBorders>
            <w:shd w:val="clear" w:color="auto" w:fill="auto"/>
            <w:vAlign w:val="center"/>
            <w:hideMark/>
          </w:tcPr>
          <w:p w14:paraId="27EF3E87" w14:textId="77777777" w:rsidR="00074700" w:rsidRPr="00B92499" w:rsidRDefault="00074700" w:rsidP="00074700">
            <w:pPr>
              <w:jc w:val="center"/>
              <w:rPr>
                <w:rFonts w:ascii="Arial" w:hAnsi="Arial" w:cs="Arial"/>
                <w:color w:val="000000"/>
                <w:sz w:val="20"/>
                <w:szCs w:val="20"/>
              </w:rPr>
            </w:pPr>
            <w:r w:rsidRPr="00B92499">
              <w:rPr>
                <w:rFonts w:ascii="Arial" w:hAnsi="Arial" w:cs="Arial"/>
                <w:color w:val="000000"/>
                <w:sz w:val="20"/>
                <w:szCs w:val="20"/>
              </w:rPr>
              <w:t>87.32</w:t>
            </w:r>
          </w:p>
        </w:tc>
      </w:tr>
      <w:tr w:rsidR="00074700" w:rsidRPr="00B92499" w14:paraId="3E52B274" w14:textId="77777777" w:rsidTr="00773979">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A72BCAD" w14:textId="77777777" w:rsidR="00074700" w:rsidRPr="00B92499" w:rsidRDefault="00074700" w:rsidP="00074700">
            <w:pPr>
              <w:jc w:val="center"/>
              <w:rPr>
                <w:rFonts w:ascii="Arial" w:hAnsi="Arial" w:cs="Arial"/>
                <w:color w:val="000000"/>
                <w:sz w:val="20"/>
                <w:szCs w:val="20"/>
              </w:rPr>
            </w:pPr>
            <w:r w:rsidRPr="00B92499">
              <w:rPr>
                <w:rFonts w:ascii="Arial" w:hAnsi="Arial" w:cs="Arial"/>
                <w:color w:val="000000"/>
                <w:sz w:val="20"/>
                <w:szCs w:val="20"/>
              </w:rPr>
              <w:t>XVIII</w:t>
            </w:r>
          </w:p>
        </w:tc>
        <w:tc>
          <w:tcPr>
            <w:tcW w:w="0" w:type="auto"/>
            <w:tcBorders>
              <w:top w:val="nil"/>
              <w:left w:val="nil"/>
              <w:bottom w:val="single" w:sz="4" w:space="0" w:color="auto"/>
              <w:right w:val="single" w:sz="4" w:space="0" w:color="auto"/>
            </w:tcBorders>
            <w:shd w:val="clear" w:color="auto" w:fill="auto"/>
            <w:vAlign w:val="center"/>
            <w:hideMark/>
          </w:tcPr>
          <w:p w14:paraId="3EBCF910" w14:textId="77777777" w:rsidR="00074700" w:rsidRPr="00B92499" w:rsidRDefault="00074700" w:rsidP="00773979">
            <w:pPr>
              <w:rPr>
                <w:rFonts w:ascii="Arial" w:hAnsi="Arial" w:cs="Arial"/>
                <w:color w:val="000000"/>
                <w:sz w:val="20"/>
                <w:szCs w:val="20"/>
              </w:rPr>
            </w:pPr>
            <w:r w:rsidRPr="00B92499">
              <w:rPr>
                <w:rFonts w:ascii="Arial" w:hAnsi="Arial" w:cs="Arial"/>
                <w:color w:val="000000"/>
                <w:sz w:val="20"/>
                <w:szCs w:val="20"/>
              </w:rPr>
              <w:t>Servidores públicos con sanciones administrativas.</w:t>
            </w:r>
          </w:p>
        </w:tc>
        <w:tc>
          <w:tcPr>
            <w:tcW w:w="1234" w:type="dxa"/>
            <w:tcBorders>
              <w:top w:val="nil"/>
              <w:left w:val="nil"/>
              <w:bottom w:val="single" w:sz="4" w:space="0" w:color="auto"/>
              <w:right w:val="single" w:sz="4" w:space="0" w:color="auto"/>
            </w:tcBorders>
            <w:shd w:val="clear" w:color="auto" w:fill="auto"/>
            <w:vAlign w:val="center"/>
            <w:hideMark/>
          </w:tcPr>
          <w:p w14:paraId="72ABA7D6" w14:textId="77777777" w:rsidR="00074700" w:rsidRPr="00B92499" w:rsidRDefault="00074700" w:rsidP="00074700">
            <w:pPr>
              <w:jc w:val="center"/>
              <w:rPr>
                <w:rFonts w:ascii="Arial" w:hAnsi="Arial" w:cs="Arial"/>
                <w:color w:val="000000"/>
                <w:sz w:val="20"/>
                <w:szCs w:val="20"/>
              </w:rPr>
            </w:pPr>
            <w:r w:rsidRPr="00B92499">
              <w:rPr>
                <w:rFonts w:ascii="Arial" w:hAnsi="Arial" w:cs="Arial"/>
                <w:color w:val="000000"/>
                <w:sz w:val="20"/>
                <w:szCs w:val="20"/>
              </w:rPr>
              <w:t>87.06</w:t>
            </w:r>
          </w:p>
        </w:tc>
      </w:tr>
      <w:tr w:rsidR="00074700" w:rsidRPr="00B92499" w14:paraId="767C76CF" w14:textId="77777777" w:rsidTr="00773979">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594F3C5" w14:textId="77777777" w:rsidR="00074700" w:rsidRPr="00B92499" w:rsidRDefault="00074700" w:rsidP="00074700">
            <w:pPr>
              <w:jc w:val="center"/>
              <w:rPr>
                <w:rFonts w:ascii="Arial" w:hAnsi="Arial" w:cs="Arial"/>
                <w:color w:val="000000"/>
                <w:sz w:val="20"/>
                <w:szCs w:val="20"/>
              </w:rPr>
            </w:pPr>
            <w:r w:rsidRPr="00B92499">
              <w:rPr>
                <w:rFonts w:ascii="Arial" w:hAnsi="Arial" w:cs="Arial"/>
                <w:color w:val="000000"/>
                <w:sz w:val="20"/>
                <w:szCs w:val="20"/>
              </w:rPr>
              <w:t>XXXIII</w:t>
            </w:r>
          </w:p>
        </w:tc>
        <w:tc>
          <w:tcPr>
            <w:tcW w:w="0" w:type="auto"/>
            <w:tcBorders>
              <w:top w:val="nil"/>
              <w:left w:val="nil"/>
              <w:bottom w:val="single" w:sz="4" w:space="0" w:color="auto"/>
              <w:right w:val="single" w:sz="4" w:space="0" w:color="auto"/>
            </w:tcBorders>
            <w:shd w:val="clear" w:color="auto" w:fill="auto"/>
            <w:vAlign w:val="center"/>
            <w:hideMark/>
          </w:tcPr>
          <w:p w14:paraId="3E58880F" w14:textId="77777777" w:rsidR="00074700" w:rsidRPr="00B92499" w:rsidRDefault="00074700" w:rsidP="00773979">
            <w:pPr>
              <w:rPr>
                <w:rFonts w:ascii="Arial" w:hAnsi="Arial" w:cs="Arial"/>
                <w:color w:val="000000"/>
                <w:sz w:val="20"/>
                <w:szCs w:val="20"/>
              </w:rPr>
            </w:pPr>
            <w:r w:rsidRPr="00B92499">
              <w:rPr>
                <w:rFonts w:ascii="Arial" w:hAnsi="Arial" w:cs="Arial"/>
                <w:color w:val="000000"/>
                <w:sz w:val="20"/>
                <w:szCs w:val="20"/>
              </w:rPr>
              <w:t>Informe de avances programáticos o presupuestales.</w:t>
            </w:r>
          </w:p>
        </w:tc>
        <w:tc>
          <w:tcPr>
            <w:tcW w:w="1234" w:type="dxa"/>
            <w:tcBorders>
              <w:top w:val="nil"/>
              <w:left w:val="nil"/>
              <w:bottom w:val="single" w:sz="4" w:space="0" w:color="auto"/>
              <w:right w:val="single" w:sz="4" w:space="0" w:color="auto"/>
            </w:tcBorders>
            <w:shd w:val="clear" w:color="auto" w:fill="auto"/>
            <w:vAlign w:val="center"/>
            <w:hideMark/>
          </w:tcPr>
          <w:p w14:paraId="656889D4" w14:textId="77777777" w:rsidR="00074700" w:rsidRPr="00B92499" w:rsidRDefault="00074700" w:rsidP="00074700">
            <w:pPr>
              <w:jc w:val="center"/>
              <w:rPr>
                <w:rFonts w:ascii="Arial" w:hAnsi="Arial" w:cs="Arial"/>
                <w:color w:val="000000"/>
                <w:sz w:val="20"/>
                <w:szCs w:val="20"/>
              </w:rPr>
            </w:pPr>
            <w:r w:rsidRPr="00B92499">
              <w:rPr>
                <w:rFonts w:ascii="Arial" w:hAnsi="Arial" w:cs="Arial"/>
                <w:color w:val="000000"/>
                <w:sz w:val="20"/>
                <w:szCs w:val="20"/>
              </w:rPr>
              <w:t>86.92</w:t>
            </w:r>
          </w:p>
        </w:tc>
      </w:tr>
      <w:tr w:rsidR="00074700" w:rsidRPr="00B92499" w14:paraId="542A33E3" w14:textId="77777777" w:rsidTr="00773979">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FE6D983" w14:textId="77777777" w:rsidR="00074700" w:rsidRPr="00B92499" w:rsidRDefault="00074700" w:rsidP="00074700">
            <w:pPr>
              <w:jc w:val="center"/>
              <w:rPr>
                <w:rFonts w:ascii="Arial" w:hAnsi="Arial" w:cs="Arial"/>
                <w:color w:val="000000"/>
                <w:sz w:val="20"/>
                <w:szCs w:val="20"/>
              </w:rPr>
            </w:pPr>
            <w:r w:rsidRPr="00B92499">
              <w:rPr>
                <w:rFonts w:ascii="Arial" w:hAnsi="Arial" w:cs="Arial"/>
                <w:color w:val="000000"/>
                <w:sz w:val="20"/>
                <w:szCs w:val="20"/>
              </w:rPr>
              <w:t>XLIX</w:t>
            </w:r>
          </w:p>
        </w:tc>
        <w:tc>
          <w:tcPr>
            <w:tcW w:w="0" w:type="auto"/>
            <w:tcBorders>
              <w:top w:val="nil"/>
              <w:left w:val="nil"/>
              <w:bottom w:val="single" w:sz="4" w:space="0" w:color="auto"/>
              <w:right w:val="single" w:sz="4" w:space="0" w:color="auto"/>
            </w:tcBorders>
            <w:shd w:val="clear" w:color="auto" w:fill="auto"/>
            <w:vAlign w:val="center"/>
            <w:hideMark/>
          </w:tcPr>
          <w:p w14:paraId="7633493C" w14:textId="77777777" w:rsidR="00074700" w:rsidRPr="00B92499" w:rsidRDefault="00074700" w:rsidP="00773979">
            <w:pPr>
              <w:rPr>
                <w:rFonts w:ascii="Arial" w:hAnsi="Arial" w:cs="Arial"/>
                <w:color w:val="000000"/>
                <w:sz w:val="20"/>
                <w:szCs w:val="20"/>
              </w:rPr>
            </w:pPr>
            <w:r w:rsidRPr="00B92499">
              <w:rPr>
                <w:rFonts w:ascii="Arial" w:hAnsi="Arial" w:cs="Arial"/>
                <w:color w:val="000000"/>
                <w:sz w:val="20"/>
                <w:szCs w:val="20"/>
              </w:rPr>
              <w:t>El catálogo de disposición y guía de archivo documental.</w:t>
            </w:r>
          </w:p>
        </w:tc>
        <w:tc>
          <w:tcPr>
            <w:tcW w:w="1234" w:type="dxa"/>
            <w:tcBorders>
              <w:top w:val="nil"/>
              <w:left w:val="nil"/>
              <w:bottom w:val="single" w:sz="4" w:space="0" w:color="auto"/>
              <w:right w:val="single" w:sz="4" w:space="0" w:color="auto"/>
            </w:tcBorders>
            <w:shd w:val="clear" w:color="auto" w:fill="auto"/>
            <w:vAlign w:val="center"/>
            <w:hideMark/>
          </w:tcPr>
          <w:p w14:paraId="288D6A0D" w14:textId="77777777" w:rsidR="00074700" w:rsidRPr="00B92499" w:rsidRDefault="00074700" w:rsidP="00074700">
            <w:pPr>
              <w:jc w:val="center"/>
              <w:rPr>
                <w:rFonts w:ascii="Arial" w:hAnsi="Arial" w:cs="Arial"/>
                <w:color w:val="000000"/>
                <w:sz w:val="20"/>
                <w:szCs w:val="20"/>
              </w:rPr>
            </w:pPr>
            <w:r w:rsidRPr="00B92499">
              <w:rPr>
                <w:rFonts w:ascii="Arial" w:hAnsi="Arial" w:cs="Arial"/>
                <w:color w:val="000000"/>
                <w:sz w:val="20"/>
                <w:szCs w:val="20"/>
              </w:rPr>
              <w:t>86.51</w:t>
            </w:r>
          </w:p>
        </w:tc>
      </w:tr>
      <w:tr w:rsidR="00074700" w:rsidRPr="00B92499" w14:paraId="3ED1C2C5" w14:textId="77777777" w:rsidTr="00773979">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2156A06" w14:textId="77777777" w:rsidR="00074700" w:rsidRPr="00B92499" w:rsidRDefault="00074700" w:rsidP="00074700">
            <w:pPr>
              <w:jc w:val="center"/>
              <w:rPr>
                <w:rFonts w:ascii="Arial" w:hAnsi="Arial" w:cs="Arial"/>
                <w:color w:val="000000"/>
                <w:sz w:val="20"/>
                <w:szCs w:val="20"/>
              </w:rPr>
            </w:pPr>
            <w:r w:rsidRPr="00B92499">
              <w:rPr>
                <w:rFonts w:ascii="Arial" w:hAnsi="Arial" w:cs="Arial"/>
                <w:color w:val="000000"/>
                <w:sz w:val="20"/>
                <w:szCs w:val="20"/>
              </w:rPr>
              <w:t>XLV</w:t>
            </w:r>
          </w:p>
        </w:tc>
        <w:tc>
          <w:tcPr>
            <w:tcW w:w="0" w:type="auto"/>
            <w:tcBorders>
              <w:top w:val="nil"/>
              <w:left w:val="nil"/>
              <w:bottom w:val="single" w:sz="4" w:space="0" w:color="auto"/>
              <w:right w:val="single" w:sz="4" w:space="0" w:color="auto"/>
            </w:tcBorders>
            <w:shd w:val="clear" w:color="auto" w:fill="auto"/>
            <w:vAlign w:val="center"/>
            <w:hideMark/>
          </w:tcPr>
          <w:p w14:paraId="3A914ADC" w14:textId="77777777" w:rsidR="00074700" w:rsidRPr="00B92499" w:rsidRDefault="00074700" w:rsidP="00773979">
            <w:pPr>
              <w:rPr>
                <w:rFonts w:ascii="Arial" w:hAnsi="Arial" w:cs="Arial"/>
                <w:color w:val="000000"/>
                <w:sz w:val="20"/>
                <w:szCs w:val="20"/>
              </w:rPr>
            </w:pPr>
            <w:r w:rsidRPr="00B92499">
              <w:rPr>
                <w:rFonts w:ascii="Arial" w:hAnsi="Arial" w:cs="Arial"/>
                <w:color w:val="000000"/>
                <w:sz w:val="20"/>
                <w:szCs w:val="20"/>
              </w:rPr>
              <w:t>Estudios financiados con recursos públicos.</w:t>
            </w:r>
          </w:p>
        </w:tc>
        <w:tc>
          <w:tcPr>
            <w:tcW w:w="1234" w:type="dxa"/>
            <w:tcBorders>
              <w:top w:val="nil"/>
              <w:left w:val="nil"/>
              <w:bottom w:val="single" w:sz="4" w:space="0" w:color="auto"/>
              <w:right w:val="single" w:sz="4" w:space="0" w:color="auto"/>
            </w:tcBorders>
            <w:shd w:val="clear" w:color="auto" w:fill="auto"/>
            <w:vAlign w:val="center"/>
            <w:hideMark/>
          </w:tcPr>
          <w:p w14:paraId="72F1BC4D" w14:textId="77777777" w:rsidR="00074700" w:rsidRPr="00B92499" w:rsidRDefault="00074700" w:rsidP="00074700">
            <w:pPr>
              <w:jc w:val="center"/>
              <w:rPr>
                <w:rFonts w:ascii="Arial" w:hAnsi="Arial" w:cs="Arial"/>
                <w:color w:val="000000"/>
                <w:sz w:val="20"/>
                <w:szCs w:val="20"/>
              </w:rPr>
            </w:pPr>
            <w:r w:rsidRPr="00B92499">
              <w:rPr>
                <w:rFonts w:ascii="Arial" w:hAnsi="Arial" w:cs="Arial"/>
                <w:color w:val="000000"/>
                <w:sz w:val="20"/>
                <w:szCs w:val="20"/>
              </w:rPr>
              <w:t>86.46</w:t>
            </w:r>
          </w:p>
        </w:tc>
      </w:tr>
      <w:tr w:rsidR="00074700" w:rsidRPr="00B92499" w14:paraId="36365FDE" w14:textId="77777777" w:rsidTr="00773979">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029CF85" w14:textId="77777777" w:rsidR="00074700" w:rsidRPr="00B92499" w:rsidRDefault="00074700" w:rsidP="00074700">
            <w:pPr>
              <w:jc w:val="center"/>
              <w:rPr>
                <w:rFonts w:ascii="Arial" w:hAnsi="Arial" w:cs="Arial"/>
                <w:color w:val="000000"/>
                <w:sz w:val="20"/>
                <w:szCs w:val="20"/>
              </w:rPr>
            </w:pPr>
            <w:r w:rsidRPr="00B92499">
              <w:rPr>
                <w:rFonts w:ascii="Arial" w:hAnsi="Arial" w:cs="Arial"/>
                <w:color w:val="000000"/>
                <w:sz w:val="20"/>
                <w:szCs w:val="20"/>
              </w:rPr>
              <w:t>L</w:t>
            </w:r>
          </w:p>
        </w:tc>
        <w:tc>
          <w:tcPr>
            <w:tcW w:w="0" w:type="auto"/>
            <w:tcBorders>
              <w:top w:val="nil"/>
              <w:left w:val="nil"/>
              <w:bottom w:val="single" w:sz="4" w:space="0" w:color="auto"/>
              <w:right w:val="single" w:sz="4" w:space="0" w:color="auto"/>
            </w:tcBorders>
            <w:shd w:val="clear" w:color="auto" w:fill="auto"/>
            <w:vAlign w:val="center"/>
            <w:hideMark/>
          </w:tcPr>
          <w:p w14:paraId="2F0ACD87" w14:textId="77777777" w:rsidR="00074700" w:rsidRPr="00B92499" w:rsidRDefault="00074700" w:rsidP="00773979">
            <w:pPr>
              <w:rPr>
                <w:rFonts w:ascii="Arial" w:hAnsi="Arial" w:cs="Arial"/>
                <w:color w:val="000000"/>
                <w:sz w:val="20"/>
                <w:szCs w:val="20"/>
              </w:rPr>
            </w:pPr>
            <w:r w:rsidRPr="00B92499">
              <w:rPr>
                <w:rFonts w:ascii="Arial" w:hAnsi="Arial" w:cs="Arial"/>
                <w:color w:val="000000"/>
                <w:sz w:val="20"/>
                <w:szCs w:val="20"/>
              </w:rPr>
              <w:t>La calendarización, minutas y actas de las reuniones públicas de los consejos, colegiados, gabinetes, sesiones plenarias, comités, comisiones y sesiones de trabajo.</w:t>
            </w:r>
          </w:p>
        </w:tc>
        <w:tc>
          <w:tcPr>
            <w:tcW w:w="1234" w:type="dxa"/>
            <w:tcBorders>
              <w:top w:val="nil"/>
              <w:left w:val="nil"/>
              <w:bottom w:val="single" w:sz="4" w:space="0" w:color="auto"/>
              <w:right w:val="single" w:sz="4" w:space="0" w:color="auto"/>
            </w:tcBorders>
            <w:shd w:val="clear" w:color="auto" w:fill="auto"/>
            <w:vAlign w:val="center"/>
            <w:hideMark/>
          </w:tcPr>
          <w:p w14:paraId="4C7B6DF6" w14:textId="77777777" w:rsidR="00074700" w:rsidRPr="00B92499" w:rsidRDefault="00074700" w:rsidP="00074700">
            <w:pPr>
              <w:jc w:val="center"/>
              <w:rPr>
                <w:rFonts w:ascii="Arial" w:hAnsi="Arial" w:cs="Arial"/>
                <w:color w:val="000000"/>
                <w:sz w:val="20"/>
                <w:szCs w:val="20"/>
              </w:rPr>
            </w:pPr>
            <w:r w:rsidRPr="00B92499">
              <w:rPr>
                <w:rFonts w:ascii="Arial" w:hAnsi="Arial" w:cs="Arial"/>
                <w:color w:val="000000"/>
                <w:sz w:val="20"/>
                <w:szCs w:val="20"/>
              </w:rPr>
              <w:t>86.25</w:t>
            </w:r>
          </w:p>
        </w:tc>
      </w:tr>
      <w:tr w:rsidR="00074700" w:rsidRPr="00B92499" w14:paraId="3F60F116" w14:textId="77777777" w:rsidTr="00773979">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F0897E5" w14:textId="77777777" w:rsidR="00074700" w:rsidRPr="00B92499" w:rsidRDefault="00074700" w:rsidP="00074700">
            <w:pPr>
              <w:jc w:val="center"/>
              <w:rPr>
                <w:rFonts w:ascii="Arial" w:hAnsi="Arial" w:cs="Arial"/>
                <w:color w:val="000000"/>
                <w:sz w:val="20"/>
                <w:szCs w:val="20"/>
              </w:rPr>
            </w:pPr>
            <w:r w:rsidRPr="00B92499">
              <w:rPr>
                <w:rFonts w:ascii="Arial" w:hAnsi="Arial" w:cs="Arial"/>
                <w:color w:val="000000"/>
                <w:sz w:val="20"/>
                <w:szCs w:val="20"/>
              </w:rPr>
              <w:t>XII</w:t>
            </w:r>
          </w:p>
        </w:tc>
        <w:tc>
          <w:tcPr>
            <w:tcW w:w="0" w:type="auto"/>
            <w:tcBorders>
              <w:top w:val="nil"/>
              <w:left w:val="nil"/>
              <w:bottom w:val="single" w:sz="4" w:space="0" w:color="auto"/>
              <w:right w:val="single" w:sz="4" w:space="0" w:color="auto"/>
            </w:tcBorders>
            <w:shd w:val="clear" w:color="auto" w:fill="auto"/>
            <w:vAlign w:val="center"/>
            <w:hideMark/>
          </w:tcPr>
          <w:p w14:paraId="67B81AA2" w14:textId="77777777" w:rsidR="00074700" w:rsidRPr="00B92499" w:rsidRDefault="00074700" w:rsidP="00773979">
            <w:pPr>
              <w:rPr>
                <w:rFonts w:ascii="Arial" w:hAnsi="Arial" w:cs="Arial"/>
                <w:color w:val="000000"/>
                <w:sz w:val="20"/>
                <w:szCs w:val="20"/>
              </w:rPr>
            </w:pPr>
            <w:r w:rsidRPr="00B92499">
              <w:rPr>
                <w:rFonts w:ascii="Arial" w:hAnsi="Arial" w:cs="Arial"/>
                <w:color w:val="000000"/>
                <w:sz w:val="20"/>
                <w:szCs w:val="20"/>
              </w:rPr>
              <w:t>Servicios profesionales y honorarios.</w:t>
            </w:r>
          </w:p>
        </w:tc>
        <w:tc>
          <w:tcPr>
            <w:tcW w:w="1234" w:type="dxa"/>
            <w:tcBorders>
              <w:top w:val="nil"/>
              <w:left w:val="nil"/>
              <w:bottom w:val="single" w:sz="4" w:space="0" w:color="auto"/>
              <w:right w:val="single" w:sz="4" w:space="0" w:color="auto"/>
            </w:tcBorders>
            <w:shd w:val="clear" w:color="auto" w:fill="auto"/>
            <w:vAlign w:val="center"/>
            <w:hideMark/>
          </w:tcPr>
          <w:p w14:paraId="1CE2AF04" w14:textId="77777777" w:rsidR="00074700" w:rsidRPr="00B92499" w:rsidRDefault="00074700" w:rsidP="00074700">
            <w:pPr>
              <w:jc w:val="center"/>
              <w:rPr>
                <w:rFonts w:ascii="Arial" w:hAnsi="Arial" w:cs="Arial"/>
                <w:color w:val="000000"/>
                <w:sz w:val="20"/>
                <w:szCs w:val="20"/>
              </w:rPr>
            </w:pPr>
            <w:r w:rsidRPr="00B92499">
              <w:rPr>
                <w:rFonts w:ascii="Arial" w:hAnsi="Arial" w:cs="Arial"/>
                <w:color w:val="000000"/>
                <w:sz w:val="20"/>
                <w:szCs w:val="20"/>
              </w:rPr>
              <w:t>85.93</w:t>
            </w:r>
          </w:p>
        </w:tc>
      </w:tr>
      <w:tr w:rsidR="00074700" w:rsidRPr="00B92499" w14:paraId="0B248995" w14:textId="77777777" w:rsidTr="00773979">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50DC185" w14:textId="77777777" w:rsidR="00074700" w:rsidRPr="00B92499" w:rsidRDefault="00074700" w:rsidP="00074700">
            <w:pPr>
              <w:jc w:val="center"/>
              <w:rPr>
                <w:rFonts w:ascii="Arial" w:hAnsi="Arial" w:cs="Arial"/>
                <w:color w:val="000000"/>
                <w:sz w:val="20"/>
                <w:szCs w:val="20"/>
              </w:rPr>
            </w:pPr>
            <w:r w:rsidRPr="00B92499">
              <w:rPr>
                <w:rFonts w:ascii="Arial" w:hAnsi="Arial" w:cs="Arial"/>
                <w:color w:val="000000"/>
                <w:sz w:val="20"/>
                <w:szCs w:val="20"/>
              </w:rPr>
              <w:t>I</w:t>
            </w:r>
          </w:p>
        </w:tc>
        <w:tc>
          <w:tcPr>
            <w:tcW w:w="0" w:type="auto"/>
            <w:tcBorders>
              <w:top w:val="nil"/>
              <w:left w:val="nil"/>
              <w:bottom w:val="single" w:sz="4" w:space="0" w:color="auto"/>
              <w:right w:val="single" w:sz="4" w:space="0" w:color="auto"/>
            </w:tcBorders>
            <w:shd w:val="clear" w:color="auto" w:fill="auto"/>
            <w:vAlign w:val="center"/>
            <w:hideMark/>
          </w:tcPr>
          <w:p w14:paraId="7BC5CDB3" w14:textId="77777777" w:rsidR="00074700" w:rsidRPr="00B92499" w:rsidRDefault="00074700" w:rsidP="00773979">
            <w:pPr>
              <w:rPr>
                <w:rFonts w:ascii="Arial" w:hAnsi="Arial" w:cs="Arial"/>
                <w:color w:val="000000"/>
                <w:sz w:val="20"/>
                <w:szCs w:val="20"/>
              </w:rPr>
            </w:pPr>
            <w:r w:rsidRPr="00B92499">
              <w:rPr>
                <w:rFonts w:ascii="Arial" w:hAnsi="Arial" w:cs="Arial"/>
                <w:color w:val="000000"/>
                <w:sz w:val="20"/>
                <w:szCs w:val="20"/>
              </w:rPr>
              <w:t>Marco Normativo.</w:t>
            </w:r>
          </w:p>
        </w:tc>
        <w:tc>
          <w:tcPr>
            <w:tcW w:w="1234" w:type="dxa"/>
            <w:tcBorders>
              <w:top w:val="nil"/>
              <w:left w:val="nil"/>
              <w:bottom w:val="single" w:sz="4" w:space="0" w:color="auto"/>
              <w:right w:val="single" w:sz="4" w:space="0" w:color="auto"/>
            </w:tcBorders>
            <w:shd w:val="clear" w:color="auto" w:fill="auto"/>
            <w:vAlign w:val="center"/>
            <w:hideMark/>
          </w:tcPr>
          <w:p w14:paraId="6E7149AE" w14:textId="77777777" w:rsidR="00074700" w:rsidRPr="00B92499" w:rsidRDefault="00074700" w:rsidP="00074700">
            <w:pPr>
              <w:jc w:val="center"/>
              <w:rPr>
                <w:rFonts w:ascii="Arial" w:hAnsi="Arial" w:cs="Arial"/>
                <w:color w:val="000000"/>
                <w:sz w:val="20"/>
                <w:szCs w:val="20"/>
              </w:rPr>
            </w:pPr>
            <w:r w:rsidRPr="00B92499">
              <w:rPr>
                <w:rFonts w:ascii="Arial" w:hAnsi="Arial" w:cs="Arial"/>
                <w:color w:val="000000"/>
                <w:sz w:val="20"/>
                <w:szCs w:val="20"/>
              </w:rPr>
              <w:t>85.87</w:t>
            </w:r>
          </w:p>
        </w:tc>
      </w:tr>
      <w:tr w:rsidR="00074700" w:rsidRPr="00B92499" w14:paraId="07AD2062" w14:textId="77777777" w:rsidTr="00773979">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3BEC5DD" w14:textId="77777777" w:rsidR="00074700" w:rsidRPr="00B92499" w:rsidRDefault="00074700" w:rsidP="00074700">
            <w:pPr>
              <w:jc w:val="center"/>
              <w:rPr>
                <w:rFonts w:ascii="Arial" w:hAnsi="Arial" w:cs="Arial"/>
                <w:color w:val="000000"/>
                <w:sz w:val="20"/>
                <w:szCs w:val="20"/>
              </w:rPr>
            </w:pPr>
            <w:r w:rsidRPr="00B92499">
              <w:rPr>
                <w:rFonts w:ascii="Arial" w:hAnsi="Arial" w:cs="Arial"/>
                <w:color w:val="000000"/>
                <w:sz w:val="20"/>
                <w:szCs w:val="20"/>
              </w:rPr>
              <w:t>III</w:t>
            </w:r>
          </w:p>
        </w:tc>
        <w:tc>
          <w:tcPr>
            <w:tcW w:w="0" w:type="auto"/>
            <w:tcBorders>
              <w:top w:val="nil"/>
              <w:left w:val="nil"/>
              <w:bottom w:val="single" w:sz="4" w:space="0" w:color="auto"/>
              <w:right w:val="single" w:sz="4" w:space="0" w:color="auto"/>
            </w:tcBorders>
            <w:shd w:val="clear" w:color="auto" w:fill="auto"/>
            <w:vAlign w:val="center"/>
            <w:hideMark/>
          </w:tcPr>
          <w:p w14:paraId="18B9739F" w14:textId="77777777" w:rsidR="00074700" w:rsidRPr="00B92499" w:rsidRDefault="00074700" w:rsidP="00773979">
            <w:pPr>
              <w:rPr>
                <w:rFonts w:ascii="Arial" w:hAnsi="Arial" w:cs="Arial"/>
                <w:color w:val="000000"/>
                <w:sz w:val="20"/>
                <w:szCs w:val="20"/>
              </w:rPr>
            </w:pPr>
            <w:r w:rsidRPr="00B92499">
              <w:rPr>
                <w:rFonts w:ascii="Arial" w:hAnsi="Arial" w:cs="Arial"/>
                <w:color w:val="000000"/>
                <w:sz w:val="20"/>
                <w:szCs w:val="20"/>
              </w:rPr>
              <w:t>Facultades de cada área (dirección).</w:t>
            </w:r>
          </w:p>
        </w:tc>
        <w:tc>
          <w:tcPr>
            <w:tcW w:w="1234" w:type="dxa"/>
            <w:tcBorders>
              <w:top w:val="nil"/>
              <w:left w:val="nil"/>
              <w:bottom w:val="single" w:sz="4" w:space="0" w:color="auto"/>
              <w:right w:val="single" w:sz="4" w:space="0" w:color="auto"/>
            </w:tcBorders>
            <w:shd w:val="clear" w:color="auto" w:fill="auto"/>
            <w:vAlign w:val="center"/>
            <w:hideMark/>
          </w:tcPr>
          <w:p w14:paraId="1D95676A" w14:textId="77777777" w:rsidR="00074700" w:rsidRPr="00B92499" w:rsidRDefault="00074700" w:rsidP="00074700">
            <w:pPr>
              <w:jc w:val="center"/>
              <w:rPr>
                <w:rFonts w:ascii="Arial" w:hAnsi="Arial" w:cs="Arial"/>
                <w:color w:val="000000"/>
                <w:sz w:val="20"/>
                <w:szCs w:val="20"/>
              </w:rPr>
            </w:pPr>
            <w:r w:rsidRPr="00B92499">
              <w:rPr>
                <w:rFonts w:ascii="Arial" w:hAnsi="Arial" w:cs="Arial"/>
                <w:color w:val="000000"/>
                <w:sz w:val="20"/>
                <w:szCs w:val="20"/>
              </w:rPr>
              <w:t>85.37</w:t>
            </w:r>
          </w:p>
        </w:tc>
      </w:tr>
      <w:tr w:rsidR="00074700" w:rsidRPr="00B92499" w14:paraId="16B8000B" w14:textId="77777777" w:rsidTr="00773979">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7BFFF09" w14:textId="77777777" w:rsidR="00074700" w:rsidRPr="00B92499" w:rsidRDefault="00074700" w:rsidP="00074700">
            <w:pPr>
              <w:jc w:val="center"/>
              <w:rPr>
                <w:rFonts w:ascii="Arial" w:hAnsi="Arial" w:cs="Arial"/>
                <w:color w:val="000000"/>
                <w:sz w:val="20"/>
                <w:szCs w:val="20"/>
              </w:rPr>
            </w:pPr>
            <w:r w:rsidRPr="00B92499">
              <w:rPr>
                <w:rFonts w:ascii="Arial" w:hAnsi="Arial" w:cs="Arial"/>
                <w:color w:val="000000"/>
                <w:sz w:val="20"/>
                <w:szCs w:val="20"/>
              </w:rPr>
              <w:t>IV</w:t>
            </w:r>
          </w:p>
        </w:tc>
        <w:tc>
          <w:tcPr>
            <w:tcW w:w="0" w:type="auto"/>
            <w:tcBorders>
              <w:top w:val="nil"/>
              <w:left w:val="nil"/>
              <w:bottom w:val="single" w:sz="4" w:space="0" w:color="auto"/>
              <w:right w:val="single" w:sz="4" w:space="0" w:color="auto"/>
            </w:tcBorders>
            <w:shd w:val="clear" w:color="auto" w:fill="auto"/>
            <w:vAlign w:val="center"/>
            <w:hideMark/>
          </w:tcPr>
          <w:p w14:paraId="3BA7AEEC" w14:textId="77777777" w:rsidR="00074700" w:rsidRPr="00B92499" w:rsidRDefault="00074700" w:rsidP="00773979">
            <w:pPr>
              <w:rPr>
                <w:rFonts w:ascii="Arial" w:hAnsi="Arial" w:cs="Arial"/>
                <w:color w:val="000000"/>
                <w:sz w:val="20"/>
                <w:szCs w:val="20"/>
              </w:rPr>
            </w:pPr>
            <w:r w:rsidRPr="00B92499">
              <w:rPr>
                <w:rFonts w:ascii="Arial" w:hAnsi="Arial" w:cs="Arial"/>
                <w:color w:val="000000"/>
                <w:sz w:val="20"/>
                <w:szCs w:val="20"/>
              </w:rPr>
              <w:t>Metas y objetivos de la Dirección.</w:t>
            </w:r>
          </w:p>
        </w:tc>
        <w:tc>
          <w:tcPr>
            <w:tcW w:w="1234" w:type="dxa"/>
            <w:tcBorders>
              <w:top w:val="nil"/>
              <w:left w:val="nil"/>
              <w:bottom w:val="single" w:sz="4" w:space="0" w:color="auto"/>
              <w:right w:val="single" w:sz="4" w:space="0" w:color="auto"/>
            </w:tcBorders>
            <w:shd w:val="clear" w:color="auto" w:fill="auto"/>
            <w:vAlign w:val="center"/>
            <w:hideMark/>
          </w:tcPr>
          <w:p w14:paraId="2AEE657C" w14:textId="77777777" w:rsidR="00074700" w:rsidRPr="00B92499" w:rsidRDefault="00074700" w:rsidP="00074700">
            <w:pPr>
              <w:jc w:val="center"/>
              <w:rPr>
                <w:rFonts w:ascii="Arial" w:hAnsi="Arial" w:cs="Arial"/>
                <w:color w:val="000000"/>
                <w:sz w:val="20"/>
                <w:szCs w:val="20"/>
              </w:rPr>
            </w:pPr>
            <w:r w:rsidRPr="00B92499">
              <w:rPr>
                <w:rFonts w:ascii="Arial" w:hAnsi="Arial" w:cs="Arial"/>
                <w:color w:val="000000"/>
                <w:sz w:val="20"/>
                <w:szCs w:val="20"/>
              </w:rPr>
              <w:t>85.06</w:t>
            </w:r>
          </w:p>
        </w:tc>
      </w:tr>
      <w:tr w:rsidR="00074700" w:rsidRPr="00B92499" w14:paraId="76552032" w14:textId="77777777" w:rsidTr="00773979">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BE6701A" w14:textId="77777777" w:rsidR="00074700" w:rsidRPr="00B92499" w:rsidRDefault="00074700" w:rsidP="00074700">
            <w:pPr>
              <w:jc w:val="center"/>
              <w:rPr>
                <w:rFonts w:ascii="Arial" w:hAnsi="Arial" w:cs="Arial"/>
                <w:color w:val="000000"/>
                <w:sz w:val="20"/>
                <w:szCs w:val="20"/>
              </w:rPr>
            </w:pPr>
            <w:r w:rsidRPr="00B92499">
              <w:rPr>
                <w:rFonts w:ascii="Arial" w:hAnsi="Arial" w:cs="Arial"/>
                <w:color w:val="000000"/>
                <w:sz w:val="20"/>
                <w:szCs w:val="20"/>
              </w:rPr>
              <w:t>XLII</w:t>
            </w:r>
          </w:p>
        </w:tc>
        <w:tc>
          <w:tcPr>
            <w:tcW w:w="0" w:type="auto"/>
            <w:tcBorders>
              <w:top w:val="nil"/>
              <w:left w:val="nil"/>
              <w:bottom w:val="single" w:sz="4" w:space="0" w:color="auto"/>
              <w:right w:val="single" w:sz="4" w:space="0" w:color="auto"/>
            </w:tcBorders>
            <w:shd w:val="clear" w:color="auto" w:fill="auto"/>
            <w:vAlign w:val="center"/>
            <w:hideMark/>
          </w:tcPr>
          <w:p w14:paraId="42676193" w14:textId="5F50AB2A" w:rsidR="00074700" w:rsidRPr="00B92499" w:rsidRDefault="00074700" w:rsidP="00773979">
            <w:pPr>
              <w:rPr>
                <w:rFonts w:ascii="Arial" w:hAnsi="Arial" w:cs="Arial"/>
                <w:color w:val="000000"/>
                <w:sz w:val="20"/>
                <w:szCs w:val="20"/>
              </w:rPr>
            </w:pPr>
            <w:r w:rsidRPr="00B92499">
              <w:rPr>
                <w:rFonts w:ascii="Arial" w:hAnsi="Arial" w:cs="Arial"/>
                <w:color w:val="000000"/>
                <w:sz w:val="20"/>
                <w:szCs w:val="20"/>
              </w:rPr>
              <w:t xml:space="preserve">Información relacionada con los programas y centros destinados a la práctica de actividad física, </w:t>
            </w:r>
            <w:r w:rsidR="00735992" w:rsidRPr="00B92499">
              <w:rPr>
                <w:rFonts w:ascii="Arial" w:hAnsi="Arial" w:cs="Arial"/>
                <w:color w:val="000000"/>
                <w:sz w:val="20"/>
                <w:szCs w:val="20"/>
              </w:rPr>
              <w:t>ejercicio</w:t>
            </w:r>
            <w:r w:rsidRPr="00B92499">
              <w:rPr>
                <w:rFonts w:ascii="Arial" w:hAnsi="Arial" w:cs="Arial"/>
                <w:color w:val="000000"/>
                <w:sz w:val="20"/>
                <w:szCs w:val="20"/>
              </w:rPr>
              <w:t xml:space="preserve"> y deporte.</w:t>
            </w:r>
          </w:p>
        </w:tc>
        <w:tc>
          <w:tcPr>
            <w:tcW w:w="1234" w:type="dxa"/>
            <w:tcBorders>
              <w:top w:val="nil"/>
              <w:left w:val="nil"/>
              <w:bottom w:val="single" w:sz="4" w:space="0" w:color="auto"/>
              <w:right w:val="single" w:sz="4" w:space="0" w:color="auto"/>
            </w:tcBorders>
            <w:shd w:val="clear" w:color="auto" w:fill="auto"/>
            <w:vAlign w:val="center"/>
            <w:hideMark/>
          </w:tcPr>
          <w:p w14:paraId="13170CDC" w14:textId="77777777" w:rsidR="00074700" w:rsidRPr="00B92499" w:rsidRDefault="00074700" w:rsidP="00074700">
            <w:pPr>
              <w:jc w:val="center"/>
              <w:rPr>
                <w:rFonts w:ascii="Arial" w:hAnsi="Arial" w:cs="Arial"/>
                <w:color w:val="000000"/>
                <w:sz w:val="20"/>
                <w:szCs w:val="20"/>
              </w:rPr>
            </w:pPr>
            <w:r w:rsidRPr="00B92499">
              <w:rPr>
                <w:rFonts w:ascii="Arial" w:hAnsi="Arial" w:cs="Arial"/>
                <w:color w:val="000000"/>
                <w:sz w:val="20"/>
                <w:szCs w:val="20"/>
              </w:rPr>
              <w:t>84.74</w:t>
            </w:r>
          </w:p>
        </w:tc>
      </w:tr>
      <w:tr w:rsidR="00074700" w:rsidRPr="00B92499" w14:paraId="21B64400" w14:textId="77777777" w:rsidTr="00773979">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AC11AEC" w14:textId="77777777" w:rsidR="00074700" w:rsidRPr="00B92499" w:rsidRDefault="00074700" w:rsidP="00074700">
            <w:pPr>
              <w:jc w:val="center"/>
              <w:rPr>
                <w:rFonts w:ascii="Arial" w:hAnsi="Arial" w:cs="Arial"/>
                <w:color w:val="000000"/>
                <w:sz w:val="20"/>
                <w:szCs w:val="20"/>
              </w:rPr>
            </w:pPr>
            <w:r w:rsidRPr="00B92499">
              <w:rPr>
                <w:rFonts w:ascii="Arial" w:hAnsi="Arial" w:cs="Arial"/>
                <w:color w:val="000000"/>
                <w:sz w:val="20"/>
                <w:szCs w:val="20"/>
              </w:rPr>
              <w:t>XLIV</w:t>
            </w:r>
          </w:p>
        </w:tc>
        <w:tc>
          <w:tcPr>
            <w:tcW w:w="0" w:type="auto"/>
            <w:tcBorders>
              <w:top w:val="nil"/>
              <w:left w:val="nil"/>
              <w:bottom w:val="single" w:sz="4" w:space="0" w:color="auto"/>
              <w:right w:val="single" w:sz="4" w:space="0" w:color="auto"/>
            </w:tcBorders>
            <w:shd w:val="clear" w:color="auto" w:fill="auto"/>
            <w:vAlign w:val="center"/>
            <w:hideMark/>
          </w:tcPr>
          <w:p w14:paraId="1D3293D9" w14:textId="77777777" w:rsidR="00074700" w:rsidRPr="00B92499" w:rsidRDefault="00074700" w:rsidP="00773979">
            <w:pPr>
              <w:rPr>
                <w:rFonts w:ascii="Arial" w:hAnsi="Arial" w:cs="Arial"/>
                <w:color w:val="000000"/>
                <w:sz w:val="20"/>
                <w:szCs w:val="20"/>
              </w:rPr>
            </w:pPr>
            <w:r w:rsidRPr="00B92499">
              <w:rPr>
                <w:rFonts w:ascii="Arial" w:hAnsi="Arial" w:cs="Arial"/>
                <w:color w:val="000000"/>
                <w:sz w:val="20"/>
                <w:szCs w:val="20"/>
              </w:rPr>
              <w:t>Evaluaciones y encuestas a programas financiados con recursos públicos.</w:t>
            </w:r>
          </w:p>
        </w:tc>
        <w:tc>
          <w:tcPr>
            <w:tcW w:w="1234" w:type="dxa"/>
            <w:tcBorders>
              <w:top w:val="nil"/>
              <w:left w:val="nil"/>
              <w:bottom w:val="single" w:sz="4" w:space="0" w:color="auto"/>
              <w:right w:val="single" w:sz="4" w:space="0" w:color="auto"/>
            </w:tcBorders>
            <w:shd w:val="clear" w:color="auto" w:fill="auto"/>
            <w:vAlign w:val="center"/>
            <w:hideMark/>
          </w:tcPr>
          <w:p w14:paraId="385EA394" w14:textId="77777777" w:rsidR="00074700" w:rsidRPr="00B92499" w:rsidRDefault="00074700" w:rsidP="00074700">
            <w:pPr>
              <w:jc w:val="center"/>
              <w:rPr>
                <w:rFonts w:ascii="Arial" w:hAnsi="Arial" w:cs="Arial"/>
                <w:color w:val="000000"/>
                <w:sz w:val="20"/>
                <w:szCs w:val="20"/>
              </w:rPr>
            </w:pPr>
            <w:r w:rsidRPr="00B92499">
              <w:rPr>
                <w:rFonts w:ascii="Arial" w:hAnsi="Arial" w:cs="Arial"/>
                <w:color w:val="000000"/>
                <w:sz w:val="20"/>
                <w:szCs w:val="20"/>
              </w:rPr>
              <w:t>84.70</w:t>
            </w:r>
          </w:p>
        </w:tc>
      </w:tr>
      <w:tr w:rsidR="00074700" w:rsidRPr="00B92499" w14:paraId="7F6A5ACE" w14:textId="77777777" w:rsidTr="00773979">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85B88AB" w14:textId="77777777" w:rsidR="00074700" w:rsidRPr="00B92499" w:rsidRDefault="00074700" w:rsidP="00074700">
            <w:pPr>
              <w:jc w:val="center"/>
              <w:rPr>
                <w:rFonts w:ascii="Arial" w:hAnsi="Arial" w:cs="Arial"/>
                <w:color w:val="000000"/>
                <w:sz w:val="20"/>
                <w:szCs w:val="20"/>
              </w:rPr>
            </w:pPr>
            <w:r w:rsidRPr="00B92499">
              <w:rPr>
                <w:rFonts w:ascii="Arial" w:hAnsi="Arial" w:cs="Arial"/>
                <w:color w:val="000000"/>
                <w:sz w:val="20"/>
                <w:szCs w:val="20"/>
              </w:rPr>
              <w:t>XLI</w:t>
            </w:r>
          </w:p>
        </w:tc>
        <w:tc>
          <w:tcPr>
            <w:tcW w:w="0" w:type="auto"/>
            <w:tcBorders>
              <w:top w:val="nil"/>
              <w:left w:val="nil"/>
              <w:bottom w:val="single" w:sz="4" w:space="0" w:color="auto"/>
              <w:right w:val="single" w:sz="4" w:space="0" w:color="auto"/>
            </w:tcBorders>
            <w:shd w:val="clear" w:color="auto" w:fill="auto"/>
            <w:vAlign w:val="center"/>
            <w:hideMark/>
          </w:tcPr>
          <w:p w14:paraId="1A96EBB4" w14:textId="36186928" w:rsidR="00074700" w:rsidRPr="00B92499" w:rsidRDefault="00074700" w:rsidP="00773979">
            <w:pPr>
              <w:rPr>
                <w:rFonts w:ascii="Arial" w:hAnsi="Arial" w:cs="Arial"/>
                <w:color w:val="000000"/>
                <w:sz w:val="20"/>
                <w:szCs w:val="20"/>
              </w:rPr>
            </w:pPr>
            <w:r w:rsidRPr="00B92499">
              <w:rPr>
                <w:rFonts w:ascii="Arial" w:hAnsi="Arial" w:cs="Arial"/>
                <w:color w:val="000000"/>
                <w:sz w:val="20"/>
                <w:szCs w:val="20"/>
              </w:rPr>
              <w:t xml:space="preserve">Programas que ofrece el </w:t>
            </w:r>
            <w:r w:rsidR="008710F6" w:rsidRPr="00B92499">
              <w:rPr>
                <w:rFonts w:ascii="Arial" w:hAnsi="Arial" w:cs="Arial"/>
                <w:color w:val="000000"/>
                <w:sz w:val="20"/>
                <w:szCs w:val="20"/>
              </w:rPr>
              <w:t>sujeto obligado</w:t>
            </w:r>
            <w:r w:rsidRPr="00B92499">
              <w:rPr>
                <w:rFonts w:ascii="Arial" w:hAnsi="Arial" w:cs="Arial"/>
                <w:color w:val="000000"/>
                <w:sz w:val="20"/>
                <w:szCs w:val="20"/>
              </w:rPr>
              <w:t>, así como trámites, requisitos y formatos.</w:t>
            </w:r>
          </w:p>
        </w:tc>
        <w:tc>
          <w:tcPr>
            <w:tcW w:w="1234" w:type="dxa"/>
            <w:tcBorders>
              <w:top w:val="nil"/>
              <w:left w:val="nil"/>
              <w:bottom w:val="single" w:sz="4" w:space="0" w:color="auto"/>
              <w:right w:val="single" w:sz="4" w:space="0" w:color="auto"/>
            </w:tcBorders>
            <w:shd w:val="clear" w:color="auto" w:fill="auto"/>
            <w:vAlign w:val="center"/>
            <w:hideMark/>
          </w:tcPr>
          <w:p w14:paraId="2ADD1B3A" w14:textId="77777777" w:rsidR="00074700" w:rsidRPr="00B92499" w:rsidRDefault="00074700" w:rsidP="00074700">
            <w:pPr>
              <w:jc w:val="center"/>
              <w:rPr>
                <w:rFonts w:ascii="Arial" w:hAnsi="Arial" w:cs="Arial"/>
                <w:color w:val="000000"/>
                <w:sz w:val="20"/>
                <w:szCs w:val="20"/>
              </w:rPr>
            </w:pPr>
            <w:r w:rsidRPr="00B92499">
              <w:rPr>
                <w:rFonts w:ascii="Arial" w:hAnsi="Arial" w:cs="Arial"/>
                <w:color w:val="000000"/>
                <w:sz w:val="20"/>
                <w:szCs w:val="20"/>
              </w:rPr>
              <w:t>84.06</w:t>
            </w:r>
          </w:p>
        </w:tc>
      </w:tr>
      <w:tr w:rsidR="00074700" w:rsidRPr="00B92499" w14:paraId="260B6122" w14:textId="77777777" w:rsidTr="00773979">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E2A8FC4" w14:textId="77777777" w:rsidR="00074700" w:rsidRPr="00B92499" w:rsidRDefault="00074700" w:rsidP="00074700">
            <w:pPr>
              <w:jc w:val="center"/>
              <w:rPr>
                <w:rFonts w:ascii="Arial" w:hAnsi="Arial" w:cs="Arial"/>
                <w:color w:val="000000"/>
                <w:sz w:val="20"/>
                <w:szCs w:val="20"/>
              </w:rPr>
            </w:pPr>
            <w:r w:rsidRPr="00B92499">
              <w:rPr>
                <w:rFonts w:ascii="Arial" w:hAnsi="Arial" w:cs="Arial"/>
                <w:color w:val="000000"/>
                <w:sz w:val="20"/>
                <w:szCs w:val="20"/>
              </w:rPr>
              <w:t>VII</w:t>
            </w:r>
          </w:p>
        </w:tc>
        <w:tc>
          <w:tcPr>
            <w:tcW w:w="0" w:type="auto"/>
            <w:tcBorders>
              <w:top w:val="nil"/>
              <w:left w:val="nil"/>
              <w:bottom w:val="single" w:sz="4" w:space="0" w:color="auto"/>
              <w:right w:val="single" w:sz="4" w:space="0" w:color="auto"/>
            </w:tcBorders>
            <w:shd w:val="clear" w:color="auto" w:fill="auto"/>
            <w:vAlign w:val="center"/>
            <w:hideMark/>
          </w:tcPr>
          <w:p w14:paraId="31DA20A7" w14:textId="77777777" w:rsidR="00074700" w:rsidRPr="00B92499" w:rsidRDefault="00074700" w:rsidP="00773979">
            <w:pPr>
              <w:rPr>
                <w:rFonts w:ascii="Arial" w:hAnsi="Arial" w:cs="Arial"/>
                <w:color w:val="000000"/>
                <w:sz w:val="20"/>
                <w:szCs w:val="20"/>
              </w:rPr>
            </w:pPr>
            <w:r w:rsidRPr="00B92499">
              <w:rPr>
                <w:rFonts w:ascii="Arial" w:hAnsi="Arial" w:cs="Arial"/>
                <w:color w:val="000000"/>
                <w:sz w:val="20"/>
                <w:szCs w:val="20"/>
              </w:rPr>
              <w:t>Indicadores de gestión</w:t>
            </w:r>
          </w:p>
        </w:tc>
        <w:tc>
          <w:tcPr>
            <w:tcW w:w="1234" w:type="dxa"/>
            <w:tcBorders>
              <w:top w:val="nil"/>
              <w:left w:val="nil"/>
              <w:bottom w:val="single" w:sz="4" w:space="0" w:color="auto"/>
              <w:right w:val="single" w:sz="4" w:space="0" w:color="auto"/>
            </w:tcBorders>
            <w:shd w:val="clear" w:color="auto" w:fill="auto"/>
            <w:vAlign w:val="center"/>
            <w:hideMark/>
          </w:tcPr>
          <w:p w14:paraId="18238754" w14:textId="77777777" w:rsidR="00074700" w:rsidRPr="00B92499" w:rsidRDefault="00074700" w:rsidP="00074700">
            <w:pPr>
              <w:jc w:val="center"/>
              <w:rPr>
                <w:rFonts w:ascii="Arial" w:hAnsi="Arial" w:cs="Arial"/>
                <w:color w:val="000000"/>
                <w:sz w:val="20"/>
                <w:szCs w:val="20"/>
              </w:rPr>
            </w:pPr>
            <w:r w:rsidRPr="00B92499">
              <w:rPr>
                <w:rFonts w:ascii="Arial" w:hAnsi="Arial" w:cs="Arial"/>
                <w:color w:val="000000"/>
                <w:sz w:val="20"/>
                <w:szCs w:val="20"/>
              </w:rPr>
              <w:t>83.69</w:t>
            </w:r>
          </w:p>
        </w:tc>
      </w:tr>
      <w:tr w:rsidR="00074700" w:rsidRPr="00B92499" w14:paraId="5F4F2DD7" w14:textId="77777777" w:rsidTr="00773979">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D9A10FF" w14:textId="77777777" w:rsidR="00074700" w:rsidRPr="00B92499" w:rsidRDefault="00074700" w:rsidP="00074700">
            <w:pPr>
              <w:jc w:val="center"/>
              <w:rPr>
                <w:rFonts w:ascii="Arial" w:hAnsi="Arial" w:cs="Arial"/>
                <w:color w:val="000000"/>
                <w:sz w:val="20"/>
                <w:szCs w:val="20"/>
              </w:rPr>
            </w:pPr>
            <w:r w:rsidRPr="00B92499">
              <w:rPr>
                <w:rFonts w:ascii="Arial" w:hAnsi="Arial" w:cs="Arial"/>
                <w:color w:val="000000"/>
                <w:sz w:val="20"/>
                <w:szCs w:val="20"/>
              </w:rPr>
              <w:t>XXVII</w:t>
            </w:r>
          </w:p>
        </w:tc>
        <w:tc>
          <w:tcPr>
            <w:tcW w:w="0" w:type="auto"/>
            <w:tcBorders>
              <w:top w:val="nil"/>
              <w:left w:val="nil"/>
              <w:bottom w:val="single" w:sz="4" w:space="0" w:color="auto"/>
              <w:right w:val="single" w:sz="4" w:space="0" w:color="auto"/>
            </w:tcBorders>
            <w:shd w:val="clear" w:color="auto" w:fill="auto"/>
            <w:vAlign w:val="center"/>
            <w:hideMark/>
          </w:tcPr>
          <w:p w14:paraId="3A8AD097" w14:textId="77777777" w:rsidR="00074700" w:rsidRPr="00B92499" w:rsidRDefault="00074700" w:rsidP="00773979">
            <w:pPr>
              <w:rPr>
                <w:rFonts w:ascii="Arial" w:hAnsi="Arial" w:cs="Arial"/>
                <w:color w:val="000000"/>
                <w:sz w:val="20"/>
                <w:szCs w:val="20"/>
              </w:rPr>
            </w:pPr>
            <w:r w:rsidRPr="00B92499">
              <w:rPr>
                <w:rFonts w:ascii="Arial" w:hAnsi="Arial" w:cs="Arial"/>
                <w:color w:val="000000"/>
                <w:sz w:val="20"/>
                <w:szCs w:val="20"/>
              </w:rPr>
              <w:t>Dictámenes de cuenta pública y estado financieros.</w:t>
            </w:r>
          </w:p>
        </w:tc>
        <w:tc>
          <w:tcPr>
            <w:tcW w:w="1234" w:type="dxa"/>
            <w:tcBorders>
              <w:top w:val="nil"/>
              <w:left w:val="nil"/>
              <w:bottom w:val="single" w:sz="4" w:space="0" w:color="auto"/>
              <w:right w:val="single" w:sz="4" w:space="0" w:color="auto"/>
            </w:tcBorders>
            <w:shd w:val="clear" w:color="auto" w:fill="auto"/>
            <w:vAlign w:val="center"/>
            <w:hideMark/>
          </w:tcPr>
          <w:p w14:paraId="7A711568" w14:textId="77777777" w:rsidR="00074700" w:rsidRPr="00B92499" w:rsidRDefault="00074700" w:rsidP="00074700">
            <w:pPr>
              <w:jc w:val="center"/>
              <w:rPr>
                <w:rFonts w:ascii="Arial" w:hAnsi="Arial" w:cs="Arial"/>
                <w:color w:val="000000"/>
                <w:sz w:val="20"/>
                <w:szCs w:val="20"/>
              </w:rPr>
            </w:pPr>
            <w:r w:rsidRPr="00B92499">
              <w:rPr>
                <w:rFonts w:ascii="Arial" w:hAnsi="Arial" w:cs="Arial"/>
                <w:color w:val="000000"/>
                <w:sz w:val="20"/>
                <w:szCs w:val="20"/>
              </w:rPr>
              <w:t>83.53</w:t>
            </w:r>
          </w:p>
        </w:tc>
      </w:tr>
      <w:tr w:rsidR="00074700" w:rsidRPr="00B92499" w14:paraId="2745439F" w14:textId="77777777" w:rsidTr="00773979">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B9E8311" w14:textId="77777777" w:rsidR="00074700" w:rsidRPr="00B92499" w:rsidRDefault="00074700" w:rsidP="00074700">
            <w:pPr>
              <w:jc w:val="center"/>
              <w:rPr>
                <w:rFonts w:ascii="Arial" w:hAnsi="Arial" w:cs="Arial"/>
                <w:color w:val="000000"/>
                <w:sz w:val="20"/>
                <w:szCs w:val="20"/>
              </w:rPr>
            </w:pPr>
            <w:r w:rsidRPr="00B92499">
              <w:rPr>
                <w:rFonts w:ascii="Arial" w:hAnsi="Arial" w:cs="Arial"/>
                <w:color w:val="000000"/>
                <w:sz w:val="20"/>
                <w:szCs w:val="20"/>
              </w:rPr>
              <w:t>XLIII</w:t>
            </w:r>
          </w:p>
        </w:tc>
        <w:tc>
          <w:tcPr>
            <w:tcW w:w="0" w:type="auto"/>
            <w:tcBorders>
              <w:top w:val="nil"/>
              <w:left w:val="nil"/>
              <w:bottom w:val="single" w:sz="4" w:space="0" w:color="auto"/>
              <w:right w:val="single" w:sz="4" w:space="0" w:color="auto"/>
            </w:tcBorders>
            <w:shd w:val="clear" w:color="auto" w:fill="auto"/>
            <w:vAlign w:val="center"/>
            <w:hideMark/>
          </w:tcPr>
          <w:p w14:paraId="0B172DF2" w14:textId="77777777" w:rsidR="00074700" w:rsidRPr="00B92499" w:rsidRDefault="00074700" w:rsidP="00773979">
            <w:pPr>
              <w:rPr>
                <w:rFonts w:ascii="Arial" w:hAnsi="Arial" w:cs="Arial"/>
                <w:color w:val="000000"/>
                <w:sz w:val="20"/>
                <w:szCs w:val="20"/>
              </w:rPr>
            </w:pPr>
            <w:r w:rsidRPr="00B92499">
              <w:rPr>
                <w:rFonts w:ascii="Arial" w:hAnsi="Arial" w:cs="Arial"/>
                <w:color w:val="000000"/>
                <w:sz w:val="20"/>
                <w:szCs w:val="20"/>
              </w:rPr>
              <w:t>Actas y Resoluciones del Comité de Transparencia.</w:t>
            </w:r>
          </w:p>
        </w:tc>
        <w:tc>
          <w:tcPr>
            <w:tcW w:w="1234" w:type="dxa"/>
            <w:tcBorders>
              <w:top w:val="nil"/>
              <w:left w:val="nil"/>
              <w:bottom w:val="single" w:sz="4" w:space="0" w:color="auto"/>
              <w:right w:val="single" w:sz="4" w:space="0" w:color="auto"/>
            </w:tcBorders>
            <w:shd w:val="clear" w:color="auto" w:fill="auto"/>
            <w:vAlign w:val="center"/>
            <w:hideMark/>
          </w:tcPr>
          <w:p w14:paraId="134A5FAE" w14:textId="77777777" w:rsidR="00074700" w:rsidRPr="00B92499" w:rsidRDefault="00074700" w:rsidP="00074700">
            <w:pPr>
              <w:jc w:val="center"/>
              <w:rPr>
                <w:rFonts w:ascii="Arial" w:hAnsi="Arial" w:cs="Arial"/>
                <w:color w:val="000000"/>
                <w:sz w:val="20"/>
                <w:szCs w:val="20"/>
              </w:rPr>
            </w:pPr>
            <w:r w:rsidRPr="00B92499">
              <w:rPr>
                <w:rFonts w:ascii="Arial" w:hAnsi="Arial" w:cs="Arial"/>
                <w:color w:val="000000"/>
                <w:sz w:val="20"/>
                <w:szCs w:val="20"/>
              </w:rPr>
              <w:t>83.41</w:t>
            </w:r>
          </w:p>
        </w:tc>
      </w:tr>
      <w:tr w:rsidR="00074700" w:rsidRPr="00B92499" w14:paraId="05A72280" w14:textId="77777777" w:rsidTr="00773979">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73FE116" w14:textId="77777777" w:rsidR="00074700" w:rsidRPr="00B92499" w:rsidRDefault="00074700" w:rsidP="00074700">
            <w:pPr>
              <w:jc w:val="center"/>
              <w:rPr>
                <w:rFonts w:ascii="Arial" w:hAnsi="Arial" w:cs="Arial"/>
                <w:color w:val="000000"/>
                <w:sz w:val="20"/>
                <w:szCs w:val="20"/>
              </w:rPr>
            </w:pPr>
            <w:r w:rsidRPr="00B92499">
              <w:rPr>
                <w:rFonts w:ascii="Arial" w:hAnsi="Arial" w:cs="Arial"/>
                <w:color w:val="000000"/>
                <w:sz w:val="20"/>
                <w:szCs w:val="20"/>
              </w:rPr>
              <w:t>XLVII</w:t>
            </w:r>
          </w:p>
        </w:tc>
        <w:tc>
          <w:tcPr>
            <w:tcW w:w="0" w:type="auto"/>
            <w:tcBorders>
              <w:top w:val="nil"/>
              <w:left w:val="nil"/>
              <w:bottom w:val="single" w:sz="4" w:space="0" w:color="auto"/>
              <w:right w:val="single" w:sz="4" w:space="0" w:color="auto"/>
            </w:tcBorders>
            <w:shd w:val="clear" w:color="auto" w:fill="auto"/>
            <w:vAlign w:val="center"/>
            <w:hideMark/>
          </w:tcPr>
          <w:p w14:paraId="58AAD6EB" w14:textId="77777777" w:rsidR="00074700" w:rsidRPr="00B92499" w:rsidRDefault="00074700" w:rsidP="00773979">
            <w:pPr>
              <w:rPr>
                <w:rFonts w:ascii="Arial" w:hAnsi="Arial" w:cs="Arial"/>
                <w:color w:val="000000"/>
                <w:sz w:val="20"/>
                <w:szCs w:val="20"/>
              </w:rPr>
            </w:pPr>
            <w:r w:rsidRPr="00B92499">
              <w:rPr>
                <w:rFonts w:ascii="Arial" w:hAnsi="Arial" w:cs="Arial"/>
                <w:color w:val="000000"/>
                <w:sz w:val="20"/>
                <w:szCs w:val="20"/>
              </w:rPr>
              <w:t>Los ingresos recibidos por cualquier concepto.</w:t>
            </w:r>
          </w:p>
        </w:tc>
        <w:tc>
          <w:tcPr>
            <w:tcW w:w="1234" w:type="dxa"/>
            <w:tcBorders>
              <w:top w:val="nil"/>
              <w:left w:val="nil"/>
              <w:bottom w:val="single" w:sz="4" w:space="0" w:color="auto"/>
              <w:right w:val="single" w:sz="4" w:space="0" w:color="auto"/>
            </w:tcBorders>
            <w:shd w:val="clear" w:color="auto" w:fill="auto"/>
            <w:vAlign w:val="center"/>
            <w:hideMark/>
          </w:tcPr>
          <w:p w14:paraId="2D03CB9D" w14:textId="77777777" w:rsidR="00074700" w:rsidRPr="00B92499" w:rsidRDefault="00074700" w:rsidP="00074700">
            <w:pPr>
              <w:jc w:val="center"/>
              <w:rPr>
                <w:rFonts w:ascii="Arial" w:hAnsi="Arial" w:cs="Arial"/>
                <w:color w:val="000000"/>
                <w:sz w:val="20"/>
                <w:szCs w:val="20"/>
              </w:rPr>
            </w:pPr>
            <w:r w:rsidRPr="00B92499">
              <w:rPr>
                <w:rFonts w:ascii="Arial" w:hAnsi="Arial" w:cs="Arial"/>
                <w:color w:val="000000"/>
                <w:sz w:val="20"/>
                <w:szCs w:val="20"/>
              </w:rPr>
              <w:t>83.12</w:t>
            </w:r>
          </w:p>
        </w:tc>
      </w:tr>
      <w:tr w:rsidR="00074700" w:rsidRPr="00B92499" w14:paraId="4F95E67D" w14:textId="77777777" w:rsidTr="00773979">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7E34184" w14:textId="77777777" w:rsidR="00074700" w:rsidRPr="00B92499" w:rsidRDefault="00074700" w:rsidP="00074700">
            <w:pPr>
              <w:jc w:val="center"/>
              <w:rPr>
                <w:rFonts w:ascii="Arial" w:hAnsi="Arial" w:cs="Arial"/>
                <w:color w:val="000000"/>
                <w:sz w:val="20"/>
                <w:szCs w:val="20"/>
              </w:rPr>
            </w:pPr>
            <w:r w:rsidRPr="00B92499">
              <w:rPr>
                <w:rFonts w:ascii="Arial" w:hAnsi="Arial" w:cs="Arial"/>
                <w:color w:val="000000"/>
                <w:sz w:val="20"/>
                <w:szCs w:val="20"/>
              </w:rPr>
              <w:t>XXXII</w:t>
            </w:r>
          </w:p>
        </w:tc>
        <w:tc>
          <w:tcPr>
            <w:tcW w:w="0" w:type="auto"/>
            <w:tcBorders>
              <w:top w:val="nil"/>
              <w:left w:val="nil"/>
              <w:bottom w:val="single" w:sz="4" w:space="0" w:color="auto"/>
              <w:right w:val="single" w:sz="4" w:space="0" w:color="auto"/>
            </w:tcBorders>
            <w:shd w:val="clear" w:color="auto" w:fill="auto"/>
            <w:vAlign w:val="center"/>
            <w:hideMark/>
          </w:tcPr>
          <w:p w14:paraId="64556DEC" w14:textId="77777777" w:rsidR="00074700" w:rsidRPr="00B92499" w:rsidRDefault="00074700" w:rsidP="00773979">
            <w:pPr>
              <w:rPr>
                <w:rFonts w:ascii="Arial" w:hAnsi="Arial" w:cs="Arial"/>
                <w:color w:val="000000"/>
                <w:sz w:val="20"/>
                <w:szCs w:val="20"/>
              </w:rPr>
            </w:pPr>
            <w:r w:rsidRPr="00B92499">
              <w:rPr>
                <w:rFonts w:ascii="Arial" w:hAnsi="Arial" w:cs="Arial"/>
                <w:color w:val="000000"/>
                <w:sz w:val="20"/>
                <w:szCs w:val="20"/>
              </w:rPr>
              <w:t>Estadísticas que generen.</w:t>
            </w:r>
          </w:p>
        </w:tc>
        <w:tc>
          <w:tcPr>
            <w:tcW w:w="1234" w:type="dxa"/>
            <w:tcBorders>
              <w:top w:val="nil"/>
              <w:left w:val="nil"/>
              <w:bottom w:val="single" w:sz="4" w:space="0" w:color="auto"/>
              <w:right w:val="single" w:sz="4" w:space="0" w:color="auto"/>
            </w:tcBorders>
            <w:shd w:val="clear" w:color="auto" w:fill="auto"/>
            <w:vAlign w:val="center"/>
            <w:hideMark/>
          </w:tcPr>
          <w:p w14:paraId="3C66D213" w14:textId="77777777" w:rsidR="00074700" w:rsidRPr="00B92499" w:rsidRDefault="00074700" w:rsidP="00074700">
            <w:pPr>
              <w:jc w:val="center"/>
              <w:rPr>
                <w:rFonts w:ascii="Arial" w:hAnsi="Arial" w:cs="Arial"/>
                <w:color w:val="000000"/>
                <w:sz w:val="20"/>
                <w:szCs w:val="20"/>
              </w:rPr>
            </w:pPr>
            <w:r w:rsidRPr="00B92499">
              <w:rPr>
                <w:rFonts w:ascii="Arial" w:hAnsi="Arial" w:cs="Arial"/>
                <w:color w:val="000000"/>
                <w:sz w:val="20"/>
                <w:szCs w:val="20"/>
              </w:rPr>
              <w:t>80.86</w:t>
            </w:r>
          </w:p>
        </w:tc>
      </w:tr>
      <w:tr w:rsidR="00074700" w:rsidRPr="00B92499" w14:paraId="089E3B3A" w14:textId="77777777" w:rsidTr="00773979">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4B81D1B" w14:textId="77777777" w:rsidR="00074700" w:rsidRPr="00B92499" w:rsidRDefault="00074700" w:rsidP="00074700">
            <w:pPr>
              <w:jc w:val="center"/>
              <w:rPr>
                <w:rFonts w:ascii="Arial" w:hAnsi="Arial" w:cs="Arial"/>
                <w:color w:val="000000"/>
                <w:sz w:val="20"/>
                <w:szCs w:val="20"/>
              </w:rPr>
            </w:pPr>
            <w:r w:rsidRPr="00B92499">
              <w:rPr>
                <w:rFonts w:ascii="Arial" w:hAnsi="Arial" w:cs="Arial"/>
                <w:color w:val="000000"/>
                <w:sz w:val="20"/>
                <w:szCs w:val="20"/>
              </w:rPr>
              <w:t>XXVIII</w:t>
            </w:r>
          </w:p>
        </w:tc>
        <w:tc>
          <w:tcPr>
            <w:tcW w:w="0" w:type="auto"/>
            <w:tcBorders>
              <w:top w:val="nil"/>
              <w:left w:val="nil"/>
              <w:bottom w:val="single" w:sz="4" w:space="0" w:color="auto"/>
              <w:right w:val="single" w:sz="4" w:space="0" w:color="auto"/>
            </w:tcBorders>
            <w:shd w:val="clear" w:color="auto" w:fill="auto"/>
            <w:vAlign w:val="center"/>
            <w:hideMark/>
          </w:tcPr>
          <w:p w14:paraId="66416A86" w14:textId="77777777" w:rsidR="00074700" w:rsidRPr="00B92499" w:rsidRDefault="00074700" w:rsidP="00773979">
            <w:pPr>
              <w:rPr>
                <w:rFonts w:ascii="Arial" w:hAnsi="Arial" w:cs="Arial"/>
                <w:color w:val="000000"/>
                <w:sz w:val="20"/>
                <w:szCs w:val="20"/>
              </w:rPr>
            </w:pPr>
            <w:r w:rsidRPr="00B92499">
              <w:rPr>
                <w:rFonts w:ascii="Arial" w:hAnsi="Arial" w:cs="Arial"/>
                <w:color w:val="000000"/>
                <w:sz w:val="20"/>
                <w:szCs w:val="20"/>
              </w:rPr>
              <w:t>Montos, criterios, convocatoria y convocatorias de personas físicas y morales que reciban recursos públicos o realicen actos de autoridad.</w:t>
            </w:r>
          </w:p>
        </w:tc>
        <w:tc>
          <w:tcPr>
            <w:tcW w:w="1234" w:type="dxa"/>
            <w:tcBorders>
              <w:top w:val="nil"/>
              <w:left w:val="nil"/>
              <w:bottom w:val="single" w:sz="4" w:space="0" w:color="auto"/>
              <w:right w:val="single" w:sz="4" w:space="0" w:color="auto"/>
            </w:tcBorders>
            <w:shd w:val="clear" w:color="auto" w:fill="auto"/>
            <w:vAlign w:val="center"/>
            <w:hideMark/>
          </w:tcPr>
          <w:p w14:paraId="76A08F16" w14:textId="77777777" w:rsidR="00074700" w:rsidRPr="00B92499" w:rsidRDefault="00074700" w:rsidP="00074700">
            <w:pPr>
              <w:jc w:val="center"/>
              <w:rPr>
                <w:rFonts w:ascii="Arial" w:hAnsi="Arial" w:cs="Arial"/>
                <w:color w:val="000000"/>
                <w:sz w:val="20"/>
                <w:szCs w:val="20"/>
              </w:rPr>
            </w:pPr>
            <w:r w:rsidRPr="00B92499">
              <w:rPr>
                <w:rFonts w:ascii="Arial" w:hAnsi="Arial" w:cs="Arial"/>
                <w:color w:val="000000"/>
                <w:sz w:val="20"/>
                <w:szCs w:val="20"/>
              </w:rPr>
              <w:t>79.49</w:t>
            </w:r>
          </w:p>
        </w:tc>
      </w:tr>
      <w:tr w:rsidR="00074700" w:rsidRPr="00B92499" w14:paraId="2B7F0E5E" w14:textId="77777777" w:rsidTr="00773979">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952D9D7" w14:textId="77777777" w:rsidR="00074700" w:rsidRPr="00B92499" w:rsidRDefault="00074700" w:rsidP="00074700">
            <w:pPr>
              <w:jc w:val="center"/>
              <w:rPr>
                <w:rFonts w:ascii="Arial" w:hAnsi="Arial" w:cs="Arial"/>
                <w:color w:val="000000"/>
                <w:sz w:val="20"/>
                <w:szCs w:val="20"/>
              </w:rPr>
            </w:pPr>
            <w:r w:rsidRPr="00B92499">
              <w:rPr>
                <w:rFonts w:ascii="Arial" w:hAnsi="Arial" w:cs="Arial"/>
                <w:color w:val="000000"/>
                <w:sz w:val="20"/>
                <w:szCs w:val="20"/>
              </w:rPr>
              <w:t>XXVI</w:t>
            </w:r>
          </w:p>
        </w:tc>
        <w:tc>
          <w:tcPr>
            <w:tcW w:w="0" w:type="auto"/>
            <w:tcBorders>
              <w:top w:val="nil"/>
              <w:left w:val="nil"/>
              <w:bottom w:val="single" w:sz="4" w:space="0" w:color="auto"/>
              <w:right w:val="single" w:sz="4" w:space="0" w:color="auto"/>
            </w:tcBorders>
            <w:shd w:val="clear" w:color="auto" w:fill="auto"/>
            <w:vAlign w:val="center"/>
            <w:hideMark/>
          </w:tcPr>
          <w:p w14:paraId="3A7BE8AB" w14:textId="34EA03A4" w:rsidR="00074700" w:rsidRPr="00B92499" w:rsidRDefault="00074700" w:rsidP="00773979">
            <w:pPr>
              <w:rPr>
                <w:rFonts w:ascii="Arial" w:hAnsi="Arial" w:cs="Arial"/>
                <w:color w:val="000000"/>
                <w:sz w:val="20"/>
                <w:szCs w:val="20"/>
              </w:rPr>
            </w:pPr>
            <w:r w:rsidRPr="00B92499">
              <w:rPr>
                <w:rFonts w:ascii="Arial" w:hAnsi="Arial" w:cs="Arial"/>
                <w:color w:val="000000"/>
                <w:sz w:val="20"/>
                <w:szCs w:val="20"/>
              </w:rPr>
              <w:t>Informes de resultados de auditor</w:t>
            </w:r>
            <w:r w:rsidR="00490622" w:rsidRPr="00B92499">
              <w:rPr>
                <w:rFonts w:ascii="Arial" w:hAnsi="Arial" w:cs="Arial"/>
                <w:color w:val="000000"/>
                <w:sz w:val="20"/>
                <w:szCs w:val="20"/>
              </w:rPr>
              <w:t>í</w:t>
            </w:r>
            <w:r w:rsidRPr="00B92499">
              <w:rPr>
                <w:rFonts w:ascii="Arial" w:hAnsi="Arial" w:cs="Arial"/>
                <w:color w:val="000000"/>
                <w:sz w:val="20"/>
                <w:szCs w:val="20"/>
              </w:rPr>
              <w:t>as.</w:t>
            </w:r>
          </w:p>
        </w:tc>
        <w:tc>
          <w:tcPr>
            <w:tcW w:w="1234" w:type="dxa"/>
            <w:tcBorders>
              <w:top w:val="nil"/>
              <w:left w:val="nil"/>
              <w:bottom w:val="single" w:sz="4" w:space="0" w:color="auto"/>
              <w:right w:val="single" w:sz="4" w:space="0" w:color="auto"/>
            </w:tcBorders>
            <w:shd w:val="clear" w:color="auto" w:fill="auto"/>
            <w:vAlign w:val="center"/>
            <w:hideMark/>
          </w:tcPr>
          <w:p w14:paraId="3E99C09D" w14:textId="77777777" w:rsidR="00074700" w:rsidRPr="00B92499" w:rsidRDefault="00074700" w:rsidP="00074700">
            <w:pPr>
              <w:jc w:val="center"/>
              <w:rPr>
                <w:rFonts w:ascii="Arial" w:hAnsi="Arial" w:cs="Arial"/>
                <w:color w:val="000000"/>
                <w:sz w:val="20"/>
                <w:szCs w:val="20"/>
              </w:rPr>
            </w:pPr>
            <w:r w:rsidRPr="00B92499">
              <w:rPr>
                <w:rFonts w:ascii="Arial" w:hAnsi="Arial" w:cs="Arial"/>
                <w:color w:val="000000"/>
                <w:sz w:val="20"/>
                <w:szCs w:val="20"/>
              </w:rPr>
              <w:t>79.11</w:t>
            </w:r>
          </w:p>
        </w:tc>
      </w:tr>
      <w:tr w:rsidR="00074700" w:rsidRPr="00B92499" w14:paraId="7028796E" w14:textId="77777777" w:rsidTr="00773979">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45702FE" w14:textId="77777777" w:rsidR="00074700" w:rsidRPr="00B92499" w:rsidRDefault="00074700" w:rsidP="00074700">
            <w:pPr>
              <w:jc w:val="center"/>
              <w:rPr>
                <w:rFonts w:ascii="Arial" w:hAnsi="Arial" w:cs="Arial"/>
                <w:color w:val="000000"/>
                <w:sz w:val="20"/>
                <w:szCs w:val="20"/>
              </w:rPr>
            </w:pPr>
            <w:r w:rsidRPr="00B92499">
              <w:rPr>
                <w:rFonts w:ascii="Arial" w:hAnsi="Arial" w:cs="Arial"/>
                <w:color w:val="000000"/>
                <w:sz w:val="20"/>
                <w:szCs w:val="20"/>
              </w:rPr>
              <w:t>XXV</w:t>
            </w:r>
          </w:p>
        </w:tc>
        <w:tc>
          <w:tcPr>
            <w:tcW w:w="0" w:type="auto"/>
            <w:tcBorders>
              <w:top w:val="nil"/>
              <w:left w:val="nil"/>
              <w:bottom w:val="single" w:sz="4" w:space="0" w:color="auto"/>
              <w:right w:val="single" w:sz="4" w:space="0" w:color="auto"/>
            </w:tcBorders>
            <w:shd w:val="clear" w:color="auto" w:fill="auto"/>
            <w:vAlign w:val="center"/>
            <w:hideMark/>
          </w:tcPr>
          <w:p w14:paraId="591A91C1" w14:textId="77777777" w:rsidR="00074700" w:rsidRPr="00B92499" w:rsidRDefault="00074700" w:rsidP="00773979">
            <w:pPr>
              <w:rPr>
                <w:rFonts w:ascii="Arial" w:hAnsi="Arial" w:cs="Arial"/>
                <w:color w:val="000000"/>
                <w:sz w:val="20"/>
                <w:szCs w:val="20"/>
              </w:rPr>
            </w:pPr>
            <w:r w:rsidRPr="00B92499">
              <w:rPr>
                <w:rFonts w:ascii="Arial" w:hAnsi="Arial" w:cs="Arial"/>
                <w:color w:val="000000"/>
                <w:sz w:val="20"/>
                <w:szCs w:val="20"/>
              </w:rPr>
              <w:t>Montos destinados a Comunicación Social y publicidad.</w:t>
            </w:r>
          </w:p>
        </w:tc>
        <w:tc>
          <w:tcPr>
            <w:tcW w:w="1234" w:type="dxa"/>
            <w:tcBorders>
              <w:top w:val="nil"/>
              <w:left w:val="nil"/>
              <w:bottom w:val="single" w:sz="4" w:space="0" w:color="auto"/>
              <w:right w:val="single" w:sz="4" w:space="0" w:color="auto"/>
            </w:tcBorders>
            <w:shd w:val="clear" w:color="auto" w:fill="auto"/>
            <w:vAlign w:val="center"/>
            <w:hideMark/>
          </w:tcPr>
          <w:p w14:paraId="6B567DE4" w14:textId="77777777" w:rsidR="00074700" w:rsidRPr="00B92499" w:rsidRDefault="00074700" w:rsidP="00074700">
            <w:pPr>
              <w:jc w:val="center"/>
              <w:rPr>
                <w:rFonts w:ascii="Arial" w:hAnsi="Arial" w:cs="Arial"/>
                <w:color w:val="000000"/>
                <w:sz w:val="20"/>
                <w:szCs w:val="20"/>
              </w:rPr>
            </w:pPr>
            <w:r w:rsidRPr="00B92499">
              <w:rPr>
                <w:rFonts w:ascii="Arial" w:hAnsi="Arial" w:cs="Arial"/>
                <w:color w:val="000000"/>
                <w:sz w:val="20"/>
                <w:szCs w:val="20"/>
              </w:rPr>
              <w:t>78.91</w:t>
            </w:r>
          </w:p>
        </w:tc>
      </w:tr>
      <w:tr w:rsidR="00074700" w:rsidRPr="00B92499" w14:paraId="07402321" w14:textId="77777777" w:rsidTr="00773979">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BC7567D" w14:textId="77777777" w:rsidR="00074700" w:rsidRPr="00B92499" w:rsidRDefault="00074700" w:rsidP="00074700">
            <w:pPr>
              <w:jc w:val="center"/>
              <w:rPr>
                <w:rFonts w:ascii="Arial" w:hAnsi="Arial" w:cs="Arial"/>
                <w:color w:val="000000"/>
                <w:sz w:val="20"/>
                <w:szCs w:val="20"/>
              </w:rPr>
            </w:pPr>
            <w:r w:rsidRPr="00B92499">
              <w:rPr>
                <w:rFonts w:ascii="Arial" w:hAnsi="Arial" w:cs="Arial"/>
                <w:color w:val="000000"/>
                <w:sz w:val="20"/>
                <w:szCs w:val="20"/>
              </w:rPr>
              <w:t>XXXVI</w:t>
            </w:r>
          </w:p>
        </w:tc>
        <w:tc>
          <w:tcPr>
            <w:tcW w:w="0" w:type="auto"/>
            <w:tcBorders>
              <w:top w:val="nil"/>
              <w:left w:val="nil"/>
              <w:bottom w:val="single" w:sz="4" w:space="0" w:color="auto"/>
              <w:right w:val="single" w:sz="4" w:space="0" w:color="auto"/>
            </w:tcBorders>
            <w:shd w:val="clear" w:color="auto" w:fill="auto"/>
            <w:vAlign w:val="center"/>
            <w:hideMark/>
          </w:tcPr>
          <w:p w14:paraId="094DD80C" w14:textId="77777777" w:rsidR="00074700" w:rsidRPr="00B92499" w:rsidRDefault="00074700" w:rsidP="00773979">
            <w:pPr>
              <w:rPr>
                <w:rFonts w:ascii="Arial" w:hAnsi="Arial" w:cs="Arial"/>
                <w:color w:val="000000"/>
                <w:sz w:val="20"/>
                <w:szCs w:val="20"/>
              </w:rPr>
            </w:pPr>
            <w:r w:rsidRPr="00B92499">
              <w:rPr>
                <w:rFonts w:ascii="Arial" w:hAnsi="Arial" w:cs="Arial"/>
                <w:color w:val="000000"/>
                <w:sz w:val="20"/>
                <w:szCs w:val="20"/>
              </w:rPr>
              <w:t>Inventario de bienes muebles.</w:t>
            </w:r>
          </w:p>
        </w:tc>
        <w:tc>
          <w:tcPr>
            <w:tcW w:w="1234" w:type="dxa"/>
            <w:tcBorders>
              <w:top w:val="nil"/>
              <w:left w:val="nil"/>
              <w:bottom w:val="single" w:sz="4" w:space="0" w:color="auto"/>
              <w:right w:val="single" w:sz="4" w:space="0" w:color="auto"/>
            </w:tcBorders>
            <w:shd w:val="clear" w:color="auto" w:fill="auto"/>
            <w:vAlign w:val="center"/>
            <w:hideMark/>
          </w:tcPr>
          <w:p w14:paraId="0A6607A6" w14:textId="77777777" w:rsidR="00074700" w:rsidRPr="00B92499" w:rsidRDefault="00074700" w:rsidP="00074700">
            <w:pPr>
              <w:jc w:val="center"/>
              <w:rPr>
                <w:rFonts w:ascii="Arial" w:hAnsi="Arial" w:cs="Arial"/>
                <w:color w:val="000000"/>
                <w:sz w:val="20"/>
                <w:szCs w:val="20"/>
              </w:rPr>
            </w:pPr>
            <w:r w:rsidRPr="00B92499">
              <w:rPr>
                <w:rFonts w:ascii="Arial" w:hAnsi="Arial" w:cs="Arial"/>
                <w:color w:val="000000"/>
                <w:sz w:val="20"/>
                <w:szCs w:val="20"/>
              </w:rPr>
              <w:t>78.87</w:t>
            </w:r>
          </w:p>
        </w:tc>
      </w:tr>
      <w:tr w:rsidR="00074700" w:rsidRPr="00B92499" w14:paraId="5580B361" w14:textId="77777777" w:rsidTr="00773979">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29068D4" w14:textId="77777777" w:rsidR="00074700" w:rsidRPr="00B92499" w:rsidRDefault="00074700" w:rsidP="00074700">
            <w:pPr>
              <w:jc w:val="center"/>
              <w:rPr>
                <w:rFonts w:ascii="Arial" w:hAnsi="Arial" w:cs="Arial"/>
                <w:color w:val="000000"/>
                <w:sz w:val="20"/>
                <w:szCs w:val="20"/>
              </w:rPr>
            </w:pPr>
            <w:r w:rsidRPr="00B92499">
              <w:rPr>
                <w:rFonts w:ascii="Arial" w:hAnsi="Arial" w:cs="Arial"/>
                <w:color w:val="000000"/>
                <w:sz w:val="20"/>
                <w:szCs w:val="20"/>
              </w:rPr>
              <w:t>XXIII</w:t>
            </w:r>
          </w:p>
        </w:tc>
        <w:tc>
          <w:tcPr>
            <w:tcW w:w="0" w:type="auto"/>
            <w:tcBorders>
              <w:top w:val="nil"/>
              <w:left w:val="nil"/>
              <w:bottom w:val="single" w:sz="4" w:space="0" w:color="auto"/>
              <w:right w:val="single" w:sz="4" w:space="0" w:color="auto"/>
            </w:tcBorders>
            <w:shd w:val="clear" w:color="auto" w:fill="auto"/>
            <w:vAlign w:val="center"/>
            <w:hideMark/>
          </w:tcPr>
          <w:p w14:paraId="39125D90" w14:textId="77777777" w:rsidR="00074700" w:rsidRPr="00B92499" w:rsidRDefault="00074700" w:rsidP="00773979">
            <w:pPr>
              <w:rPr>
                <w:rFonts w:ascii="Arial" w:hAnsi="Arial" w:cs="Arial"/>
                <w:color w:val="000000"/>
                <w:sz w:val="20"/>
                <w:szCs w:val="20"/>
              </w:rPr>
            </w:pPr>
            <w:r w:rsidRPr="00B92499">
              <w:rPr>
                <w:rFonts w:ascii="Arial" w:hAnsi="Arial" w:cs="Arial"/>
                <w:color w:val="000000"/>
                <w:sz w:val="20"/>
                <w:szCs w:val="20"/>
              </w:rPr>
              <w:t>Metas y objetivos de la Dirección conforme al POA.</w:t>
            </w:r>
          </w:p>
        </w:tc>
        <w:tc>
          <w:tcPr>
            <w:tcW w:w="1234" w:type="dxa"/>
            <w:tcBorders>
              <w:top w:val="nil"/>
              <w:left w:val="nil"/>
              <w:bottom w:val="single" w:sz="4" w:space="0" w:color="auto"/>
              <w:right w:val="single" w:sz="4" w:space="0" w:color="auto"/>
            </w:tcBorders>
            <w:shd w:val="clear" w:color="auto" w:fill="auto"/>
            <w:vAlign w:val="center"/>
            <w:hideMark/>
          </w:tcPr>
          <w:p w14:paraId="109C4145" w14:textId="77777777" w:rsidR="00074700" w:rsidRPr="00B92499" w:rsidRDefault="00074700" w:rsidP="00074700">
            <w:pPr>
              <w:jc w:val="center"/>
              <w:rPr>
                <w:rFonts w:ascii="Arial" w:hAnsi="Arial" w:cs="Arial"/>
                <w:color w:val="000000"/>
                <w:sz w:val="20"/>
                <w:szCs w:val="20"/>
              </w:rPr>
            </w:pPr>
            <w:r w:rsidRPr="00B92499">
              <w:rPr>
                <w:rFonts w:ascii="Arial" w:hAnsi="Arial" w:cs="Arial"/>
                <w:color w:val="000000"/>
                <w:sz w:val="20"/>
                <w:szCs w:val="20"/>
              </w:rPr>
              <w:t>76.09</w:t>
            </w:r>
          </w:p>
        </w:tc>
      </w:tr>
      <w:tr w:rsidR="00074700" w:rsidRPr="00B92499" w14:paraId="07EAF07C" w14:textId="77777777" w:rsidTr="00773979">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56E7CBC" w14:textId="77777777" w:rsidR="00074700" w:rsidRPr="00B92499" w:rsidRDefault="00074700" w:rsidP="00074700">
            <w:pPr>
              <w:jc w:val="center"/>
              <w:rPr>
                <w:rFonts w:ascii="Arial" w:hAnsi="Arial" w:cs="Arial"/>
                <w:color w:val="000000"/>
                <w:sz w:val="20"/>
                <w:szCs w:val="20"/>
              </w:rPr>
            </w:pPr>
            <w:r w:rsidRPr="00B92499">
              <w:rPr>
                <w:rFonts w:ascii="Arial" w:hAnsi="Arial" w:cs="Arial"/>
                <w:color w:val="000000"/>
                <w:sz w:val="20"/>
                <w:szCs w:val="20"/>
              </w:rPr>
              <w:t>LII</w:t>
            </w:r>
          </w:p>
        </w:tc>
        <w:tc>
          <w:tcPr>
            <w:tcW w:w="0" w:type="auto"/>
            <w:tcBorders>
              <w:top w:val="nil"/>
              <w:left w:val="nil"/>
              <w:bottom w:val="single" w:sz="4" w:space="0" w:color="auto"/>
              <w:right w:val="single" w:sz="4" w:space="0" w:color="auto"/>
            </w:tcBorders>
            <w:shd w:val="clear" w:color="auto" w:fill="auto"/>
            <w:vAlign w:val="center"/>
            <w:hideMark/>
          </w:tcPr>
          <w:p w14:paraId="3AB412BC" w14:textId="77777777" w:rsidR="00074700" w:rsidRPr="00B92499" w:rsidRDefault="00074700" w:rsidP="00773979">
            <w:pPr>
              <w:rPr>
                <w:rFonts w:ascii="Arial" w:hAnsi="Arial" w:cs="Arial"/>
                <w:color w:val="000000"/>
                <w:sz w:val="20"/>
                <w:szCs w:val="20"/>
              </w:rPr>
            </w:pPr>
            <w:r w:rsidRPr="00B92499">
              <w:rPr>
                <w:rFonts w:ascii="Arial" w:hAnsi="Arial" w:cs="Arial"/>
                <w:color w:val="000000"/>
                <w:sz w:val="20"/>
                <w:szCs w:val="20"/>
              </w:rPr>
              <w:t>Cualquier otra información que sea de utilidad o se considere relevante.</w:t>
            </w:r>
          </w:p>
        </w:tc>
        <w:tc>
          <w:tcPr>
            <w:tcW w:w="1234" w:type="dxa"/>
            <w:tcBorders>
              <w:top w:val="nil"/>
              <w:left w:val="nil"/>
              <w:bottom w:val="single" w:sz="4" w:space="0" w:color="auto"/>
              <w:right w:val="single" w:sz="4" w:space="0" w:color="auto"/>
            </w:tcBorders>
            <w:shd w:val="clear" w:color="auto" w:fill="auto"/>
            <w:vAlign w:val="center"/>
            <w:hideMark/>
          </w:tcPr>
          <w:p w14:paraId="293F995B" w14:textId="77777777" w:rsidR="00074700" w:rsidRPr="00B92499" w:rsidRDefault="00074700" w:rsidP="00074700">
            <w:pPr>
              <w:jc w:val="center"/>
              <w:rPr>
                <w:rFonts w:ascii="Arial" w:hAnsi="Arial" w:cs="Arial"/>
                <w:color w:val="000000"/>
                <w:sz w:val="20"/>
                <w:szCs w:val="20"/>
              </w:rPr>
            </w:pPr>
            <w:r w:rsidRPr="00B92499">
              <w:rPr>
                <w:rFonts w:ascii="Arial" w:hAnsi="Arial" w:cs="Arial"/>
                <w:color w:val="000000"/>
                <w:sz w:val="20"/>
                <w:szCs w:val="20"/>
              </w:rPr>
              <w:t>75.65</w:t>
            </w:r>
          </w:p>
        </w:tc>
      </w:tr>
    </w:tbl>
    <w:p w14:paraId="5B186FE8" w14:textId="77777777" w:rsidR="00D2376D" w:rsidRPr="00B92499" w:rsidRDefault="00D2376D" w:rsidP="00074700">
      <w:pPr>
        <w:spacing w:before="100" w:beforeAutospacing="1" w:after="100" w:afterAutospacing="1" w:line="360" w:lineRule="auto"/>
        <w:jc w:val="both"/>
        <w:rPr>
          <w:rFonts w:ascii="Arial" w:hAnsi="Arial" w:cs="Arial"/>
        </w:rPr>
      </w:pPr>
    </w:p>
    <w:p w14:paraId="5389ED39" w14:textId="602A83FB" w:rsidR="00D2376D" w:rsidRPr="00B92499" w:rsidRDefault="00940CBA" w:rsidP="009F64B5">
      <w:pPr>
        <w:pStyle w:val="Ttulo3"/>
        <w:numPr>
          <w:ilvl w:val="2"/>
          <w:numId w:val="11"/>
        </w:numPr>
        <w:contextualSpacing/>
        <w:jc w:val="both"/>
        <w:rPr>
          <w:rFonts w:ascii="Arial" w:hAnsi="Arial" w:cs="Arial"/>
          <w:b/>
          <w:color w:val="auto"/>
        </w:rPr>
      </w:pPr>
      <w:bookmarkStart w:id="33" w:name="_Toc23252989"/>
      <w:r w:rsidRPr="00B92499">
        <w:rPr>
          <w:rFonts w:ascii="Arial" w:hAnsi="Arial" w:cs="Arial"/>
          <w:b/>
          <w:color w:val="auto"/>
        </w:rPr>
        <w:t xml:space="preserve">Análisis del </w:t>
      </w:r>
      <w:r w:rsidR="008F67E4" w:rsidRPr="00B92499">
        <w:rPr>
          <w:rFonts w:ascii="Arial" w:hAnsi="Arial" w:cs="Arial"/>
          <w:b/>
          <w:color w:val="auto"/>
        </w:rPr>
        <w:t>artículo</w:t>
      </w:r>
      <w:r w:rsidRPr="00B92499">
        <w:rPr>
          <w:rFonts w:ascii="Arial" w:hAnsi="Arial" w:cs="Arial"/>
          <w:b/>
          <w:color w:val="auto"/>
        </w:rPr>
        <w:t xml:space="preserve"> 122 y sus respectivas fracciones</w:t>
      </w:r>
      <w:bookmarkEnd w:id="33"/>
    </w:p>
    <w:p w14:paraId="6D5E8AA8" w14:textId="59FC8F5F" w:rsidR="0074778D" w:rsidRPr="00B92499" w:rsidRDefault="0074778D" w:rsidP="002E7D47">
      <w:pPr>
        <w:spacing w:before="100" w:beforeAutospacing="1" w:after="100" w:afterAutospacing="1" w:line="360" w:lineRule="auto"/>
        <w:contextualSpacing/>
        <w:jc w:val="both"/>
        <w:rPr>
          <w:rFonts w:ascii="Arial" w:hAnsi="Arial" w:cs="Arial"/>
        </w:rPr>
      </w:pPr>
      <w:r w:rsidRPr="00B92499">
        <w:rPr>
          <w:rFonts w:ascii="Arial" w:hAnsi="Arial" w:cs="Arial"/>
        </w:rPr>
        <w:t xml:space="preserve">Los </w:t>
      </w:r>
      <w:r w:rsidR="008710F6" w:rsidRPr="00B92499">
        <w:rPr>
          <w:rFonts w:ascii="Arial" w:hAnsi="Arial" w:cs="Arial"/>
        </w:rPr>
        <w:t>sujeto</w:t>
      </w:r>
      <w:r w:rsidR="00EB5F64" w:rsidRPr="00B92499">
        <w:rPr>
          <w:rFonts w:ascii="Arial" w:hAnsi="Arial" w:cs="Arial"/>
        </w:rPr>
        <w:t xml:space="preserve">s </w:t>
      </w:r>
      <w:r w:rsidR="008710F6" w:rsidRPr="00B92499">
        <w:rPr>
          <w:rFonts w:ascii="Arial" w:hAnsi="Arial" w:cs="Arial"/>
        </w:rPr>
        <w:t>obligado</w:t>
      </w:r>
      <w:r w:rsidR="00EB5F64" w:rsidRPr="00B92499">
        <w:rPr>
          <w:rFonts w:ascii="Arial" w:hAnsi="Arial" w:cs="Arial"/>
        </w:rPr>
        <w:t>s</w:t>
      </w:r>
      <w:r w:rsidRPr="00B92499">
        <w:rPr>
          <w:rFonts w:ascii="Arial" w:hAnsi="Arial" w:cs="Arial"/>
        </w:rPr>
        <w:t xml:space="preserve"> de las delegaciones obtuvieron un ICP de </w:t>
      </w:r>
      <w:r w:rsidR="00074700" w:rsidRPr="00B92499">
        <w:rPr>
          <w:rFonts w:ascii="Arial" w:hAnsi="Arial" w:cs="Arial"/>
        </w:rPr>
        <w:t>88.86</w:t>
      </w:r>
      <w:r w:rsidRPr="00B92499">
        <w:rPr>
          <w:rFonts w:ascii="Arial" w:hAnsi="Arial" w:cs="Arial"/>
        </w:rPr>
        <w:t xml:space="preserve">%; por lo que se encuentra dentro del área de cumplimiento parcial. Las fracciones I, II y III obtuvieron un ICP de </w:t>
      </w:r>
      <w:r w:rsidR="00074700" w:rsidRPr="00B92499">
        <w:rPr>
          <w:rFonts w:ascii="Arial" w:hAnsi="Arial" w:cs="Arial"/>
        </w:rPr>
        <w:t>92.15</w:t>
      </w:r>
      <w:r w:rsidRPr="00B92499">
        <w:rPr>
          <w:rFonts w:ascii="Arial" w:hAnsi="Arial" w:cs="Arial"/>
        </w:rPr>
        <w:t xml:space="preserve">%, </w:t>
      </w:r>
      <w:r w:rsidR="00074700" w:rsidRPr="00B92499">
        <w:rPr>
          <w:rFonts w:ascii="Arial" w:hAnsi="Arial" w:cs="Arial"/>
        </w:rPr>
        <w:t>92.14</w:t>
      </w:r>
      <w:r w:rsidRPr="00B92499">
        <w:rPr>
          <w:rFonts w:ascii="Arial" w:hAnsi="Arial" w:cs="Arial"/>
        </w:rPr>
        <w:t>% y</w:t>
      </w:r>
      <w:r w:rsidR="00074700" w:rsidRPr="00B92499">
        <w:rPr>
          <w:rFonts w:ascii="Arial" w:hAnsi="Arial" w:cs="Arial"/>
        </w:rPr>
        <w:t xml:space="preserve"> 88.41</w:t>
      </w:r>
      <w:r w:rsidRPr="00B92499">
        <w:rPr>
          <w:rFonts w:ascii="Arial" w:hAnsi="Arial" w:cs="Arial"/>
        </w:rPr>
        <w:t xml:space="preserve">% respectivamente, colocándose en un cumplimiento parcial. </w:t>
      </w:r>
    </w:p>
    <w:p w14:paraId="5EFA3EE6" w14:textId="77777777" w:rsidR="00D2376D" w:rsidRPr="00B92499" w:rsidRDefault="00D2376D" w:rsidP="002E7D47">
      <w:pPr>
        <w:spacing w:before="100" w:beforeAutospacing="1" w:after="100" w:afterAutospacing="1" w:line="360" w:lineRule="auto"/>
        <w:contextualSpacing/>
        <w:jc w:val="both"/>
        <w:rPr>
          <w:rFonts w:ascii="Arial" w:hAnsi="Arial" w:cs="Arial"/>
        </w:rPr>
      </w:pPr>
    </w:p>
    <w:p w14:paraId="414BDEBD" w14:textId="49CC3412" w:rsidR="00D2376D" w:rsidRPr="00B92499" w:rsidRDefault="00940CBA" w:rsidP="002E7D47">
      <w:pPr>
        <w:spacing w:before="100" w:beforeAutospacing="1" w:after="100" w:afterAutospacing="1" w:line="360" w:lineRule="auto"/>
        <w:contextualSpacing/>
        <w:jc w:val="both"/>
        <w:rPr>
          <w:rFonts w:ascii="Arial" w:hAnsi="Arial" w:cs="Arial"/>
        </w:rPr>
      </w:pPr>
      <w:r w:rsidRPr="00B92499">
        <w:rPr>
          <w:rFonts w:ascii="Arial" w:hAnsi="Arial" w:cs="Arial"/>
        </w:rPr>
        <w:t xml:space="preserve">Por otra parte, los errores que cometieron los </w:t>
      </w:r>
      <w:r w:rsidR="008710F6" w:rsidRPr="00B92499">
        <w:rPr>
          <w:rFonts w:ascii="Arial" w:hAnsi="Arial" w:cs="Arial"/>
        </w:rPr>
        <w:t>sujeto</w:t>
      </w:r>
      <w:r w:rsidR="00EB5F64" w:rsidRPr="00B92499">
        <w:rPr>
          <w:rFonts w:ascii="Arial" w:hAnsi="Arial" w:cs="Arial"/>
        </w:rPr>
        <w:t xml:space="preserve">s </w:t>
      </w:r>
      <w:r w:rsidR="008710F6" w:rsidRPr="00B92499">
        <w:rPr>
          <w:rFonts w:ascii="Arial" w:hAnsi="Arial" w:cs="Arial"/>
        </w:rPr>
        <w:t>obligado</w:t>
      </w:r>
      <w:r w:rsidR="00EB5F64" w:rsidRPr="00B92499">
        <w:rPr>
          <w:rFonts w:ascii="Arial" w:hAnsi="Arial" w:cs="Arial"/>
        </w:rPr>
        <w:t>s</w:t>
      </w:r>
      <w:r w:rsidRPr="00B92499">
        <w:rPr>
          <w:rFonts w:ascii="Arial" w:hAnsi="Arial" w:cs="Arial"/>
        </w:rPr>
        <w:t xml:space="preserve"> con mayor frecuencia fueron los siguientes: no actualizaron la información conforme indica la normatividad vigente, ni se tuvo acceso a los hipervínculos que publicaron. </w:t>
      </w:r>
      <w:r w:rsidR="00475941" w:rsidRPr="00B92499">
        <w:rPr>
          <w:rFonts w:ascii="Arial" w:hAnsi="Arial" w:cs="Arial"/>
        </w:rPr>
        <w:t>Además</w:t>
      </w:r>
      <w:r w:rsidRPr="00B92499">
        <w:rPr>
          <w:rFonts w:ascii="Arial" w:hAnsi="Arial" w:cs="Arial"/>
        </w:rPr>
        <w:t>, en algunos casos indicaron erróneamente la no aplicabilidad, por lo que deberán revisar los lineamientos, estudiar el caso y publicar la información solicitada o transcribir la leyenda “no se generó información” con su debida motivación y fundamentación.</w:t>
      </w:r>
    </w:p>
    <w:p w14:paraId="16ACC2B1" w14:textId="1FD657CC" w:rsidR="00D2376D" w:rsidRPr="00B92499" w:rsidRDefault="00940CBA" w:rsidP="009F64B5">
      <w:pPr>
        <w:pStyle w:val="Ttulo3"/>
        <w:numPr>
          <w:ilvl w:val="2"/>
          <w:numId w:val="11"/>
        </w:numPr>
        <w:contextualSpacing/>
        <w:jc w:val="both"/>
        <w:rPr>
          <w:rFonts w:ascii="Arial" w:hAnsi="Arial" w:cs="Arial"/>
          <w:b/>
          <w:color w:val="auto"/>
        </w:rPr>
      </w:pPr>
      <w:bookmarkStart w:id="34" w:name="_Toc23252990"/>
      <w:r w:rsidRPr="00B92499">
        <w:rPr>
          <w:rFonts w:ascii="Arial" w:hAnsi="Arial" w:cs="Arial"/>
          <w:b/>
          <w:color w:val="auto"/>
        </w:rPr>
        <w:t xml:space="preserve">Análisis del </w:t>
      </w:r>
      <w:r w:rsidR="008F67E4" w:rsidRPr="00B92499">
        <w:rPr>
          <w:rFonts w:ascii="Arial" w:hAnsi="Arial" w:cs="Arial"/>
          <w:b/>
          <w:color w:val="auto"/>
        </w:rPr>
        <w:t>artículo</w:t>
      </w:r>
      <w:r w:rsidRPr="00B92499">
        <w:rPr>
          <w:rFonts w:ascii="Arial" w:hAnsi="Arial" w:cs="Arial"/>
          <w:b/>
          <w:color w:val="auto"/>
        </w:rPr>
        <w:t xml:space="preserve"> 124 y sus respectivas fracciones</w:t>
      </w:r>
      <w:bookmarkEnd w:id="34"/>
    </w:p>
    <w:p w14:paraId="7CB5C575" w14:textId="0A86822C" w:rsidR="00A82DA1" w:rsidRPr="00B92499" w:rsidRDefault="00940CBA" w:rsidP="00A82DA1">
      <w:pPr>
        <w:spacing w:before="100" w:beforeAutospacing="1" w:after="100" w:afterAutospacing="1" w:line="360" w:lineRule="auto"/>
        <w:contextualSpacing/>
        <w:jc w:val="both"/>
        <w:rPr>
          <w:rFonts w:ascii="Arial" w:hAnsi="Arial" w:cs="Arial"/>
        </w:rPr>
      </w:pPr>
      <w:r w:rsidRPr="00B92499">
        <w:rPr>
          <w:rFonts w:ascii="Arial" w:hAnsi="Arial" w:cs="Arial"/>
        </w:rPr>
        <w:t xml:space="preserve">Los </w:t>
      </w:r>
      <w:r w:rsidR="008710F6" w:rsidRPr="00B92499">
        <w:rPr>
          <w:rFonts w:ascii="Arial" w:hAnsi="Arial" w:cs="Arial"/>
        </w:rPr>
        <w:t>sujeto</w:t>
      </w:r>
      <w:r w:rsidR="00EB5F64" w:rsidRPr="00B92499">
        <w:rPr>
          <w:rFonts w:ascii="Arial" w:hAnsi="Arial" w:cs="Arial"/>
        </w:rPr>
        <w:t xml:space="preserve">s </w:t>
      </w:r>
      <w:r w:rsidR="008710F6" w:rsidRPr="00B92499">
        <w:rPr>
          <w:rFonts w:ascii="Arial" w:hAnsi="Arial" w:cs="Arial"/>
        </w:rPr>
        <w:t>obligado</w:t>
      </w:r>
      <w:r w:rsidR="00EB5F64" w:rsidRPr="00B92499">
        <w:rPr>
          <w:rFonts w:ascii="Arial" w:hAnsi="Arial" w:cs="Arial"/>
        </w:rPr>
        <w:t>s</w:t>
      </w:r>
      <w:r w:rsidRPr="00B92499">
        <w:rPr>
          <w:rFonts w:ascii="Arial" w:hAnsi="Arial" w:cs="Arial"/>
        </w:rPr>
        <w:t xml:space="preserve"> de las delegaciones obtuvieron un ICP de </w:t>
      </w:r>
      <w:r w:rsidR="00A82DA1" w:rsidRPr="00B92499">
        <w:rPr>
          <w:rFonts w:ascii="Arial" w:hAnsi="Arial" w:cs="Arial"/>
        </w:rPr>
        <w:t>82.81%</w:t>
      </w:r>
      <w:r w:rsidR="000710B2" w:rsidRPr="00B92499">
        <w:rPr>
          <w:rFonts w:ascii="Arial" w:hAnsi="Arial" w:cs="Arial"/>
        </w:rPr>
        <w:t>;</w:t>
      </w:r>
      <w:r w:rsidR="00A82DA1" w:rsidRPr="00B92499">
        <w:rPr>
          <w:rFonts w:ascii="Arial" w:hAnsi="Arial" w:cs="Arial"/>
        </w:rPr>
        <w:t xml:space="preserve"> </w:t>
      </w:r>
      <w:r w:rsidRPr="00B92499">
        <w:rPr>
          <w:rFonts w:ascii="Arial" w:hAnsi="Arial" w:cs="Arial"/>
        </w:rPr>
        <w:t>por lo que se encuentra dentro del área de cumplimiento parcial. Las</w:t>
      </w:r>
      <w:r w:rsidR="000D67A7" w:rsidRPr="00B92499">
        <w:rPr>
          <w:rFonts w:ascii="Arial" w:hAnsi="Arial" w:cs="Arial"/>
        </w:rPr>
        <w:t xml:space="preserve"> 4 </w:t>
      </w:r>
      <w:r w:rsidRPr="00B92499">
        <w:rPr>
          <w:rFonts w:ascii="Arial" w:hAnsi="Arial" w:cs="Arial"/>
        </w:rPr>
        <w:t>fracciones que tiene</w:t>
      </w:r>
      <w:r w:rsidR="00F52CAA" w:rsidRPr="00B92499">
        <w:rPr>
          <w:rFonts w:ascii="Arial" w:hAnsi="Arial" w:cs="Arial"/>
        </w:rPr>
        <w:t>n</w:t>
      </w:r>
      <w:r w:rsidRPr="00B92499">
        <w:rPr>
          <w:rFonts w:ascii="Arial" w:hAnsi="Arial" w:cs="Arial"/>
        </w:rPr>
        <w:t xml:space="preserve"> mayor área de oportunidad, ya que se colocaron en un</w:t>
      </w:r>
      <w:r w:rsidR="00A82DA1" w:rsidRPr="00B92499">
        <w:rPr>
          <w:rFonts w:ascii="Arial" w:hAnsi="Arial" w:cs="Arial"/>
        </w:rPr>
        <w:t xml:space="preserve"> </w:t>
      </w:r>
      <w:r w:rsidRPr="00B92499">
        <w:rPr>
          <w:rFonts w:ascii="Arial" w:hAnsi="Arial" w:cs="Arial"/>
        </w:rPr>
        <w:t xml:space="preserve">cumplimiento parcial entre </w:t>
      </w:r>
      <w:r w:rsidR="00A82DA1" w:rsidRPr="00B92499">
        <w:rPr>
          <w:rFonts w:ascii="Arial" w:hAnsi="Arial" w:cs="Arial"/>
        </w:rPr>
        <w:t>70.41% y 79.83</w:t>
      </w:r>
      <w:r w:rsidRPr="00B92499">
        <w:rPr>
          <w:rFonts w:ascii="Arial" w:hAnsi="Arial" w:cs="Arial"/>
        </w:rPr>
        <w:t xml:space="preserve">% son las siguientes: </w:t>
      </w:r>
    </w:p>
    <w:p w14:paraId="64650C71" w14:textId="77777777" w:rsidR="00B671B7" w:rsidRPr="00B92499" w:rsidRDefault="00B671B7" w:rsidP="009F64B5">
      <w:pPr>
        <w:pStyle w:val="Prrafodelista"/>
        <w:numPr>
          <w:ilvl w:val="0"/>
          <w:numId w:val="17"/>
        </w:numPr>
        <w:spacing w:before="100" w:beforeAutospacing="1" w:after="100" w:afterAutospacing="1" w:line="360" w:lineRule="auto"/>
        <w:jc w:val="both"/>
        <w:rPr>
          <w:rFonts w:ascii="Arial" w:hAnsi="Arial" w:cs="Arial"/>
          <w:sz w:val="24"/>
          <w:szCs w:val="24"/>
          <w:lang w:val="es-ES_tradnl"/>
        </w:rPr>
      </w:pPr>
      <w:r w:rsidRPr="00B92499">
        <w:rPr>
          <w:rFonts w:ascii="Arial" w:hAnsi="Arial" w:cs="Arial"/>
          <w:sz w:val="24"/>
          <w:szCs w:val="24"/>
          <w:lang w:val="es-ES_tradnl"/>
        </w:rPr>
        <w:t>Fracción XXIV, con un ICP de 70.41% en la cual se mandata la publicación de</w:t>
      </w:r>
      <w:r w:rsidRPr="00B92499">
        <w:rPr>
          <w:rFonts w:ascii="Arial" w:hAnsi="Arial" w:cs="Arial"/>
          <w:color w:val="000000"/>
          <w:sz w:val="20"/>
          <w:szCs w:val="20"/>
          <w:lang w:val="es-ES_tradnl"/>
        </w:rPr>
        <w:t xml:space="preserve">l </w:t>
      </w:r>
      <w:r w:rsidRPr="00B92499">
        <w:rPr>
          <w:rFonts w:ascii="Arial" w:hAnsi="Arial" w:cs="Arial"/>
          <w:color w:val="000000"/>
          <w:sz w:val="24"/>
          <w:szCs w:val="24"/>
          <w:lang w:val="es-ES_tradnl"/>
        </w:rPr>
        <w:t>informe de labores presentado ante el Consejo Ciudadano Delegacional</w:t>
      </w:r>
      <w:r w:rsidRPr="00B92499">
        <w:rPr>
          <w:rFonts w:ascii="Arial" w:hAnsi="Arial" w:cs="Arial"/>
          <w:sz w:val="24"/>
          <w:szCs w:val="24"/>
          <w:lang w:val="es-ES_tradnl"/>
        </w:rPr>
        <w:t>. El área de oportunidad de las alcaldías respecto de esta fracción es actualizar los informes de labores ante el Consejo Ciudadano Delegacional.</w:t>
      </w:r>
    </w:p>
    <w:p w14:paraId="139B3D78" w14:textId="77777777" w:rsidR="00B671B7" w:rsidRPr="00B92499" w:rsidRDefault="00B671B7" w:rsidP="009F64B5">
      <w:pPr>
        <w:pStyle w:val="Prrafodelista"/>
        <w:numPr>
          <w:ilvl w:val="0"/>
          <w:numId w:val="17"/>
        </w:numPr>
        <w:spacing w:before="100" w:beforeAutospacing="1" w:after="100" w:afterAutospacing="1" w:line="360" w:lineRule="auto"/>
        <w:jc w:val="both"/>
        <w:rPr>
          <w:rFonts w:ascii="Arial" w:hAnsi="Arial" w:cs="Arial"/>
          <w:sz w:val="24"/>
          <w:szCs w:val="24"/>
          <w:lang w:val="es-ES_tradnl"/>
        </w:rPr>
      </w:pPr>
      <w:r w:rsidRPr="00B92499">
        <w:rPr>
          <w:rFonts w:ascii="Arial" w:hAnsi="Arial" w:cs="Arial"/>
          <w:sz w:val="24"/>
          <w:szCs w:val="24"/>
          <w:lang w:val="es-ES_tradnl"/>
        </w:rPr>
        <w:t xml:space="preserve">Fracción XVI, con un ICP de 70.96% en la cual está señalada la obligación de publicar </w:t>
      </w:r>
      <w:r w:rsidRPr="00B92499">
        <w:rPr>
          <w:rFonts w:ascii="Arial" w:hAnsi="Arial" w:cs="Arial"/>
          <w:color w:val="000000"/>
          <w:sz w:val="24"/>
          <w:szCs w:val="24"/>
          <w:lang w:val="es-ES_tradnl"/>
        </w:rPr>
        <w:t>el Programa de Seguridad Pública de la demarcación</w:t>
      </w:r>
      <w:r w:rsidRPr="00B92499">
        <w:rPr>
          <w:rFonts w:ascii="Arial" w:hAnsi="Arial" w:cs="Arial"/>
          <w:sz w:val="24"/>
          <w:szCs w:val="24"/>
          <w:lang w:val="es-ES_tradnl"/>
        </w:rPr>
        <w:t>. El área de oportunidad de las alcaldías respecto de esta fracción es actualizar la información conforme indica la normatividad vigente.</w:t>
      </w:r>
    </w:p>
    <w:p w14:paraId="4591E615" w14:textId="77777777" w:rsidR="00B671B7" w:rsidRPr="00B92499" w:rsidRDefault="00B671B7" w:rsidP="009F64B5">
      <w:pPr>
        <w:pStyle w:val="Prrafodelista"/>
        <w:numPr>
          <w:ilvl w:val="0"/>
          <w:numId w:val="17"/>
        </w:numPr>
        <w:spacing w:before="100" w:beforeAutospacing="1" w:after="100" w:afterAutospacing="1" w:line="360" w:lineRule="auto"/>
        <w:jc w:val="both"/>
        <w:rPr>
          <w:rFonts w:ascii="Arial" w:hAnsi="Arial" w:cs="Arial"/>
          <w:sz w:val="24"/>
          <w:szCs w:val="24"/>
          <w:lang w:val="es-ES_tradnl"/>
        </w:rPr>
      </w:pPr>
      <w:r w:rsidRPr="00B92499">
        <w:rPr>
          <w:rFonts w:ascii="Arial" w:hAnsi="Arial" w:cs="Arial"/>
          <w:sz w:val="24"/>
          <w:szCs w:val="24"/>
          <w:lang w:val="es-ES_tradnl"/>
        </w:rPr>
        <w:t xml:space="preserve">Fracción XXII, con un ICP de 78.88% en la cual se mandata la publicación de </w:t>
      </w:r>
      <w:r w:rsidRPr="00B92499">
        <w:rPr>
          <w:rFonts w:ascii="Arial" w:hAnsi="Arial" w:cs="Arial"/>
          <w:color w:val="000000"/>
          <w:sz w:val="24"/>
          <w:szCs w:val="24"/>
          <w:lang w:val="es-ES_tradnl"/>
        </w:rPr>
        <w:t>los programas y acciones relacionados con la preservación del equilibrio ecológico; la adquisición de reservas territoriales en su caso; y la protección al ambiente, en su ámbito de competencia</w:t>
      </w:r>
      <w:r w:rsidRPr="00B92499">
        <w:rPr>
          <w:rFonts w:ascii="Arial" w:hAnsi="Arial" w:cs="Arial"/>
          <w:lang w:val="es-ES_tradnl"/>
        </w:rPr>
        <w:t xml:space="preserve">. </w:t>
      </w:r>
      <w:r w:rsidRPr="00B92499">
        <w:rPr>
          <w:rFonts w:ascii="Arial" w:hAnsi="Arial" w:cs="Arial"/>
          <w:sz w:val="24"/>
          <w:szCs w:val="24"/>
          <w:lang w:val="es-ES_tradnl"/>
        </w:rPr>
        <w:t>El área de oportunidad de las alcaldías respecto de esta fracción es actualizar la información publicada en relación con los programas del cuidado del medio ambiente.</w:t>
      </w:r>
    </w:p>
    <w:p w14:paraId="09348408" w14:textId="7CF2E3E1" w:rsidR="00B671B7" w:rsidRPr="00B92499" w:rsidRDefault="00B671B7" w:rsidP="009F64B5">
      <w:pPr>
        <w:pStyle w:val="Prrafodelista"/>
        <w:numPr>
          <w:ilvl w:val="0"/>
          <w:numId w:val="17"/>
        </w:numPr>
        <w:spacing w:before="100" w:beforeAutospacing="1" w:after="100" w:afterAutospacing="1" w:line="360" w:lineRule="auto"/>
        <w:jc w:val="both"/>
        <w:rPr>
          <w:rFonts w:ascii="Arial" w:hAnsi="Arial" w:cs="Arial"/>
          <w:sz w:val="24"/>
          <w:szCs w:val="24"/>
          <w:lang w:val="es-ES_tradnl"/>
        </w:rPr>
      </w:pPr>
      <w:r w:rsidRPr="00B92499">
        <w:rPr>
          <w:rFonts w:ascii="Arial" w:hAnsi="Arial" w:cs="Arial"/>
          <w:sz w:val="24"/>
          <w:szCs w:val="24"/>
          <w:lang w:val="es-ES_tradnl"/>
        </w:rPr>
        <w:t xml:space="preserve">Fracción XV, con un ICP de 79.83% en la cual </w:t>
      </w:r>
      <w:r w:rsidR="004C7C14" w:rsidRPr="00B92499">
        <w:rPr>
          <w:rFonts w:ascii="Arial" w:hAnsi="Arial" w:cs="Arial"/>
          <w:sz w:val="24"/>
          <w:szCs w:val="24"/>
          <w:lang w:val="es-ES_tradnl"/>
        </w:rPr>
        <w:t xml:space="preserve">se mandata </w:t>
      </w:r>
      <w:r w:rsidR="00C7683E" w:rsidRPr="00B92499">
        <w:rPr>
          <w:rFonts w:ascii="Arial" w:hAnsi="Arial" w:cs="Arial"/>
          <w:sz w:val="24"/>
          <w:szCs w:val="24"/>
          <w:lang w:val="es-ES_tradnl"/>
        </w:rPr>
        <w:t xml:space="preserve"> la publicación</w:t>
      </w:r>
      <w:r w:rsidR="004C7C14" w:rsidRPr="00B92499">
        <w:rPr>
          <w:rFonts w:ascii="Arial" w:hAnsi="Arial" w:cs="Arial"/>
          <w:sz w:val="24"/>
          <w:szCs w:val="24"/>
          <w:lang w:val="es-ES_tradnl"/>
        </w:rPr>
        <w:t xml:space="preserve"> del </w:t>
      </w:r>
      <w:r w:rsidR="004C7C14" w:rsidRPr="00B92499">
        <w:rPr>
          <w:rFonts w:ascii="Arial" w:hAnsi="Arial" w:cs="Arial"/>
          <w:color w:val="000000"/>
          <w:sz w:val="24"/>
          <w:szCs w:val="24"/>
          <w:lang w:val="es-ES_tradnl"/>
        </w:rPr>
        <w:t xml:space="preserve">padrón actualizado de los giros mercantiles que funcionen en su jurisdicción </w:t>
      </w:r>
      <w:r w:rsidR="004C7C14" w:rsidRPr="00B92499">
        <w:rPr>
          <w:rFonts w:ascii="Arial" w:hAnsi="Arial" w:cs="Arial"/>
          <w:color w:val="000000"/>
          <w:sz w:val="24"/>
          <w:szCs w:val="24"/>
          <w:lang w:val="es-ES_tradnl"/>
        </w:rPr>
        <w:lastRenderedPageBreak/>
        <w:t xml:space="preserve">y las licencias y autorizaciones otorgadas para el funcionamiento de los giros </w:t>
      </w:r>
      <w:r w:rsidR="008710F6" w:rsidRPr="00B92499">
        <w:rPr>
          <w:rFonts w:ascii="Arial" w:hAnsi="Arial" w:cs="Arial"/>
          <w:color w:val="000000"/>
          <w:sz w:val="24"/>
          <w:szCs w:val="24"/>
          <w:lang w:val="es-ES_tradnl"/>
        </w:rPr>
        <w:t>sujeto</w:t>
      </w:r>
      <w:r w:rsidR="004C7C14" w:rsidRPr="00B92499">
        <w:rPr>
          <w:rFonts w:ascii="Arial" w:hAnsi="Arial" w:cs="Arial"/>
          <w:color w:val="000000"/>
          <w:sz w:val="24"/>
          <w:szCs w:val="24"/>
          <w:lang w:val="es-ES_tradnl"/>
        </w:rPr>
        <w:t>s a las leyes y reglamentos aplicables. E</w:t>
      </w:r>
      <w:r w:rsidRPr="00B92499">
        <w:rPr>
          <w:rFonts w:ascii="Arial" w:hAnsi="Arial" w:cs="Arial"/>
          <w:sz w:val="24"/>
          <w:szCs w:val="24"/>
          <w:lang w:val="es-ES_tradnl"/>
        </w:rPr>
        <w:t>l área de oportunidad de las alcaldías respecto de esta fracción es actualizar el padrón de los giros mercantiles.</w:t>
      </w:r>
    </w:p>
    <w:p w14:paraId="3EB9D690" w14:textId="5E9F289D" w:rsidR="00A82DA1" w:rsidRPr="00B92499" w:rsidRDefault="00A82DA1" w:rsidP="00A82DA1">
      <w:pPr>
        <w:spacing w:before="100" w:beforeAutospacing="1" w:after="100" w:afterAutospacing="1" w:line="360" w:lineRule="auto"/>
        <w:contextualSpacing/>
        <w:jc w:val="both"/>
        <w:rPr>
          <w:rFonts w:ascii="Arial" w:hAnsi="Arial" w:cs="Arial"/>
        </w:rPr>
      </w:pPr>
      <w:r w:rsidRPr="00B92499">
        <w:rPr>
          <w:rFonts w:ascii="Arial" w:hAnsi="Arial" w:cs="Arial"/>
        </w:rPr>
        <w:t>De igual forma, las</w:t>
      </w:r>
      <w:r w:rsidR="000D67A7" w:rsidRPr="00B92499">
        <w:rPr>
          <w:rFonts w:ascii="Arial" w:hAnsi="Arial" w:cs="Arial"/>
        </w:rPr>
        <w:t xml:space="preserve"> 4 </w:t>
      </w:r>
      <w:r w:rsidRPr="00B92499">
        <w:rPr>
          <w:rFonts w:ascii="Arial" w:hAnsi="Arial" w:cs="Arial"/>
        </w:rPr>
        <w:t>fracciones con un ICP ubicadas en el rango de 92.49% y 94.40% son las que se detallan a continuación:</w:t>
      </w:r>
    </w:p>
    <w:p w14:paraId="7A6919DE" w14:textId="77777777" w:rsidR="00A82DA1" w:rsidRPr="00B92499" w:rsidRDefault="00A82DA1" w:rsidP="00A82DA1">
      <w:pPr>
        <w:pStyle w:val="Prrafodelista"/>
        <w:numPr>
          <w:ilvl w:val="0"/>
          <w:numId w:val="3"/>
        </w:numPr>
        <w:spacing w:before="100" w:beforeAutospacing="1" w:after="100" w:afterAutospacing="1" w:line="360" w:lineRule="auto"/>
        <w:jc w:val="both"/>
        <w:rPr>
          <w:rFonts w:ascii="Arial" w:hAnsi="Arial" w:cs="Arial"/>
          <w:sz w:val="24"/>
          <w:szCs w:val="24"/>
          <w:lang w:val="es-ES_tradnl"/>
        </w:rPr>
      </w:pPr>
      <w:r w:rsidRPr="00B92499">
        <w:rPr>
          <w:rFonts w:ascii="Arial" w:hAnsi="Arial" w:cs="Arial"/>
          <w:sz w:val="24"/>
          <w:szCs w:val="24"/>
          <w:lang w:val="es-ES_tradnl"/>
        </w:rPr>
        <w:t>Fracción XIX, con un ICP de 92.49% en la cual</w:t>
      </w:r>
      <w:r w:rsidR="00EB5F64" w:rsidRPr="00B92499">
        <w:rPr>
          <w:rFonts w:ascii="Arial" w:hAnsi="Arial" w:cs="Arial"/>
          <w:sz w:val="24"/>
          <w:szCs w:val="24"/>
          <w:lang w:val="es-ES_tradnl"/>
        </w:rPr>
        <w:t xml:space="preserve"> se mandata la publicación de las autorizaciones de los números oficiales y alineamientos. </w:t>
      </w:r>
    </w:p>
    <w:p w14:paraId="2D124566" w14:textId="77777777" w:rsidR="00A82DA1" w:rsidRPr="00B92499" w:rsidRDefault="00A82DA1" w:rsidP="00A82DA1">
      <w:pPr>
        <w:pStyle w:val="Prrafodelista"/>
        <w:numPr>
          <w:ilvl w:val="0"/>
          <w:numId w:val="3"/>
        </w:numPr>
        <w:spacing w:before="100" w:beforeAutospacing="1" w:after="100" w:afterAutospacing="1" w:line="360" w:lineRule="auto"/>
        <w:jc w:val="both"/>
        <w:rPr>
          <w:rFonts w:ascii="Arial" w:hAnsi="Arial" w:cs="Arial"/>
          <w:sz w:val="24"/>
          <w:szCs w:val="24"/>
          <w:lang w:val="es-ES_tradnl"/>
        </w:rPr>
      </w:pPr>
      <w:r w:rsidRPr="00B92499">
        <w:rPr>
          <w:rFonts w:ascii="Arial" w:hAnsi="Arial" w:cs="Arial"/>
          <w:sz w:val="24"/>
          <w:szCs w:val="24"/>
          <w:lang w:val="es-ES_tradnl"/>
        </w:rPr>
        <w:t>Fracción XII, con un ICP de 94.75% en la cual</w:t>
      </w:r>
      <w:r w:rsidR="00EB5F64" w:rsidRPr="00B92499">
        <w:rPr>
          <w:rFonts w:ascii="Arial" w:hAnsi="Arial" w:cs="Arial"/>
          <w:sz w:val="24"/>
          <w:szCs w:val="24"/>
          <w:lang w:val="es-ES_tradnl"/>
        </w:rPr>
        <w:t xml:space="preserve"> es señalada la obligación de publicar los montos asignados, desglose y avance trimestral del Presupuesto Participativo. </w:t>
      </w:r>
    </w:p>
    <w:p w14:paraId="30FD1553" w14:textId="77777777" w:rsidR="00A82DA1" w:rsidRPr="00B92499" w:rsidRDefault="00A82DA1" w:rsidP="00A82DA1">
      <w:pPr>
        <w:pStyle w:val="Prrafodelista"/>
        <w:numPr>
          <w:ilvl w:val="0"/>
          <w:numId w:val="3"/>
        </w:numPr>
        <w:spacing w:before="100" w:beforeAutospacing="1" w:after="100" w:afterAutospacing="1" w:line="360" w:lineRule="auto"/>
        <w:jc w:val="both"/>
        <w:rPr>
          <w:rFonts w:ascii="Arial" w:hAnsi="Arial" w:cs="Arial"/>
          <w:sz w:val="24"/>
          <w:szCs w:val="24"/>
          <w:lang w:val="es-ES_tradnl"/>
        </w:rPr>
      </w:pPr>
      <w:r w:rsidRPr="00B92499">
        <w:rPr>
          <w:rFonts w:ascii="Arial" w:hAnsi="Arial" w:cs="Arial"/>
          <w:sz w:val="24"/>
          <w:szCs w:val="24"/>
          <w:lang w:val="es-ES_tradnl"/>
        </w:rPr>
        <w:t>Fracción V, con un ICP de 93.49% en la cual</w:t>
      </w:r>
      <w:r w:rsidR="00EB5F64" w:rsidRPr="00B92499">
        <w:rPr>
          <w:rFonts w:ascii="Arial" w:hAnsi="Arial" w:cs="Arial"/>
          <w:sz w:val="24"/>
          <w:szCs w:val="24"/>
          <w:lang w:val="es-ES_tradnl"/>
        </w:rPr>
        <w:t xml:space="preserve"> se mandata la publicación de información en materia presupuestal, el desglose del origen de los recursos asignados ya sea federal o local, señalando en su caso, el desglose de la cantidad que se destinará a programas de fortalecimiento de las Demarcaciones Territoriales. </w:t>
      </w:r>
    </w:p>
    <w:p w14:paraId="7827DEA0" w14:textId="56C31675" w:rsidR="00A82DA1" w:rsidRPr="00B92499" w:rsidRDefault="00A82DA1" w:rsidP="00A82DA1">
      <w:pPr>
        <w:pStyle w:val="Prrafodelista"/>
        <w:numPr>
          <w:ilvl w:val="0"/>
          <w:numId w:val="3"/>
        </w:numPr>
        <w:spacing w:before="100" w:beforeAutospacing="1" w:after="100" w:afterAutospacing="1" w:line="360" w:lineRule="auto"/>
        <w:jc w:val="both"/>
        <w:rPr>
          <w:rFonts w:ascii="Arial" w:hAnsi="Arial" w:cs="Arial"/>
          <w:sz w:val="24"/>
          <w:szCs w:val="24"/>
          <w:lang w:val="es-ES_tradnl"/>
        </w:rPr>
      </w:pPr>
      <w:r w:rsidRPr="00B92499">
        <w:rPr>
          <w:rFonts w:ascii="Arial" w:hAnsi="Arial" w:cs="Arial"/>
          <w:sz w:val="24"/>
          <w:szCs w:val="24"/>
          <w:lang w:val="es-ES_tradnl"/>
        </w:rPr>
        <w:t>Fracción II, con un ICP de 94.40% en la cual</w:t>
      </w:r>
      <w:r w:rsidR="00EB5F64" w:rsidRPr="00B92499">
        <w:rPr>
          <w:rFonts w:ascii="Arial" w:hAnsi="Arial" w:cs="Arial"/>
          <w:sz w:val="24"/>
          <w:szCs w:val="24"/>
          <w:lang w:val="es-ES_tradnl"/>
        </w:rPr>
        <w:t xml:space="preserve"> </w:t>
      </w:r>
      <w:r w:rsidR="00B12E30" w:rsidRPr="00B92499">
        <w:rPr>
          <w:rFonts w:ascii="Arial" w:hAnsi="Arial" w:cs="Arial"/>
          <w:sz w:val="24"/>
          <w:szCs w:val="24"/>
          <w:lang w:val="es-ES_tradnl"/>
        </w:rPr>
        <w:t>es</w:t>
      </w:r>
      <w:r w:rsidR="00EB5F64" w:rsidRPr="00B92499">
        <w:rPr>
          <w:rFonts w:ascii="Arial" w:hAnsi="Arial" w:cs="Arial"/>
          <w:sz w:val="24"/>
          <w:szCs w:val="24"/>
          <w:lang w:val="es-ES_tradnl"/>
        </w:rPr>
        <w:t xml:space="preserve"> señala</w:t>
      </w:r>
      <w:r w:rsidR="00B12E30" w:rsidRPr="00B92499">
        <w:rPr>
          <w:rFonts w:ascii="Arial" w:hAnsi="Arial" w:cs="Arial"/>
          <w:sz w:val="24"/>
          <w:szCs w:val="24"/>
          <w:lang w:val="es-ES_tradnl"/>
        </w:rPr>
        <w:t>da</w:t>
      </w:r>
      <w:r w:rsidR="00EB5F64" w:rsidRPr="00B92499">
        <w:rPr>
          <w:rFonts w:ascii="Arial" w:hAnsi="Arial" w:cs="Arial"/>
          <w:sz w:val="24"/>
          <w:szCs w:val="24"/>
          <w:lang w:val="es-ES_tradnl"/>
        </w:rPr>
        <w:t xml:space="preserve"> la obligación de publicar el calendario con las actividades culturales, deportivas y recreativas a realizar; así como el presupuesto y acciones para la rehabilitación y mantenimiento de su infraestructura. </w:t>
      </w:r>
    </w:p>
    <w:p w14:paraId="2C949949" w14:textId="1A4A9944" w:rsidR="00A82DA1" w:rsidRPr="00B92499" w:rsidRDefault="00B12E30" w:rsidP="00A82DA1">
      <w:pPr>
        <w:spacing w:before="100" w:beforeAutospacing="1" w:after="100" w:afterAutospacing="1" w:line="360" w:lineRule="auto"/>
        <w:jc w:val="both"/>
        <w:rPr>
          <w:rFonts w:ascii="Arial" w:hAnsi="Arial" w:cs="Arial"/>
        </w:rPr>
      </w:pPr>
      <w:r w:rsidRPr="00B92499">
        <w:rPr>
          <w:rFonts w:ascii="Arial" w:hAnsi="Arial" w:cs="Arial"/>
        </w:rPr>
        <w:t>Con el objetivo de mostrar con mayor detalle el ICP de cada fracción del artículo 124 es presentada la siguiente tabla ordenada de forma descendente</w:t>
      </w:r>
    </w:p>
    <w:tbl>
      <w:tblPr>
        <w:tblW w:w="9209" w:type="dxa"/>
        <w:tblCellMar>
          <w:left w:w="70" w:type="dxa"/>
          <w:right w:w="70" w:type="dxa"/>
        </w:tblCellMar>
        <w:tblLook w:val="04A0" w:firstRow="1" w:lastRow="0" w:firstColumn="1" w:lastColumn="0" w:noHBand="0" w:noVBand="1"/>
      </w:tblPr>
      <w:tblGrid>
        <w:gridCol w:w="1781"/>
        <w:gridCol w:w="6436"/>
        <w:gridCol w:w="992"/>
      </w:tblGrid>
      <w:tr w:rsidR="00A82DA1" w:rsidRPr="00B92499" w14:paraId="55B870F9" w14:textId="77777777" w:rsidTr="00EB5F64">
        <w:trPr>
          <w:trHeight w:val="20"/>
          <w:tblHeader/>
        </w:trPr>
        <w:tc>
          <w:tcPr>
            <w:tcW w:w="9209" w:type="dxa"/>
            <w:gridSpan w:val="3"/>
            <w:tcBorders>
              <w:top w:val="single" w:sz="4" w:space="0" w:color="auto"/>
              <w:left w:val="single" w:sz="4" w:space="0" w:color="auto"/>
              <w:bottom w:val="single" w:sz="4" w:space="0" w:color="auto"/>
              <w:right w:val="single" w:sz="4" w:space="0" w:color="auto"/>
            </w:tcBorders>
            <w:shd w:val="clear" w:color="000000" w:fill="5B9BD5"/>
            <w:noWrap/>
            <w:vAlign w:val="center"/>
            <w:hideMark/>
          </w:tcPr>
          <w:p w14:paraId="5BC9546B" w14:textId="063AAAFD" w:rsidR="00A82DA1" w:rsidRPr="00B92499" w:rsidRDefault="00A82DA1" w:rsidP="00A82DA1">
            <w:pPr>
              <w:jc w:val="center"/>
              <w:rPr>
                <w:rFonts w:ascii="Arial" w:hAnsi="Arial" w:cs="Arial"/>
                <w:b/>
                <w:bCs/>
                <w:color w:val="000000"/>
                <w:sz w:val="20"/>
                <w:szCs w:val="20"/>
              </w:rPr>
            </w:pPr>
            <w:r w:rsidRPr="00B92499">
              <w:rPr>
                <w:rFonts w:ascii="Arial" w:hAnsi="Arial" w:cs="Arial"/>
                <w:b/>
                <w:bCs/>
                <w:color w:val="000000"/>
                <w:sz w:val="20"/>
                <w:szCs w:val="20"/>
              </w:rPr>
              <w:t xml:space="preserve">Artículo 124 de las </w:t>
            </w:r>
            <w:r w:rsidR="008710F6" w:rsidRPr="00B92499">
              <w:rPr>
                <w:rFonts w:ascii="Arial" w:hAnsi="Arial" w:cs="Arial"/>
                <w:b/>
                <w:bCs/>
                <w:color w:val="000000"/>
                <w:sz w:val="20"/>
                <w:szCs w:val="20"/>
              </w:rPr>
              <w:t>obligaciones de transparencia</w:t>
            </w:r>
            <w:r w:rsidRPr="00B92499">
              <w:rPr>
                <w:rFonts w:ascii="Arial" w:hAnsi="Arial" w:cs="Arial"/>
                <w:b/>
                <w:bCs/>
                <w:color w:val="000000"/>
                <w:sz w:val="20"/>
                <w:szCs w:val="20"/>
              </w:rPr>
              <w:t xml:space="preserve"> específicas</w:t>
            </w:r>
          </w:p>
        </w:tc>
      </w:tr>
      <w:tr w:rsidR="00A82DA1" w:rsidRPr="00B92499" w14:paraId="1B06A4EA" w14:textId="77777777" w:rsidTr="00EB5F64">
        <w:trPr>
          <w:trHeight w:val="20"/>
          <w:tblHeader/>
        </w:trPr>
        <w:tc>
          <w:tcPr>
            <w:tcW w:w="1781" w:type="dxa"/>
            <w:tcBorders>
              <w:top w:val="nil"/>
              <w:left w:val="single" w:sz="4" w:space="0" w:color="auto"/>
              <w:bottom w:val="single" w:sz="4" w:space="0" w:color="auto"/>
              <w:right w:val="single" w:sz="4" w:space="0" w:color="auto"/>
            </w:tcBorders>
            <w:shd w:val="clear" w:color="000000" w:fill="5B9BD5"/>
            <w:noWrap/>
            <w:vAlign w:val="center"/>
            <w:hideMark/>
          </w:tcPr>
          <w:p w14:paraId="1FD2F413" w14:textId="77777777" w:rsidR="00A82DA1" w:rsidRPr="00B92499" w:rsidRDefault="00A82DA1" w:rsidP="00A82DA1">
            <w:pPr>
              <w:jc w:val="center"/>
              <w:rPr>
                <w:rFonts w:ascii="Arial" w:hAnsi="Arial" w:cs="Arial"/>
                <w:b/>
                <w:bCs/>
                <w:color w:val="000000"/>
                <w:sz w:val="20"/>
                <w:szCs w:val="20"/>
              </w:rPr>
            </w:pPr>
            <w:r w:rsidRPr="00B92499">
              <w:rPr>
                <w:rFonts w:ascii="Arial" w:hAnsi="Arial" w:cs="Arial"/>
                <w:b/>
                <w:bCs/>
                <w:color w:val="000000"/>
                <w:sz w:val="20"/>
                <w:szCs w:val="20"/>
              </w:rPr>
              <w:t>Fracción</w:t>
            </w:r>
          </w:p>
        </w:tc>
        <w:tc>
          <w:tcPr>
            <w:tcW w:w="6436" w:type="dxa"/>
            <w:tcBorders>
              <w:top w:val="nil"/>
              <w:left w:val="nil"/>
              <w:bottom w:val="single" w:sz="4" w:space="0" w:color="auto"/>
              <w:right w:val="single" w:sz="4" w:space="0" w:color="auto"/>
            </w:tcBorders>
            <w:shd w:val="clear" w:color="000000" w:fill="5B9BD5"/>
            <w:noWrap/>
            <w:vAlign w:val="center"/>
            <w:hideMark/>
          </w:tcPr>
          <w:p w14:paraId="7AEA3ACA" w14:textId="77777777" w:rsidR="00A82DA1" w:rsidRPr="00B92499" w:rsidRDefault="00A82DA1" w:rsidP="00A82DA1">
            <w:pPr>
              <w:jc w:val="center"/>
              <w:rPr>
                <w:rFonts w:ascii="Arial" w:hAnsi="Arial" w:cs="Arial"/>
                <w:b/>
                <w:bCs/>
                <w:color w:val="000000"/>
                <w:sz w:val="20"/>
                <w:szCs w:val="20"/>
              </w:rPr>
            </w:pPr>
            <w:r w:rsidRPr="00B92499">
              <w:rPr>
                <w:rFonts w:ascii="Arial" w:hAnsi="Arial" w:cs="Arial"/>
                <w:b/>
                <w:bCs/>
                <w:color w:val="000000"/>
                <w:sz w:val="20"/>
                <w:szCs w:val="20"/>
              </w:rPr>
              <w:t>Resumen de la Fracción</w:t>
            </w:r>
          </w:p>
        </w:tc>
        <w:tc>
          <w:tcPr>
            <w:tcW w:w="992" w:type="dxa"/>
            <w:tcBorders>
              <w:top w:val="nil"/>
              <w:left w:val="nil"/>
              <w:bottom w:val="single" w:sz="4" w:space="0" w:color="auto"/>
              <w:right w:val="single" w:sz="4" w:space="0" w:color="auto"/>
            </w:tcBorders>
            <w:shd w:val="clear" w:color="000000" w:fill="5B9BD5"/>
            <w:vAlign w:val="center"/>
            <w:hideMark/>
          </w:tcPr>
          <w:p w14:paraId="06DE58F0" w14:textId="77777777" w:rsidR="00A82DA1" w:rsidRPr="00B92499" w:rsidRDefault="00A82DA1" w:rsidP="00A82DA1">
            <w:pPr>
              <w:jc w:val="center"/>
              <w:rPr>
                <w:rFonts w:ascii="Arial" w:hAnsi="Arial" w:cs="Arial"/>
                <w:b/>
                <w:bCs/>
                <w:color w:val="000000"/>
                <w:sz w:val="20"/>
                <w:szCs w:val="20"/>
              </w:rPr>
            </w:pPr>
            <w:r w:rsidRPr="00B92499">
              <w:rPr>
                <w:rFonts w:ascii="Arial" w:hAnsi="Arial" w:cs="Arial"/>
                <w:b/>
                <w:bCs/>
                <w:color w:val="000000"/>
                <w:sz w:val="20"/>
                <w:szCs w:val="20"/>
              </w:rPr>
              <w:t>ICP</w:t>
            </w:r>
          </w:p>
        </w:tc>
      </w:tr>
      <w:tr w:rsidR="00A82DA1" w:rsidRPr="00B92499" w14:paraId="3D4ABE8F" w14:textId="77777777" w:rsidTr="00EB5F64">
        <w:trPr>
          <w:trHeight w:val="20"/>
        </w:trPr>
        <w:tc>
          <w:tcPr>
            <w:tcW w:w="1781" w:type="dxa"/>
            <w:tcBorders>
              <w:top w:val="nil"/>
              <w:left w:val="single" w:sz="4" w:space="0" w:color="auto"/>
              <w:bottom w:val="single" w:sz="4" w:space="0" w:color="auto"/>
              <w:right w:val="single" w:sz="4" w:space="0" w:color="auto"/>
            </w:tcBorders>
            <w:shd w:val="clear" w:color="auto" w:fill="auto"/>
            <w:noWrap/>
            <w:vAlign w:val="center"/>
            <w:hideMark/>
          </w:tcPr>
          <w:p w14:paraId="68F1618C" w14:textId="77777777" w:rsidR="00A82DA1" w:rsidRPr="00B92499" w:rsidRDefault="00A82DA1" w:rsidP="00A82DA1">
            <w:pPr>
              <w:jc w:val="center"/>
              <w:rPr>
                <w:rFonts w:ascii="Arial" w:hAnsi="Arial" w:cs="Arial"/>
                <w:color w:val="000000"/>
                <w:sz w:val="20"/>
                <w:szCs w:val="20"/>
              </w:rPr>
            </w:pPr>
            <w:r w:rsidRPr="00B92499">
              <w:rPr>
                <w:rFonts w:ascii="Arial" w:hAnsi="Arial" w:cs="Arial"/>
                <w:color w:val="000000"/>
                <w:sz w:val="20"/>
                <w:szCs w:val="20"/>
              </w:rPr>
              <w:t>II</w:t>
            </w:r>
          </w:p>
        </w:tc>
        <w:tc>
          <w:tcPr>
            <w:tcW w:w="6436" w:type="dxa"/>
            <w:tcBorders>
              <w:top w:val="nil"/>
              <w:left w:val="nil"/>
              <w:bottom w:val="single" w:sz="4" w:space="0" w:color="auto"/>
              <w:right w:val="single" w:sz="4" w:space="0" w:color="auto"/>
            </w:tcBorders>
            <w:shd w:val="clear" w:color="auto" w:fill="auto"/>
            <w:vAlign w:val="center"/>
            <w:hideMark/>
          </w:tcPr>
          <w:p w14:paraId="0F382F13" w14:textId="109A7EBA" w:rsidR="00A82DA1" w:rsidRPr="00B92499" w:rsidRDefault="00A82DA1" w:rsidP="00B671B7">
            <w:pPr>
              <w:jc w:val="both"/>
              <w:rPr>
                <w:rFonts w:ascii="Arial" w:hAnsi="Arial" w:cs="Arial"/>
                <w:color w:val="000000"/>
                <w:sz w:val="20"/>
                <w:szCs w:val="20"/>
              </w:rPr>
            </w:pPr>
            <w:r w:rsidRPr="00B92499">
              <w:rPr>
                <w:rFonts w:ascii="Arial" w:hAnsi="Arial" w:cs="Arial"/>
                <w:color w:val="000000"/>
                <w:sz w:val="20"/>
                <w:szCs w:val="20"/>
              </w:rPr>
              <w:t>El calendario con las actividades culturales, deportivas y recreativas a realizar; así como el presupuesto y acciones para la rehabilitación y mantenimiento de su infraestructura</w:t>
            </w:r>
            <w:r w:rsidR="00490622" w:rsidRPr="00B92499">
              <w:rPr>
                <w:rFonts w:ascii="Arial" w:hAnsi="Arial" w:cs="Arial"/>
                <w:color w:val="000000"/>
                <w:sz w:val="20"/>
                <w:szCs w:val="20"/>
              </w:rPr>
              <w:t>.</w:t>
            </w:r>
          </w:p>
        </w:tc>
        <w:tc>
          <w:tcPr>
            <w:tcW w:w="992" w:type="dxa"/>
            <w:tcBorders>
              <w:top w:val="nil"/>
              <w:left w:val="nil"/>
              <w:bottom w:val="single" w:sz="4" w:space="0" w:color="auto"/>
              <w:right w:val="single" w:sz="4" w:space="0" w:color="auto"/>
            </w:tcBorders>
            <w:shd w:val="clear" w:color="auto" w:fill="auto"/>
            <w:noWrap/>
            <w:vAlign w:val="center"/>
            <w:hideMark/>
          </w:tcPr>
          <w:p w14:paraId="79729F00" w14:textId="77777777" w:rsidR="00A82DA1" w:rsidRPr="00B92499" w:rsidRDefault="00A82DA1" w:rsidP="00A82DA1">
            <w:pPr>
              <w:jc w:val="center"/>
              <w:rPr>
                <w:rFonts w:ascii="Arial" w:hAnsi="Arial" w:cs="Arial"/>
                <w:color w:val="000000"/>
                <w:sz w:val="20"/>
                <w:szCs w:val="20"/>
              </w:rPr>
            </w:pPr>
            <w:r w:rsidRPr="00B92499">
              <w:rPr>
                <w:rFonts w:ascii="Arial" w:hAnsi="Arial" w:cs="Arial"/>
                <w:color w:val="000000"/>
                <w:sz w:val="20"/>
                <w:szCs w:val="20"/>
              </w:rPr>
              <w:t>94.40</w:t>
            </w:r>
          </w:p>
        </w:tc>
      </w:tr>
      <w:tr w:rsidR="00A82DA1" w:rsidRPr="00B92499" w14:paraId="07BFBF7B" w14:textId="77777777" w:rsidTr="00EB5F64">
        <w:trPr>
          <w:trHeight w:val="20"/>
        </w:trPr>
        <w:tc>
          <w:tcPr>
            <w:tcW w:w="1781" w:type="dxa"/>
            <w:tcBorders>
              <w:top w:val="nil"/>
              <w:left w:val="single" w:sz="4" w:space="0" w:color="auto"/>
              <w:bottom w:val="single" w:sz="4" w:space="0" w:color="auto"/>
              <w:right w:val="single" w:sz="4" w:space="0" w:color="auto"/>
            </w:tcBorders>
            <w:shd w:val="clear" w:color="auto" w:fill="auto"/>
            <w:noWrap/>
            <w:vAlign w:val="center"/>
            <w:hideMark/>
          </w:tcPr>
          <w:p w14:paraId="777D3BA7" w14:textId="77777777" w:rsidR="00A82DA1" w:rsidRPr="00B92499" w:rsidRDefault="00A82DA1" w:rsidP="00A82DA1">
            <w:pPr>
              <w:jc w:val="center"/>
              <w:rPr>
                <w:rFonts w:ascii="Arial" w:hAnsi="Arial" w:cs="Arial"/>
                <w:color w:val="000000"/>
                <w:sz w:val="20"/>
                <w:szCs w:val="20"/>
              </w:rPr>
            </w:pPr>
            <w:r w:rsidRPr="00B92499">
              <w:rPr>
                <w:rFonts w:ascii="Arial" w:hAnsi="Arial" w:cs="Arial"/>
                <w:color w:val="000000"/>
                <w:sz w:val="20"/>
                <w:szCs w:val="20"/>
              </w:rPr>
              <w:t>V</w:t>
            </w:r>
          </w:p>
        </w:tc>
        <w:tc>
          <w:tcPr>
            <w:tcW w:w="6436" w:type="dxa"/>
            <w:tcBorders>
              <w:top w:val="nil"/>
              <w:left w:val="nil"/>
              <w:bottom w:val="single" w:sz="4" w:space="0" w:color="auto"/>
              <w:right w:val="single" w:sz="4" w:space="0" w:color="auto"/>
            </w:tcBorders>
            <w:shd w:val="clear" w:color="auto" w:fill="auto"/>
            <w:vAlign w:val="center"/>
            <w:hideMark/>
          </w:tcPr>
          <w:p w14:paraId="1A666F5B" w14:textId="11FC5860" w:rsidR="00A82DA1" w:rsidRPr="00B92499" w:rsidRDefault="00A82DA1" w:rsidP="00B671B7">
            <w:pPr>
              <w:jc w:val="both"/>
              <w:rPr>
                <w:rFonts w:ascii="Arial" w:hAnsi="Arial" w:cs="Arial"/>
                <w:color w:val="000000"/>
                <w:sz w:val="20"/>
                <w:szCs w:val="20"/>
              </w:rPr>
            </w:pPr>
            <w:r w:rsidRPr="00B92499">
              <w:rPr>
                <w:rFonts w:ascii="Arial" w:hAnsi="Arial" w:cs="Arial"/>
                <w:color w:val="000000"/>
                <w:sz w:val="20"/>
                <w:szCs w:val="20"/>
              </w:rPr>
              <w:t>En materia presupuestal, el desglose del origen y destino de los recursos asignados ya sea federal o local, y señalando en su caso, el desglose de la cantidad que se destinará a programas de fortalecimiento de los Órganos Políticos Administrativos, Alcaldías o Demarcaciones Territoriales</w:t>
            </w:r>
            <w:r w:rsidR="00490622" w:rsidRPr="00B92499">
              <w:rPr>
                <w:rFonts w:ascii="Arial" w:hAnsi="Arial" w:cs="Arial"/>
                <w:color w:val="000000"/>
                <w:sz w:val="20"/>
                <w:szCs w:val="20"/>
              </w:rPr>
              <w:t>.</w:t>
            </w:r>
          </w:p>
        </w:tc>
        <w:tc>
          <w:tcPr>
            <w:tcW w:w="992" w:type="dxa"/>
            <w:tcBorders>
              <w:top w:val="nil"/>
              <w:left w:val="nil"/>
              <w:bottom w:val="single" w:sz="4" w:space="0" w:color="auto"/>
              <w:right w:val="single" w:sz="4" w:space="0" w:color="auto"/>
            </w:tcBorders>
            <w:shd w:val="clear" w:color="auto" w:fill="auto"/>
            <w:noWrap/>
            <w:vAlign w:val="center"/>
            <w:hideMark/>
          </w:tcPr>
          <w:p w14:paraId="66CAA8EF" w14:textId="77777777" w:rsidR="00A82DA1" w:rsidRPr="00B92499" w:rsidRDefault="00A82DA1" w:rsidP="00A82DA1">
            <w:pPr>
              <w:jc w:val="center"/>
              <w:rPr>
                <w:rFonts w:ascii="Arial" w:hAnsi="Arial" w:cs="Arial"/>
                <w:color w:val="000000"/>
                <w:sz w:val="20"/>
                <w:szCs w:val="20"/>
              </w:rPr>
            </w:pPr>
            <w:r w:rsidRPr="00B92499">
              <w:rPr>
                <w:rFonts w:ascii="Arial" w:hAnsi="Arial" w:cs="Arial"/>
                <w:color w:val="000000"/>
                <w:sz w:val="20"/>
                <w:szCs w:val="20"/>
              </w:rPr>
              <w:t>93.49</w:t>
            </w:r>
          </w:p>
        </w:tc>
      </w:tr>
      <w:tr w:rsidR="00A82DA1" w:rsidRPr="00B92499" w14:paraId="1C676D96" w14:textId="77777777" w:rsidTr="00EB5F64">
        <w:trPr>
          <w:trHeight w:val="20"/>
        </w:trPr>
        <w:tc>
          <w:tcPr>
            <w:tcW w:w="1781" w:type="dxa"/>
            <w:tcBorders>
              <w:top w:val="nil"/>
              <w:left w:val="single" w:sz="4" w:space="0" w:color="auto"/>
              <w:bottom w:val="single" w:sz="4" w:space="0" w:color="auto"/>
              <w:right w:val="single" w:sz="4" w:space="0" w:color="auto"/>
            </w:tcBorders>
            <w:shd w:val="clear" w:color="auto" w:fill="auto"/>
            <w:noWrap/>
            <w:vAlign w:val="center"/>
            <w:hideMark/>
          </w:tcPr>
          <w:p w14:paraId="62217F50" w14:textId="77777777" w:rsidR="00A82DA1" w:rsidRPr="00B92499" w:rsidRDefault="00A82DA1" w:rsidP="00A82DA1">
            <w:pPr>
              <w:jc w:val="center"/>
              <w:rPr>
                <w:rFonts w:ascii="Arial" w:hAnsi="Arial" w:cs="Arial"/>
                <w:color w:val="000000"/>
                <w:sz w:val="20"/>
                <w:szCs w:val="20"/>
              </w:rPr>
            </w:pPr>
            <w:r w:rsidRPr="00B92499">
              <w:rPr>
                <w:rFonts w:ascii="Arial" w:hAnsi="Arial" w:cs="Arial"/>
                <w:color w:val="000000"/>
                <w:sz w:val="20"/>
                <w:szCs w:val="20"/>
              </w:rPr>
              <w:lastRenderedPageBreak/>
              <w:t>XII</w:t>
            </w:r>
          </w:p>
        </w:tc>
        <w:tc>
          <w:tcPr>
            <w:tcW w:w="6436" w:type="dxa"/>
            <w:tcBorders>
              <w:top w:val="nil"/>
              <w:left w:val="nil"/>
              <w:bottom w:val="single" w:sz="4" w:space="0" w:color="auto"/>
              <w:right w:val="single" w:sz="4" w:space="0" w:color="auto"/>
            </w:tcBorders>
            <w:shd w:val="clear" w:color="auto" w:fill="auto"/>
            <w:vAlign w:val="center"/>
            <w:hideMark/>
          </w:tcPr>
          <w:p w14:paraId="3A1E11A8" w14:textId="18D71433" w:rsidR="00A82DA1" w:rsidRPr="00B92499" w:rsidRDefault="00A82DA1" w:rsidP="00B671B7">
            <w:pPr>
              <w:jc w:val="both"/>
              <w:rPr>
                <w:rFonts w:ascii="Arial" w:hAnsi="Arial" w:cs="Arial"/>
                <w:color w:val="000000"/>
                <w:sz w:val="20"/>
                <w:szCs w:val="20"/>
              </w:rPr>
            </w:pPr>
            <w:r w:rsidRPr="00B92499">
              <w:rPr>
                <w:rFonts w:ascii="Arial" w:hAnsi="Arial" w:cs="Arial"/>
                <w:color w:val="000000"/>
                <w:sz w:val="20"/>
                <w:szCs w:val="20"/>
              </w:rPr>
              <w:t>La publicación de los montos asignados, desglose y avance trimestral del Presupuesto Participativo</w:t>
            </w:r>
            <w:r w:rsidR="00490622" w:rsidRPr="00B92499">
              <w:rPr>
                <w:rFonts w:ascii="Arial" w:hAnsi="Arial" w:cs="Arial"/>
                <w:color w:val="000000"/>
                <w:sz w:val="20"/>
                <w:szCs w:val="20"/>
              </w:rPr>
              <w:t>.</w:t>
            </w:r>
          </w:p>
        </w:tc>
        <w:tc>
          <w:tcPr>
            <w:tcW w:w="992" w:type="dxa"/>
            <w:tcBorders>
              <w:top w:val="nil"/>
              <w:left w:val="nil"/>
              <w:bottom w:val="single" w:sz="4" w:space="0" w:color="auto"/>
              <w:right w:val="single" w:sz="4" w:space="0" w:color="auto"/>
            </w:tcBorders>
            <w:shd w:val="clear" w:color="auto" w:fill="auto"/>
            <w:noWrap/>
            <w:vAlign w:val="center"/>
            <w:hideMark/>
          </w:tcPr>
          <w:p w14:paraId="2E981B98" w14:textId="77777777" w:rsidR="00A82DA1" w:rsidRPr="00B92499" w:rsidRDefault="00A82DA1" w:rsidP="00A82DA1">
            <w:pPr>
              <w:jc w:val="center"/>
              <w:rPr>
                <w:rFonts w:ascii="Arial" w:hAnsi="Arial" w:cs="Arial"/>
                <w:color w:val="000000"/>
                <w:sz w:val="20"/>
                <w:szCs w:val="20"/>
              </w:rPr>
            </w:pPr>
            <w:r w:rsidRPr="00B92499">
              <w:rPr>
                <w:rFonts w:ascii="Arial" w:hAnsi="Arial" w:cs="Arial"/>
                <w:color w:val="000000"/>
                <w:sz w:val="20"/>
                <w:szCs w:val="20"/>
              </w:rPr>
              <w:t>92.75</w:t>
            </w:r>
          </w:p>
        </w:tc>
      </w:tr>
      <w:tr w:rsidR="00A82DA1" w:rsidRPr="00B92499" w14:paraId="058110C5" w14:textId="77777777" w:rsidTr="00EB5F64">
        <w:trPr>
          <w:trHeight w:val="20"/>
        </w:trPr>
        <w:tc>
          <w:tcPr>
            <w:tcW w:w="1781" w:type="dxa"/>
            <w:tcBorders>
              <w:top w:val="nil"/>
              <w:left w:val="single" w:sz="4" w:space="0" w:color="auto"/>
              <w:bottom w:val="single" w:sz="4" w:space="0" w:color="auto"/>
              <w:right w:val="single" w:sz="4" w:space="0" w:color="auto"/>
            </w:tcBorders>
            <w:shd w:val="clear" w:color="auto" w:fill="auto"/>
            <w:noWrap/>
            <w:vAlign w:val="center"/>
            <w:hideMark/>
          </w:tcPr>
          <w:p w14:paraId="46E3E564" w14:textId="77777777" w:rsidR="00A82DA1" w:rsidRPr="00B92499" w:rsidRDefault="00A82DA1" w:rsidP="00A82DA1">
            <w:pPr>
              <w:jc w:val="center"/>
              <w:rPr>
                <w:rFonts w:ascii="Arial" w:hAnsi="Arial" w:cs="Arial"/>
                <w:color w:val="000000"/>
                <w:sz w:val="20"/>
                <w:szCs w:val="20"/>
              </w:rPr>
            </w:pPr>
            <w:r w:rsidRPr="00B92499">
              <w:rPr>
                <w:rFonts w:ascii="Arial" w:hAnsi="Arial" w:cs="Arial"/>
                <w:color w:val="000000"/>
                <w:sz w:val="20"/>
                <w:szCs w:val="20"/>
              </w:rPr>
              <w:t>XIX</w:t>
            </w:r>
          </w:p>
        </w:tc>
        <w:tc>
          <w:tcPr>
            <w:tcW w:w="6436" w:type="dxa"/>
            <w:tcBorders>
              <w:top w:val="nil"/>
              <w:left w:val="nil"/>
              <w:bottom w:val="single" w:sz="4" w:space="0" w:color="auto"/>
              <w:right w:val="single" w:sz="4" w:space="0" w:color="auto"/>
            </w:tcBorders>
            <w:shd w:val="clear" w:color="auto" w:fill="auto"/>
            <w:noWrap/>
            <w:vAlign w:val="center"/>
            <w:hideMark/>
          </w:tcPr>
          <w:p w14:paraId="2FE3F543" w14:textId="77777777" w:rsidR="00A82DA1" w:rsidRPr="00B92499" w:rsidRDefault="00A82DA1" w:rsidP="00B671B7">
            <w:pPr>
              <w:jc w:val="both"/>
              <w:rPr>
                <w:rFonts w:ascii="Arial" w:hAnsi="Arial" w:cs="Arial"/>
                <w:color w:val="000000"/>
                <w:sz w:val="20"/>
                <w:szCs w:val="20"/>
              </w:rPr>
            </w:pPr>
            <w:r w:rsidRPr="00B92499">
              <w:rPr>
                <w:rFonts w:ascii="Arial" w:hAnsi="Arial" w:cs="Arial"/>
                <w:color w:val="000000"/>
                <w:sz w:val="20"/>
                <w:szCs w:val="20"/>
              </w:rPr>
              <w:t>Las autorizaciones de los números oficiales y alineamientos</w:t>
            </w:r>
          </w:p>
        </w:tc>
        <w:tc>
          <w:tcPr>
            <w:tcW w:w="992" w:type="dxa"/>
            <w:tcBorders>
              <w:top w:val="nil"/>
              <w:left w:val="nil"/>
              <w:bottom w:val="single" w:sz="4" w:space="0" w:color="auto"/>
              <w:right w:val="single" w:sz="4" w:space="0" w:color="auto"/>
            </w:tcBorders>
            <w:shd w:val="clear" w:color="auto" w:fill="auto"/>
            <w:noWrap/>
            <w:vAlign w:val="center"/>
            <w:hideMark/>
          </w:tcPr>
          <w:p w14:paraId="5744CD33" w14:textId="77777777" w:rsidR="00A82DA1" w:rsidRPr="00B92499" w:rsidRDefault="00A82DA1" w:rsidP="00A82DA1">
            <w:pPr>
              <w:jc w:val="center"/>
              <w:rPr>
                <w:rFonts w:ascii="Arial" w:hAnsi="Arial" w:cs="Arial"/>
                <w:color w:val="000000"/>
                <w:sz w:val="20"/>
                <w:szCs w:val="20"/>
              </w:rPr>
            </w:pPr>
            <w:r w:rsidRPr="00B92499">
              <w:rPr>
                <w:rFonts w:ascii="Arial" w:hAnsi="Arial" w:cs="Arial"/>
                <w:color w:val="000000"/>
                <w:sz w:val="20"/>
                <w:szCs w:val="20"/>
              </w:rPr>
              <w:t>92.49</w:t>
            </w:r>
          </w:p>
        </w:tc>
      </w:tr>
      <w:tr w:rsidR="00A82DA1" w:rsidRPr="00B92499" w14:paraId="33E24688" w14:textId="77777777" w:rsidTr="00EB5F64">
        <w:trPr>
          <w:trHeight w:val="20"/>
        </w:trPr>
        <w:tc>
          <w:tcPr>
            <w:tcW w:w="1781" w:type="dxa"/>
            <w:tcBorders>
              <w:top w:val="nil"/>
              <w:left w:val="single" w:sz="4" w:space="0" w:color="auto"/>
              <w:bottom w:val="single" w:sz="4" w:space="0" w:color="auto"/>
              <w:right w:val="single" w:sz="4" w:space="0" w:color="auto"/>
            </w:tcBorders>
            <w:shd w:val="clear" w:color="auto" w:fill="auto"/>
            <w:noWrap/>
            <w:vAlign w:val="center"/>
            <w:hideMark/>
          </w:tcPr>
          <w:p w14:paraId="436D16FB" w14:textId="77777777" w:rsidR="00A82DA1" w:rsidRPr="00B92499" w:rsidRDefault="00A82DA1" w:rsidP="00A82DA1">
            <w:pPr>
              <w:jc w:val="center"/>
              <w:rPr>
                <w:rFonts w:ascii="Arial" w:hAnsi="Arial" w:cs="Arial"/>
                <w:color w:val="000000"/>
                <w:sz w:val="20"/>
                <w:szCs w:val="20"/>
              </w:rPr>
            </w:pPr>
            <w:r w:rsidRPr="00B92499">
              <w:rPr>
                <w:rFonts w:ascii="Arial" w:hAnsi="Arial" w:cs="Arial"/>
                <w:color w:val="000000"/>
                <w:sz w:val="20"/>
                <w:szCs w:val="20"/>
              </w:rPr>
              <w:t>XIII</w:t>
            </w:r>
          </w:p>
        </w:tc>
        <w:tc>
          <w:tcPr>
            <w:tcW w:w="6436" w:type="dxa"/>
            <w:tcBorders>
              <w:top w:val="nil"/>
              <w:left w:val="nil"/>
              <w:bottom w:val="single" w:sz="4" w:space="0" w:color="auto"/>
              <w:right w:val="single" w:sz="4" w:space="0" w:color="auto"/>
            </w:tcBorders>
            <w:shd w:val="clear" w:color="auto" w:fill="auto"/>
            <w:vAlign w:val="center"/>
            <w:hideMark/>
          </w:tcPr>
          <w:p w14:paraId="4B17649D" w14:textId="77777777" w:rsidR="00A82DA1" w:rsidRPr="00B92499" w:rsidRDefault="00A82DA1" w:rsidP="00B671B7">
            <w:pPr>
              <w:jc w:val="both"/>
              <w:rPr>
                <w:rFonts w:ascii="Arial" w:hAnsi="Arial" w:cs="Arial"/>
                <w:color w:val="000000"/>
                <w:sz w:val="20"/>
                <w:szCs w:val="20"/>
              </w:rPr>
            </w:pPr>
            <w:r w:rsidRPr="00B92499">
              <w:rPr>
                <w:rFonts w:ascii="Arial" w:hAnsi="Arial" w:cs="Arial"/>
                <w:color w:val="000000"/>
                <w:sz w:val="20"/>
                <w:szCs w:val="20"/>
              </w:rPr>
              <w:t>Calendario con horarios, número de unidad y teléfonos de servicio de recolección de basura</w:t>
            </w:r>
          </w:p>
        </w:tc>
        <w:tc>
          <w:tcPr>
            <w:tcW w:w="992" w:type="dxa"/>
            <w:tcBorders>
              <w:top w:val="nil"/>
              <w:left w:val="nil"/>
              <w:bottom w:val="single" w:sz="4" w:space="0" w:color="auto"/>
              <w:right w:val="single" w:sz="4" w:space="0" w:color="auto"/>
            </w:tcBorders>
            <w:shd w:val="clear" w:color="auto" w:fill="auto"/>
            <w:noWrap/>
            <w:vAlign w:val="center"/>
            <w:hideMark/>
          </w:tcPr>
          <w:p w14:paraId="5B7BB52C" w14:textId="77777777" w:rsidR="00A82DA1" w:rsidRPr="00B92499" w:rsidRDefault="00A82DA1" w:rsidP="00A82DA1">
            <w:pPr>
              <w:jc w:val="center"/>
              <w:rPr>
                <w:rFonts w:ascii="Arial" w:hAnsi="Arial" w:cs="Arial"/>
                <w:color w:val="000000"/>
                <w:sz w:val="20"/>
                <w:szCs w:val="20"/>
              </w:rPr>
            </w:pPr>
            <w:r w:rsidRPr="00B92499">
              <w:rPr>
                <w:rFonts w:ascii="Arial" w:hAnsi="Arial" w:cs="Arial"/>
                <w:color w:val="000000"/>
                <w:sz w:val="20"/>
                <w:szCs w:val="20"/>
              </w:rPr>
              <w:t>91.80</w:t>
            </w:r>
          </w:p>
        </w:tc>
      </w:tr>
      <w:tr w:rsidR="00A82DA1" w:rsidRPr="00B92499" w14:paraId="598FF401" w14:textId="77777777" w:rsidTr="00EB5F64">
        <w:trPr>
          <w:trHeight w:val="20"/>
        </w:trPr>
        <w:tc>
          <w:tcPr>
            <w:tcW w:w="1781" w:type="dxa"/>
            <w:tcBorders>
              <w:top w:val="nil"/>
              <w:left w:val="single" w:sz="4" w:space="0" w:color="auto"/>
              <w:bottom w:val="single" w:sz="4" w:space="0" w:color="auto"/>
              <w:right w:val="single" w:sz="4" w:space="0" w:color="auto"/>
            </w:tcBorders>
            <w:shd w:val="clear" w:color="auto" w:fill="auto"/>
            <w:noWrap/>
            <w:vAlign w:val="center"/>
            <w:hideMark/>
          </w:tcPr>
          <w:p w14:paraId="0AB89851" w14:textId="77777777" w:rsidR="00A82DA1" w:rsidRPr="00B92499" w:rsidRDefault="00A82DA1" w:rsidP="00A82DA1">
            <w:pPr>
              <w:jc w:val="center"/>
              <w:rPr>
                <w:rFonts w:ascii="Arial" w:hAnsi="Arial" w:cs="Arial"/>
                <w:color w:val="000000"/>
                <w:sz w:val="20"/>
                <w:szCs w:val="20"/>
              </w:rPr>
            </w:pPr>
            <w:r w:rsidRPr="00B92499">
              <w:rPr>
                <w:rFonts w:ascii="Arial" w:hAnsi="Arial" w:cs="Arial"/>
                <w:color w:val="000000"/>
                <w:sz w:val="20"/>
                <w:szCs w:val="20"/>
              </w:rPr>
              <w:t>III</w:t>
            </w:r>
          </w:p>
        </w:tc>
        <w:tc>
          <w:tcPr>
            <w:tcW w:w="6436" w:type="dxa"/>
            <w:tcBorders>
              <w:top w:val="nil"/>
              <w:left w:val="nil"/>
              <w:bottom w:val="single" w:sz="4" w:space="0" w:color="auto"/>
              <w:right w:val="single" w:sz="4" w:space="0" w:color="auto"/>
            </w:tcBorders>
            <w:shd w:val="clear" w:color="auto" w:fill="auto"/>
            <w:vAlign w:val="center"/>
            <w:hideMark/>
          </w:tcPr>
          <w:p w14:paraId="66B804C9" w14:textId="77777777" w:rsidR="00A82DA1" w:rsidRPr="00B92499" w:rsidRDefault="00A82DA1" w:rsidP="00B671B7">
            <w:pPr>
              <w:jc w:val="both"/>
              <w:rPr>
                <w:rFonts w:ascii="Arial" w:hAnsi="Arial" w:cs="Arial"/>
                <w:color w:val="000000"/>
                <w:sz w:val="20"/>
                <w:szCs w:val="20"/>
              </w:rPr>
            </w:pPr>
            <w:r w:rsidRPr="00B92499">
              <w:rPr>
                <w:rFonts w:ascii="Arial" w:hAnsi="Arial" w:cs="Arial"/>
                <w:color w:val="000000"/>
                <w:sz w:val="20"/>
                <w:szCs w:val="20"/>
              </w:rPr>
              <w:t>Relación de los integrantes de los comités y subcomités establecidos por la normatividad vigente, actas de las sesiones y sus acuerdos</w:t>
            </w:r>
          </w:p>
        </w:tc>
        <w:tc>
          <w:tcPr>
            <w:tcW w:w="992" w:type="dxa"/>
            <w:tcBorders>
              <w:top w:val="nil"/>
              <w:left w:val="nil"/>
              <w:bottom w:val="single" w:sz="4" w:space="0" w:color="auto"/>
              <w:right w:val="single" w:sz="4" w:space="0" w:color="auto"/>
            </w:tcBorders>
            <w:shd w:val="clear" w:color="auto" w:fill="auto"/>
            <w:noWrap/>
            <w:vAlign w:val="center"/>
            <w:hideMark/>
          </w:tcPr>
          <w:p w14:paraId="3C9C770D" w14:textId="77777777" w:rsidR="00A82DA1" w:rsidRPr="00B92499" w:rsidRDefault="00A82DA1" w:rsidP="00A82DA1">
            <w:pPr>
              <w:jc w:val="center"/>
              <w:rPr>
                <w:rFonts w:ascii="Arial" w:hAnsi="Arial" w:cs="Arial"/>
                <w:color w:val="000000"/>
                <w:sz w:val="20"/>
                <w:szCs w:val="20"/>
              </w:rPr>
            </w:pPr>
            <w:r w:rsidRPr="00B92499">
              <w:rPr>
                <w:rFonts w:ascii="Arial" w:hAnsi="Arial" w:cs="Arial"/>
                <w:color w:val="000000"/>
                <w:sz w:val="20"/>
                <w:szCs w:val="20"/>
              </w:rPr>
              <w:t>91.45</w:t>
            </w:r>
          </w:p>
        </w:tc>
      </w:tr>
      <w:tr w:rsidR="00A82DA1" w:rsidRPr="00B92499" w14:paraId="29F9EEF3" w14:textId="77777777" w:rsidTr="00EB5F64">
        <w:trPr>
          <w:trHeight w:val="20"/>
        </w:trPr>
        <w:tc>
          <w:tcPr>
            <w:tcW w:w="1781" w:type="dxa"/>
            <w:tcBorders>
              <w:top w:val="nil"/>
              <w:left w:val="single" w:sz="4" w:space="0" w:color="auto"/>
              <w:bottom w:val="single" w:sz="4" w:space="0" w:color="auto"/>
              <w:right w:val="single" w:sz="4" w:space="0" w:color="auto"/>
            </w:tcBorders>
            <w:shd w:val="clear" w:color="auto" w:fill="auto"/>
            <w:noWrap/>
            <w:vAlign w:val="center"/>
            <w:hideMark/>
          </w:tcPr>
          <w:p w14:paraId="0290B2BE" w14:textId="77777777" w:rsidR="00A82DA1" w:rsidRPr="00B92499" w:rsidRDefault="00A82DA1" w:rsidP="00A82DA1">
            <w:pPr>
              <w:jc w:val="center"/>
              <w:rPr>
                <w:rFonts w:ascii="Arial" w:hAnsi="Arial" w:cs="Arial"/>
                <w:color w:val="000000"/>
                <w:sz w:val="20"/>
                <w:szCs w:val="20"/>
              </w:rPr>
            </w:pPr>
            <w:r w:rsidRPr="00B92499">
              <w:rPr>
                <w:rFonts w:ascii="Arial" w:hAnsi="Arial" w:cs="Arial"/>
                <w:color w:val="000000"/>
                <w:sz w:val="20"/>
                <w:szCs w:val="20"/>
              </w:rPr>
              <w:t>VIII</w:t>
            </w:r>
          </w:p>
        </w:tc>
        <w:tc>
          <w:tcPr>
            <w:tcW w:w="6436" w:type="dxa"/>
            <w:tcBorders>
              <w:top w:val="nil"/>
              <w:left w:val="nil"/>
              <w:bottom w:val="single" w:sz="4" w:space="0" w:color="auto"/>
              <w:right w:val="single" w:sz="4" w:space="0" w:color="auto"/>
            </w:tcBorders>
            <w:shd w:val="clear" w:color="auto" w:fill="auto"/>
            <w:vAlign w:val="center"/>
            <w:hideMark/>
          </w:tcPr>
          <w:p w14:paraId="0425D77A" w14:textId="77777777" w:rsidR="00A82DA1" w:rsidRPr="00B92499" w:rsidRDefault="00A82DA1" w:rsidP="005A7A81">
            <w:pPr>
              <w:jc w:val="both"/>
              <w:rPr>
                <w:rFonts w:ascii="Arial" w:hAnsi="Arial" w:cs="Arial"/>
                <w:color w:val="000000"/>
                <w:sz w:val="20"/>
                <w:szCs w:val="20"/>
              </w:rPr>
            </w:pPr>
            <w:r w:rsidRPr="00B92499">
              <w:rPr>
                <w:rFonts w:ascii="Arial" w:hAnsi="Arial" w:cs="Arial"/>
                <w:color w:val="000000"/>
                <w:sz w:val="20"/>
                <w:szCs w:val="20"/>
              </w:rPr>
              <w:t>La información desagregada sobre el presupuesto que destinar</w:t>
            </w:r>
            <w:r w:rsidR="005A7A81" w:rsidRPr="00B92499">
              <w:rPr>
                <w:rFonts w:ascii="Arial" w:hAnsi="Arial" w:cs="Arial"/>
                <w:color w:val="000000"/>
                <w:sz w:val="20"/>
                <w:szCs w:val="20"/>
              </w:rPr>
              <w:t>á</w:t>
            </w:r>
            <w:r w:rsidRPr="00B92499">
              <w:rPr>
                <w:rFonts w:ascii="Arial" w:hAnsi="Arial" w:cs="Arial"/>
                <w:color w:val="000000"/>
                <w:sz w:val="20"/>
                <w:szCs w:val="20"/>
              </w:rPr>
              <w:t>n al rubro de mercados, así como el padrón de locatarios, nombre y ubicación de los mercados públicos en su demarcación territorial</w:t>
            </w:r>
          </w:p>
        </w:tc>
        <w:tc>
          <w:tcPr>
            <w:tcW w:w="992" w:type="dxa"/>
            <w:tcBorders>
              <w:top w:val="nil"/>
              <w:left w:val="nil"/>
              <w:bottom w:val="single" w:sz="4" w:space="0" w:color="auto"/>
              <w:right w:val="single" w:sz="4" w:space="0" w:color="auto"/>
            </w:tcBorders>
            <w:shd w:val="clear" w:color="auto" w:fill="auto"/>
            <w:noWrap/>
            <w:vAlign w:val="center"/>
            <w:hideMark/>
          </w:tcPr>
          <w:p w14:paraId="3AC81C7E" w14:textId="77777777" w:rsidR="00A82DA1" w:rsidRPr="00B92499" w:rsidRDefault="00A82DA1" w:rsidP="00A82DA1">
            <w:pPr>
              <w:jc w:val="center"/>
              <w:rPr>
                <w:rFonts w:ascii="Arial" w:hAnsi="Arial" w:cs="Arial"/>
                <w:color w:val="000000"/>
                <w:sz w:val="20"/>
                <w:szCs w:val="20"/>
              </w:rPr>
            </w:pPr>
            <w:r w:rsidRPr="00B92499">
              <w:rPr>
                <w:rFonts w:ascii="Arial" w:hAnsi="Arial" w:cs="Arial"/>
                <w:color w:val="000000"/>
                <w:sz w:val="20"/>
                <w:szCs w:val="20"/>
              </w:rPr>
              <w:t>90.53</w:t>
            </w:r>
          </w:p>
        </w:tc>
      </w:tr>
      <w:tr w:rsidR="00A82DA1" w:rsidRPr="00B92499" w14:paraId="232F29E9" w14:textId="77777777" w:rsidTr="00EB5F64">
        <w:trPr>
          <w:trHeight w:val="20"/>
        </w:trPr>
        <w:tc>
          <w:tcPr>
            <w:tcW w:w="1781" w:type="dxa"/>
            <w:tcBorders>
              <w:top w:val="nil"/>
              <w:left w:val="single" w:sz="4" w:space="0" w:color="auto"/>
              <w:bottom w:val="single" w:sz="4" w:space="0" w:color="auto"/>
              <w:right w:val="single" w:sz="4" w:space="0" w:color="auto"/>
            </w:tcBorders>
            <w:shd w:val="clear" w:color="auto" w:fill="auto"/>
            <w:noWrap/>
            <w:vAlign w:val="center"/>
            <w:hideMark/>
          </w:tcPr>
          <w:p w14:paraId="74509B05" w14:textId="77777777" w:rsidR="00A82DA1" w:rsidRPr="00B92499" w:rsidRDefault="00A82DA1" w:rsidP="00A82DA1">
            <w:pPr>
              <w:jc w:val="center"/>
              <w:rPr>
                <w:rFonts w:ascii="Arial" w:hAnsi="Arial" w:cs="Arial"/>
                <w:color w:val="000000"/>
                <w:sz w:val="20"/>
                <w:szCs w:val="20"/>
              </w:rPr>
            </w:pPr>
            <w:r w:rsidRPr="00B92499">
              <w:rPr>
                <w:rFonts w:ascii="Arial" w:hAnsi="Arial" w:cs="Arial"/>
                <w:color w:val="000000"/>
                <w:sz w:val="20"/>
                <w:szCs w:val="20"/>
              </w:rPr>
              <w:t>XVIII</w:t>
            </w:r>
          </w:p>
        </w:tc>
        <w:tc>
          <w:tcPr>
            <w:tcW w:w="6436" w:type="dxa"/>
            <w:tcBorders>
              <w:top w:val="nil"/>
              <w:left w:val="nil"/>
              <w:bottom w:val="single" w:sz="4" w:space="0" w:color="auto"/>
              <w:right w:val="single" w:sz="4" w:space="0" w:color="auto"/>
            </w:tcBorders>
            <w:shd w:val="clear" w:color="auto" w:fill="auto"/>
            <w:noWrap/>
            <w:vAlign w:val="center"/>
            <w:hideMark/>
          </w:tcPr>
          <w:p w14:paraId="5357F83D" w14:textId="0E2E9A48" w:rsidR="00A82DA1" w:rsidRPr="00B92499" w:rsidRDefault="00A82DA1" w:rsidP="00B671B7">
            <w:pPr>
              <w:jc w:val="both"/>
              <w:rPr>
                <w:rFonts w:ascii="Arial" w:hAnsi="Arial" w:cs="Arial"/>
                <w:color w:val="000000"/>
                <w:sz w:val="20"/>
                <w:szCs w:val="20"/>
              </w:rPr>
            </w:pPr>
            <w:r w:rsidRPr="00B92499">
              <w:rPr>
                <w:rFonts w:ascii="Arial" w:hAnsi="Arial" w:cs="Arial"/>
                <w:color w:val="000000"/>
                <w:sz w:val="20"/>
                <w:szCs w:val="20"/>
              </w:rPr>
              <w:t>Los avisos de obra dentro de su jurisdicción</w:t>
            </w:r>
            <w:r w:rsidR="00490622" w:rsidRPr="00B92499">
              <w:rPr>
                <w:rFonts w:ascii="Arial" w:hAnsi="Arial" w:cs="Arial"/>
                <w:color w:val="000000"/>
                <w:sz w:val="20"/>
                <w:szCs w:val="20"/>
              </w:rPr>
              <w:t>.</w:t>
            </w:r>
          </w:p>
        </w:tc>
        <w:tc>
          <w:tcPr>
            <w:tcW w:w="992" w:type="dxa"/>
            <w:tcBorders>
              <w:top w:val="nil"/>
              <w:left w:val="nil"/>
              <w:bottom w:val="single" w:sz="4" w:space="0" w:color="auto"/>
              <w:right w:val="single" w:sz="4" w:space="0" w:color="auto"/>
            </w:tcBorders>
            <w:shd w:val="clear" w:color="auto" w:fill="auto"/>
            <w:noWrap/>
            <w:vAlign w:val="center"/>
            <w:hideMark/>
          </w:tcPr>
          <w:p w14:paraId="70DB2BE0" w14:textId="77777777" w:rsidR="00A82DA1" w:rsidRPr="00B92499" w:rsidRDefault="00A82DA1" w:rsidP="00A82DA1">
            <w:pPr>
              <w:jc w:val="center"/>
              <w:rPr>
                <w:rFonts w:ascii="Arial" w:hAnsi="Arial" w:cs="Arial"/>
                <w:color w:val="000000"/>
                <w:sz w:val="20"/>
                <w:szCs w:val="20"/>
              </w:rPr>
            </w:pPr>
            <w:r w:rsidRPr="00B92499">
              <w:rPr>
                <w:rFonts w:ascii="Arial" w:hAnsi="Arial" w:cs="Arial"/>
                <w:color w:val="000000"/>
                <w:sz w:val="20"/>
                <w:szCs w:val="20"/>
              </w:rPr>
              <w:t>89.80</w:t>
            </w:r>
          </w:p>
        </w:tc>
      </w:tr>
      <w:tr w:rsidR="00A82DA1" w:rsidRPr="00B92499" w14:paraId="4B944417" w14:textId="77777777" w:rsidTr="00EB5F64">
        <w:trPr>
          <w:trHeight w:val="20"/>
        </w:trPr>
        <w:tc>
          <w:tcPr>
            <w:tcW w:w="1781" w:type="dxa"/>
            <w:tcBorders>
              <w:top w:val="nil"/>
              <w:left w:val="single" w:sz="4" w:space="0" w:color="auto"/>
              <w:bottom w:val="single" w:sz="4" w:space="0" w:color="auto"/>
              <w:right w:val="single" w:sz="4" w:space="0" w:color="auto"/>
            </w:tcBorders>
            <w:shd w:val="clear" w:color="auto" w:fill="auto"/>
            <w:noWrap/>
            <w:vAlign w:val="center"/>
            <w:hideMark/>
          </w:tcPr>
          <w:p w14:paraId="63679B18" w14:textId="77777777" w:rsidR="00A82DA1" w:rsidRPr="00B92499" w:rsidRDefault="00A82DA1" w:rsidP="00A82DA1">
            <w:pPr>
              <w:jc w:val="center"/>
              <w:rPr>
                <w:rFonts w:ascii="Arial" w:hAnsi="Arial" w:cs="Arial"/>
                <w:color w:val="000000"/>
                <w:sz w:val="20"/>
                <w:szCs w:val="20"/>
              </w:rPr>
            </w:pPr>
            <w:r w:rsidRPr="00B92499">
              <w:rPr>
                <w:rFonts w:ascii="Arial" w:hAnsi="Arial" w:cs="Arial"/>
                <w:color w:val="000000"/>
                <w:sz w:val="20"/>
                <w:szCs w:val="20"/>
              </w:rPr>
              <w:t>IV</w:t>
            </w:r>
          </w:p>
        </w:tc>
        <w:tc>
          <w:tcPr>
            <w:tcW w:w="6436" w:type="dxa"/>
            <w:tcBorders>
              <w:top w:val="nil"/>
              <w:left w:val="nil"/>
              <w:bottom w:val="single" w:sz="4" w:space="0" w:color="auto"/>
              <w:right w:val="single" w:sz="4" w:space="0" w:color="auto"/>
            </w:tcBorders>
            <w:shd w:val="clear" w:color="auto" w:fill="auto"/>
            <w:vAlign w:val="center"/>
            <w:hideMark/>
          </w:tcPr>
          <w:p w14:paraId="18B5E48D" w14:textId="2CE18703" w:rsidR="00A82DA1" w:rsidRPr="00B92499" w:rsidRDefault="00A82DA1" w:rsidP="00B671B7">
            <w:pPr>
              <w:jc w:val="both"/>
              <w:rPr>
                <w:rFonts w:ascii="Arial" w:hAnsi="Arial" w:cs="Arial"/>
                <w:color w:val="000000"/>
                <w:sz w:val="20"/>
                <w:szCs w:val="20"/>
              </w:rPr>
            </w:pPr>
            <w:r w:rsidRPr="00B92499">
              <w:rPr>
                <w:rFonts w:ascii="Arial" w:hAnsi="Arial" w:cs="Arial"/>
                <w:color w:val="000000"/>
                <w:sz w:val="20"/>
                <w:szCs w:val="20"/>
              </w:rPr>
              <w:t>Sobre el ejercicio del presupuesto deberá publicarse el calendario trimestral sobre la ejecución de las aportaciones federales y locales, pudiendo identificar el programa para el cual se destinaron y, en su caso, el monto del gasto asignado</w:t>
            </w:r>
            <w:r w:rsidR="00490622" w:rsidRPr="00B92499">
              <w:rPr>
                <w:rFonts w:ascii="Arial" w:hAnsi="Arial" w:cs="Arial"/>
                <w:color w:val="000000"/>
                <w:sz w:val="20"/>
                <w:szCs w:val="20"/>
              </w:rPr>
              <w:t>.</w:t>
            </w:r>
          </w:p>
        </w:tc>
        <w:tc>
          <w:tcPr>
            <w:tcW w:w="992" w:type="dxa"/>
            <w:tcBorders>
              <w:top w:val="nil"/>
              <w:left w:val="nil"/>
              <w:bottom w:val="single" w:sz="4" w:space="0" w:color="auto"/>
              <w:right w:val="single" w:sz="4" w:space="0" w:color="auto"/>
            </w:tcBorders>
            <w:shd w:val="clear" w:color="auto" w:fill="auto"/>
            <w:noWrap/>
            <w:vAlign w:val="center"/>
            <w:hideMark/>
          </w:tcPr>
          <w:p w14:paraId="150DC03B" w14:textId="77777777" w:rsidR="00A82DA1" w:rsidRPr="00B92499" w:rsidRDefault="00A82DA1" w:rsidP="00A82DA1">
            <w:pPr>
              <w:jc w:val="center"/>
              <w:rPr>
                <w:rFonts w:ascii="Arial" w:hAnsi="Arial" w:cs="Arial"/>
                <w:color w:val="000000"/>
                <w:sz w:val="20"/>
                <w:szCs w:val="20"/>
              </w:rPr>
            </w:pPr>
            <w:r w:rsidRPr="00B92499">
              <w:rPr>
                <w:rFonts w:ascii="Arial" w:hAnsi="Arial" w:cs="Arial"/>
                <w:color w:val="000000"/>
                <w:sz w:val="20"/>
                <w:szCs w:val="20"/>
              </w:rPr>
              <w:t>89.30</w:t>
            </w:r>
          </w:p>
        </w:tc>
      </w:tr>
      <w:tr w:rsidR="00A82DA1" w:rsidRPr="00B92499" w14:paraId="4CFCA757" w14:textId="77777777" w:rsidTr="00EB5F64">
        <w:trPr>
          <w:trHeight w:val="20"/>
        </w:trPr>
        <w:tc>
          <w:tcPr>
            <w:tcW w:w="1781" w:type="dxa"/>
            <w:tcBorders>
              <w:top w:val="nil"/>
              <w:left w:val="single" w:sz="4" w:space="0" w:color="auto"/>
              <w:bottom w:val="single" w:sz="4" w:space="0" w:color="auto"/>
              <w:right w:val="single" w:sz="4" w:space="0" w:color="auto"/>
            </w:tcBorders>
            <w:shd w:val="clear" w:color="auto" w:fill="auto"/>
            <w:noWrap/>
            <w:vAlign w:val="center"/>
            <w:hideMark/>
          </w:tcPr>
          <w:p w14:paraId="12050A17" w14:textId="77777777" w:rsidR="00A82DA1" w:rsidRPr="00B92499" w:rsidRDefault="00A82DA1" w:rsidP="00A82DA1">
            <w:pPr>
              <w:jc w:val="center"/>
              <w:rPr>
                <w:rFonts w:ascii="Arial" w:hAnsi="Arial" w:cs="Arial"/>
                <w:color w:val="000000"/>
                <w:sz w:val="20"/>
                <w:szCs w:val="20"/>
              </w:rPr>
            </w:pPr>
            <w:r w:rsidRPr="00B92499">
              <w:rPr>
                <w:rFonts w:ascii="Arial" w:hAnsi="Arial" w:cs="Arial"/>
                <w:color w:val="000000"/>
                <w:sz w:val="20"/>
                <w:szCs w:val="20"/>
              </w:rPr>
              <w:t>X</w:t>
            </w:r>
          </w:p>
        </w:tc>
        <w:tc>
          <w:tcPr>
            <w:tcW w:w="6436" w:type="dxa"/>
            <w:tcBorders>
              <w:top w:val="nil"/>
              <w:left w:val="nil"/>
              <w:bottom w:val="single" w:sz="4" w:space="0" w:color="auto"/>
              <w:right w:val="single" w:sz="4" w:space="0" w:color="auto"/>
            </w:tcBorders>
            <w:shd w:val="clear" w:color="auto" w:fill="auto"/>
            <w:vAlign w:val="center"/>
            <w:hideMark/>
          </w:tcPr>
          <w:p w14:paraId="6660BEC3" w14:textId="4642890F" w:rsidR="00A82DA1" w:rsidRPr="00B92499" w:rsidRDefault="00A82DA1" w:rsidP="00B671B7">
            <w:pPr>
              <w:jc w:val="both"/>
              <w:rPr>
                <w:rFonts w:ascii="Arial" w:hAnsi="Arial" w:cs="Arial"/>
                <w:color w:val="000000"/>
                <w:sz w:val="20"/>
                <w:szCs w:val="20"/>
              </w:rPr>
            </w:pPr>
            <w:r w:rsidRPr="00B92499">
              <w:rPr>
                <w:rFonts w:ascii="Arial" w:hAnsi="Arial" w:cs="Arial"/>
                <w:color w:val="000000"/>
                <w:sz w:val="20"/>
                <w:szCs w:val="20"/>
              </w:rPr>
              <w:t>Publicar domicilio, número telefónico y nombre del responsable del Centro de Servicios y Atención Ciudadana o su equivalent</w:t>
            </w:r>
            <w:r w:rsidR="00490622" w:rsidRPr="00B92499">
              <w:rPr>
                <w:rFonts w:ascii="Arial" w:hAnsi="Arial" w:cs="Arial"/>
                <w:color w:val="000000"/>
                <w:sz w:val="20"/>
                <w:szCs w:val="20"/>
              </w:rPr>
              <w:t>e.</w:t>
            </w:r>
          </w:p>
        </w:tc>
        <w:tc>
          <w:tcPr>
            <w:tcW w:w="992" w:type="dxa"/>
            <w:tcBorders>
              <w:top w:val="nil"/>
              <w:left w:val="nil"/>
              <w:bottom w:val="single" w:sz="4" w:space="0" w:color="auto"/>
              <w:right w:val="single" w:sz="4" w:space="0" w:color="auto"/>
            </w:tcBorders>
            <w:shd w:val="clear" w:color="auto" w:fill="auto"/>
            <w:noWrap/>
            <w:vAlign w:val="center"/>
            <w:hideMark/>
          </w:tcPr>
          <w:p w14:paraId="288337B3" w14:textId="77777777" w:rsidR="00A82DA1" w:rsidRPr="00B92499" w:rsidRDefault="00A82DA1" w:rsidP="00A82DA1">
            <w:pPr>
              <w:jc w:val="center"/>
              <w:rPr>
                <w:rFonts w:ascii="Arial" w:hAnsi="Arial" w:cs="Arial"/>
                <w:color w:val="000000"/>
                <w:sz w:val="20"/>
                <w:szCs w:val="20"/>
              </w:rPr>
            </w:pPr>
            <w:r w:rsidRPr="00B92499">
              <w:rPr>
                <w:rFonts w:ascii="Arial" w:hAnsi="Arial" w:cs="Arial"/>
                <w:color w:val="000000"/>
                <w:sz w:val="20"/>
                <w:szCs w:val="20"/>
              </w:rPr>
              <w:t>89.06</w:t>
            </w:r>
          </w:p>
        </w:tc>
      </w:tr>
      <w:tr w:rsidR="00A82DA1" w:rsidRPr="00B92499" w14:paraId="2E7DC95C" w14:textId="77777777" w:rsidTr="00EB5F64">
        <w:trPr>
          <w:trHeight w:val="20"/>
        </w:trPr>
        <w:tc>
          <w:tcPr>
            <w:tcW w:w="1781" w:type="dxa"/>
            <w:tcBorders>
              <w:top w:val="nil"/>
              <w:left w:val="single" w:sz="4" w:space="0" w:color="auto"/>
              <w:bottom w:val="single" w:sz="4" w:space="0" w:color="auto"/>
              <w:right w:val="single" w:sz="4" w:space="0" w:color="auto"/>
            </w:tcBorders>
            <w:shd w:val="clear" w:color="auto" w:fill="auto"/>
            <w:noWrap/>
            <w:vAlign w:val="center"/>
            <w:hideMark/>
          </w:tcPr>
          <w:p w14:paraId="13ACA23B" w14:textId="77777777" w:rsidR="00A82DA1" w:rsidRPr="00B92499" w:rsidRDefault="00A82DA1" w:rsidP="00A82DA1">
            <w:pPr>
              <w:jc w:val="center"/>
              <w:rPr>
                <w:rFonts w:ascii="Arial" w:hAnsi="Arial" w:cs="Arial"/>
                <w:color w:val="000000"/>
                <w:sz w:val="20"/>
                <w:szCs w:val="20"/>
              </w:rPr>
            </w:pPr>
            <w:r w:rsidRPr="00B92499">
              <w:rPr>
                <w:rFonts w:ascii="Arial" w:hAnsi="Arial" w:cs="Arial"/>
                <w:color w:val="000000"/>
                <w:sz w:val="20"/>
                <w:szCs w:val="20"/>
              </w:rPr>
              <w:t>XX</w:t>
            </w:r>
          </w:p>
        </w:tc>
        <w:tc>
          <w:tcPr>
            <w:tcW w:w="6436" w:type="dxa"/>
            <w:tcBorders>
              <w:top w:val="nil"/>
              <w:left w:val="nil"/>
              <w:bottom w:val="single" w:sz="4" w:space="0" w:color="auto"/>
              <w:right w:val="single" w:sz="4" w:space="0" w:color="auto"/>
            </w:tcBorders>
            <w:shd w:val="clear" w:color="auto" w:fill="auto"/>
            <w:noWrap/>
            <w:vAlign w:val="center"/>
            <w:hideMark/>
          </w:tcPr>
          <w:p w14:paraId="60D85AF1" w14:textId="0190D6A6" w:rsidR="00A82DA1" w:rsidRPr="00B92499" w:rsidRDefault="00A82DA1" w:rsidP="00B671B7">
            <w:pPr>
              <w:jc w:val="both"/>
              <w:rPr>
                <w:rFonts w:ascii="Arial" w:hAnsi="Arial" w:cs="Arial"/>
                <w:color w:val="000000"/>
                <w:sz w:val="20"/>
                <w:szCs w:val="20"/>
              </w:rPr>
            </w:pPr>
            <w:r w:rsidRPr="00B92499">
              <w:rPr>
                <w:rFonts w:ascii="Arial" w:hAnsi="Arial" w:cs="Arial"/>
                <w:color w:val="000000"/>
                <w:sz w:val="20"/>
                <w:szCs w:val="20"/>
              </w:rPr>
              <w:t>Los permisos para el uso de la vía pública</w:t>
            </w:r>
            <w:r w:rsidR="00490622" w:rsidRPr="00B92499">
              <w:rPr>
                <w:rFonts w:ascii="Arial" w:hAnsi="Arial" w:cs="Arial"/>
                <w:color w:val="000000"/>
                <w:sz w:val="20"/>
                <w:szCs w:val="20"/>
              </w:rPr>
              <w:t>.</w:t>
            </w:r>
          </w:p>
        </w:tc>
        <w:tc>
          <w:tcPr>
            <w:tcW w:w="992" w:type="dxa"/>
            <w:tcBorders>
              <w:top w:val="nil"/>
              <w:left w:val="nil"/>
              <w:bottom w:val="single" w:sz="4" w:space="0" w:color="auto"/>
              <w:right w:val="single" w:sz="4" w:space="0" w:color="auto"/>
            </w:tcBorders>
            <w:shd w:val="clear" w:color="auto" w:fill="auto"/>
            <w:noWrap/>
            <w:vAlign w:val="center"/>
            <w:hideMark/>
          </w:tcPr>
          <w:p w14:paraId="6725C184" w14:textId="77777777" w:rsidR="00A82DA1" w:rsidRPr="00B92499" w:rsidRDefault="00A82DA1" w:rsidP="00A82DA1">
            <w:pPr>
              <w:jc w:val="center"/>
              <w:rPr>
                <w:rFonts w:ascii="Arial" w:hAnsi="Arial" w:cs="Arial"/>
                <w:color w:val="000000"/>
                <w:sz w:val="20"/>
                <w:szCs w:val="20"/>
              </w:rPr>
            </w:pPr>
            <w:r w:rsidRPr="00B92499">
              <w:rPr>
                <w:rFonts w:ascii="Arial" w:hAnsi="Arial" w:cs="Arial"/>
                <w:color w:val="000000"/>
                <w:sz w:val="20"/>
                <w:szCs w:val="20"/>
              </w:rPr>
              <w:t>88.75</w:t>
            </w:r>
          </w:p>
        </w:tc>
      </w:tr>
      <w:tr w:rsidR="00A82DA1" w:rsidRPr="00B92499" w14:paraId="1A375E76" w14:textId="77777777" w:rsidTr="00EB5F64">
        <w:trPr>
          <w:trHeight w:val="20"/>
        </w:trPr>
        <w:tc>
          <w:tcPr>
            <w:tcW w:w="1781" w:type="dxa"/>
            <w:tcBorders>
              <w:top w:val="nil"/>
              <w:left w:val="single" w:sz="4" w:space="0" w:color="auto"/>
              <w:bottom w:val="single" w:sz="4" w:space="0" w:color="auto"/>
              <w:right w:val="single" w:sz="4" w:space="0" w:color="auto"/>
            </w:tcBorders>
            <w:shd w:val="clear" w:color="auto" w:fill="auto"/>
            <w:noWrap/>
            <w:vAlign w:val="center"/>
            <w:hideMark/>
          </w:tcPr>
          <w:p w14:paraId="2AA2912F" w14:textId="77777777" w:rsidR="00A82DA1" w:rsidRPr="00B92499" w:rsidRDefault="00A82DA1" w:rsidP="00A82DA1">
            <w:pPr>
              <w:jc w:val="center"/>
              <w:rPr>
                <w:rFonts w:ascii="Arial" w:hAnsi="Arial" w:cs="Arial"/>
                <w:color w:val="000000"/>
                <w:sz w:val="20"/>
                <w:szCs w:val="20"/>
              </w:rPr>
            </w:pPr>
            <w:r w:rsidRPr="00B92499">
              <w:rPr>
                <w:rFonts w:ascii="Arial" w:hAnsi="Arial" w:cs="Arial"/>
                <w:color w:val="000000"/>
                <w:sz w:val="20"/>
                <w:szCs w:val="20"/>
              </w:rPr>
              <w:t>I</w:t>
            </w:r>
          </w:p>
        </w:tc>
        <w:tc>
          <w:tcPr>
            <w:tcW w:w="6436" w:type="dxa"/>
            <w:tcBorders>
              <w:top w:val="nil"/>
              <w:left w:val="nil"/>
              <w:bottom w:val="single" w:sz="4" w:space="0" w:color="auto"/>
              <w:right w:val="single" w:sz="4" w:space="0" w:color="auto"/>
            </w:tcBorders>
            <w:shd w:val="clear" w:color="auto" w:fill="auto"/>
            <w:noWrap/>
            <w:vAlign w:val="center"/>
            <w:hideMark/>
          </w:tcPr>
          <w:p w14:paraId="39A88BD8" w14:textId="2C875BBF" w:rsidR="00A82DA1" w:rsidRPr="00B92499" w:rsidRDefault="00A82DA1" w:rsidP="00B671B7">
            <w:pPr>
              <w:jc w:val="both"/>
              <w:rPr>
                <w:rFonts w:ascii="Arial" w:hAnsi="Arial" w:cs="Arial"/>
                <w:color w:val="000000"/>
                <w:sz w:val="20"/>
                <w:szCs w:val="20"/>
              </w:rPr>
            </w:pPr>
            <w:r w:rsidRPr="00B92499">
              <w:rPr>
                <w:rFonts w:ascii="Arial" w:hAnsi="Arial" w:cs="Arial"/>
                <w:color w:val="000000"/>
                <w:sz w:val="20"/>
                <w:szCs w:val="20"/>
              </w:rPr>
              <w:t>Los indicadores oficiales de los servicios públicos que presten</w:t>
            </w:r>
            <w:r w:rsidR="00490622" w:rsidRPr="00B92499">
              <w:rPr>
                <w:rFonts w:ascii="Arial" w:hAnsi="Arial" w:cs="Arial"/>
                <w:color w:val="000000"/>
                <w:sz w:val="20"/>
                <w:szCs w:val="20"/>
              </w:rPr>
              <w:t>.</w:t>
            </w:r>
          </w:p>
        </w:tc>
        <w:tc>
          <w:tcPr>
            <w:tcW w:w="992" w:type="dxa"/>
            <w:tcBorders>
              <w:top w:val="nil"/>
              <w:left w:val="nil"/>
              <w:bottom w:val="single" w:sz="4" w:space="0" w:color="auto"/>
              <w:right w:val="single" w:sz="4" w:space="0" w:color="auto"/>
            </w:tcBorders>
            <w:shd w:val="clear" w:color="auto" w:fill="auto"/>
            <w:noWrap/>
            <w:vAlign w:val="center"/>
            <w:hideMark/>
          </w:tcPr>
          <w:p w14:paraId="1209BA28" w14:textId="77777777" w:rsidR="00A82DA1" w:rsidRPr="00B92499" w:rsidRDefault="00A82DA1" w:rsidP="00A82DA1">
            <w:pPr>
              <w:jc w:val="center"/>
              <w:rPr>
                <w:rFonts w:ascii="Arial" w:hAnsi="Arial" w:cs="Arial"/>
                <w:color w:val="000000"/>
                <w:sz w:val="20"/>
                <w:szCs w:val="20"/>
              </w:rPr>
            </w:pPr>
            <w:r w:rsidRPr="00B92499">
              <w:rPr>
                <w:rFonts w:ascii="Arial" w:hAnsi="Arial" w:cs="Arial"/>
                <w:color w:val="000000"/>
                <w:sz w:val="20"/>
                <w:szCs w:val="20"/>
              </w:rPr>
              <w:t>87.02</w:t>
            </w:r>
          </w:p>
        </w:tc>
      </w:tr>
      <w:tr w:rsidR="00A82DA1" w:rsidRPr="00B92499" w14:paraId="18D89B97" w14:textId="77777777" w:rsidTr="00EB5F64">
        <w:trPr>
          <w:trHeight w:val="20"/>
        </w:trPr>
        <w:tc>
          <w:tcPr>
            <w:tcW w:w="1781" w:type="dxa"/>
            <w:tcBorders>
              <w:top w:val="nil"/>
              <w:left w:val="single" w:sz="4" w:space="0" w:color="auto"/>
              <w:bottom w:val="single" w:sz="4" w:space="0" w:color="auto"/>
              <w:right w:val="single" w:sz="4" w:space="0" w:color="auto"/>
            </w:tcBorders>
            <w:shd w:val="clear" w:color="auto" w:fill="auto"/>
            <w:noWrap/>
            <w:vAlign w:val="center"/>
            <w:hideMark/>
          </w:tcPr>
          <w:p w14:paraId="592F84BF" w14:textId="77777777" w:rsidR="00A82DA1" w:rsidRPr="00B92499" w:rsidRDefault="00A82DA1" w:rsidP="00A82DA1">
            <w:pPr>
              <w:jc w:val="center"/>
              <w:rPr>
                <w:rFonts w:ascii="Arial" w:hAnsi="Arial" w:cs="Arial"/>
                <w:color w:val="000000"/>
                <w:sz w:val="20"/>
                <w:szCs w:val="20"/>
              </w:rPr>
            </w:pPr>
            <w:r w:rsidRPr="00B92499">
              <w:rPr>
                <w:rFonts w:ascii="Arial" w:hAnsi="Arial" w:cs="Arial"/>
                <w:color w:val="000000"/>
                <w:sz w:val="20"/>
                <w:szCs w:val="20"/>
              </w:rPr>
              <w:t>XIV</w:t>
            </w:r>
          </w:p>
        </w:tc>
        <w:tc>
          <w:tcPr>
            <w:tcW w:w="6436" w:type="dxa"/>
            <w:tcBorders>
              <w:top w:val="nil"/>
              <w:left w:val="nil"/>
              <w:bottom w:val="single" w:sz="4" w:space="0" w:color="auto"/>
              <w:right w:val="single" w:sz="4" w:space="0" w:color="auto"/>
            </w:tcBorders>
            <w:shd w:val="clear" w:color="auto" w:fill="auto"/>
            <w:vAlign w:val="center"/>
            <w:hideMark/>
          </w:tcPr>
          <w:p w14:paraId="0F046FDA" w14:textId="5FD78621" w:rsidR="00A82DA1" w:rsidRPr="00B92499" w:rsidRDefault="00A82DA1" w:rsidP="00B671B7">
            <w:pPr>
              <w:jc w:val="both"/>
              <w:rPr>
                <w:rFonts w:ascii="Arial" w:hAnsi="Arial" w:cs="Arial"/>
                <w:color w:val="000000"/>
                <w:sz w:val="20"/>
                <w:szCs w:val="20"/>
              </w:rPr>
            </w:pPr>
            <w:r w:rsidRPr="00B92499">
              <w:rPr>
                <w:rFonts w:ascii="Arial" w:hAnsi="Arial" w:cs="Arial"/>
                <w:color w:val="000000"/>
                <w:sz w:val="20"/>
                <w:szCs w:val="20"/>
              </w:rPr>
              <w:t>Los Planes y Programas de Desarrollo Urbano y las certificaciones actualizadas de uso del suelo que se hayan expedido, procurando su georreferenciación o imagen</w:t>
            </w:r>
            <w:r w:rsidR="00490622" w:rsidRPr="00B92499">
              <w:rPr>
                <w:rFonts w:ascii="Arial" w:hAnsi="Arial" w:cs="Arial"/>
                <w:color w:val="000000"/>
                <w:sz w:val="20"/>
                <w:szCs w:val="20"/>
              </w:rPr>
              <w:t>.</w:t>
            </w:r>
          </w:p>
        </w:tc>
        <w:tc>
          <w:tcPr>
            <w:tcW w:w="992" w:type="dxa"/>
            <w:tcBorders>
              <w:top w:val="nil"/>
              <w:left w:val="nil"/>
              <w:bottom w:val="single" w:sz="4" w:space="0" w:color="auto"/>
              <w:right w:val="single" w:sz="4" w:space="0" w:color="auto"/>
            </w:tcBorders>
            <w:shd w:val="clear" w:color="auto" w:fill="auto"/>
            <w:noWrap/>
            <w:vAlign w:val="center"/>
            <w:hideMark/>
          </w:tcPr>
          <w:p w14:paraId="3843B737" w14:textId="77777777" w:rsidR="00A82DA1" w:rsidRPr="00B92499" w:rsidRDefault="00A82DA1" w:rsidP="00A82DA1">
            <w:pPr>
              <w:jc w:val="center"/>
              <w:rPr>
                <w:rFonts w:ascii="Arial" w:hAnsi="Arial" w:cs="Arial"/>
                <w:color w:val="000000"/>
                <w:sz w:val="20"/>
                <w:szCs w:val="20"/>
              </w:rPr>
            </w:pPr>
            <w:r w:rsidRPr="00B92499">
              <w:rPr>
                <w:rFonts w:ascii="Arial" w:hAnsi="Arial" w:cs="Arial"/>
                <w:color w:val="000000"/>
                <w:sz w:val="20"/>
                <w:szCs w:val="20"/>
              </w:rPr>
              <w:t>86.76</w:t>
            </w:r>
          </w:p>
        </w:tc>
      </w:tr>
      <w:tr w:rsidR="00A82DA1" w:rsidRPr="00B92499" w14:paraId="06F91852" w14:textId="77777777" w:rsidTr="00EB5F64">
        <w:trPr>
          <w:trHeight w:val="20"/>
        </w:trPr>
        <w:tc>
          <w:tcPr>
            <w:tcW w:w="1781" w:type="dxa"/>
            <w:tcBorders>
              <w:top w:val="nil"/>
              <w:left w:val="single" w:sz="4" w:space="0" w:color="auto"/>
              <w:bottom w:val="single" w:sz="4" w:space="0" w:color="auto"/>
              <w:right w:val="single" w:sz="4" w:space="0" w:color="auto"/>
            </w:tcBorders>
            <w:shd w:val="clear" w:color="auto" w:fill="auto"/>
            <w:noWrap/>
            <w:vAlign w:val="center"/>
            <w:hideMark/>
          </w:tcPr>
          <w:p w14:paraId="48D5A4D4" w14:textId="77777777" w:rsidR="00A82DA1" w:rsidRPr="00B92499" w:rsidRDefault="00A82DA1" w:rsidP="00A82DA1">
            <w:pPr>
              <w:jc w:val="center"/>
              <w:rPr>
                <w:rFonts w:ascii="Arial" w:hAnsi="Arial" w:cs="Arial"/>
                <w:color w:val="000000"/>
                <w:sz w:val="20"/>
                <w:szCs w:val="20"/>
              </w:rPr>
            </w:pPr>
            <w:r w:rsidRPr="00B92499">
              <w:rPr>
                <w:rFonts w:ascii="Arial" w:hAnsi="Arial" w:cs="Arial"/>
                <w:color w:val="000000"/>
                <w:sz w:val="20"/>
                <w:szCs w:val="20"/>
              </w:rPr>
              <w:t>XVII</w:t>
            </w:r>
          </w:p>
        </w:tc>
        <w:tc>
          <w:tcPr>
            <w:tcW w:w="6436" w:type="dxa"/>
            <w:tcBorders>
              <w:top w:val="nil"/>
              <w:left w:val="nil"/>
              <w:bottom w:val="single" w:sz="4" w:space="0" w:color="auto"/>
              <w:right w:val="single" w:sz="4" w:space="0" w:color="auto"/>
            </w:tcBorders>
            <w:shd w:val="clear" w:color="auto" w:fill="auto"/>
            <w:vAlign w:val="center"/>
            <w:hideMark/>
          </w:tcPr>
          <w:p w14:paraId="472142F7" w14:textId="6A4179DD" w:rsidR="00A82DA1" w:rsidRPr="00B92499" w:rsidRDefault="00A82DA1" w:rsidP="00B671B7">
            <w:pPr>
              <w:jc w:val="both"/>
              <w:rPr>
                <w:rFonts w:ascii="Arial" w:hAnsi="Arial" w:cs="Arial"/>
                <w:color w:val="000000"/>
                <w:sz w:val="20"/>
                <w:szCs w:val="20"/>
              </w:rPr>
            </w:pPr>
            <w:r w:rsidRPr="00B92499">
              <w:rPr>
                <w:rFonts w:ascii="Arial" w:hAnsi="Arial" w:cs="Arial"/>
                <w:color w:val="000000"/>
                <w:sz w:val="20"/>
                <w:szCs w:val="20"/>
              </w:rPr>
              <w:t>Los proyectos productivos que</w:t>
            </w:r>
            <w:r w:rsidR="00C7683E" w:rsidRPr="00B92499">
              <w:rPr>
                <w:rFonts w:ascii="Arial" w:hAnsi="Arial" w:cs="Arial"/>
                <w:color w:val="000000"/>
                <w:sz w:val="20"/>
                <w:szCs w:val="20"/>
              </w:rPr>
              <w:t>,</w:t>
            </w:r>
            <w:r w:rsidRPr="00B92499">
              <w:rPr>
                <w:rFonts w:ascii="Arial" w:hAnsi="Arial" w:cs="Arial"/>
                <w:color w:val="000000"/>
                <w:sz w:val="20"/>
                <w:szCs w:val="20"/>
              </w:rPr>
              <w:t xml:space="preserve"> en el ámbito de su jurisdicción, protejan e incentiven el empleo</w:t>
            </w:r>
            <w:r w:rsidR="00490622" w:rsidRPr="00B92499">
              <w:rPr>
                <w:rFonts w:ascii="Arial" w:hAnsi="Arial" w:cs="Arial"/>
                <w:color w:val="000000"/>
                <w:sz w:val="20"/>
                <w:szCs w:val="20"/>
              </w:rPr>
              <w:t>.</w:t>
            </w:r>
          </w:p>
        </w:tc>
        <w:tc>
          <w:tcPr>
            <w:tcW w:w="992" w:type="dxa"/>
            <w:tcBorders>
              <w:top w:val="nil"/>
              <w:left w:val="nil"/>
              <w:bottom w:val="single" w:sz="4" w:space="0" w:color="auto"/>
              <w:right w:val="single" w:sz="4" w:space="0" w:color="auto"/>
            </w:tcBorders>
            <w:shd w:val="clear" w:color="auto" w:fill="auto"/>
            <w:noWrap/>
            <w:vAlign w:val="center"/>
            <w:hideMark/>
          </w:tcPr>
          <w:p w14:paraId="6212D16C" w14:textId="77777777" w:rsidR="00A82DA1" w:rsidRPr="00B92499" w:rsidRDefault="00A82DA1" w:rsidP="00A82DA1">
            <w:pPr>
              <w:jc w:val="center"/>
              <w:rPr>
                <w:rFonts w:ascii="Arial" w:hAnsi="Arial" w:cs="Arial"/>
                <w:color w:val="000000"/>
                <w:sz w:val="20"/>
                <w:szCs w:val="20"/>
              </w:rPr>
            </w:pPr>
            <w:r w:rsidRPr="00B92499">
              <w:rPr>
                <w:rFonts w:ascii="Arial" w:hAnsi="Arial" w:cs="Arial"/>
                <w:color w:val="000000"/>
                <w:sz w:val="20"/>
                <w:szCs w:val="20"/>
              </w:rPr>
              <w:t>85.24</w:t>
            </w:r>
          </w:p>
        </w:tc>
      </w:tr>
      <w:tr w:rsidR="00A82DA1" w:rsidRPr="00B92499" w14:paraId="659750EA" w14:textId="77777777" w:rsidTr="00EB5F64">
        <w:trPr>
          <w:trHeight w:val="20"/>
        </w:trPr>
        <w:tc>
          <w:tcPr>
            <w:tcW w:w="1781" w:type="dxa"/>
            <w:tcBorders>
              <w:top w:val="nil"/>
              <w:left w:val="single" w:sz="4" w:space="0" w:color="auto"/>
              <w:bottom w:val="single" w:sz="4" w:space="0" w:color="auto"/>
              <w:right w:val="single" w:sz="4" w:space="0" w:color="auto"/>
            </w:tcBorders>
            <w:shd w:val="clear" w:color="auto" w:fill="auto"/>
            <w:noWrap/>
            <w:vAlign w:val="center"/>
            <w:hideMark/>
          </w:tcPr>
          <w:p w14:paraId="1D26AD7A" w14:textId="77777777" w:rsidR="00A82DA1" w:rsidRPr="00B92499" w:rsidRDefault="00A82DA1" w:rsidP="00A82DA1">
            <w:pPr>
              <w:jc w:val="center"/>
              <w:rPr>
                <w:rFonts w:ascii="Arial" w:hAnsi="Arial" w:cs="Arial"/>
                <w:color w:val="000000"/>
                <w:sz w:val="20"/>
                <w:szCs w:val="20"/>
              </w:rPr>
            </w:pPr>
            <w:r w:rsidRPr="00B92499">
              <w:rPr>
                <w:rFonts w:ascii="Arial" w:hAnsi="Arial" w:cs="Arial"/>
                <w:color w:val="000000"/>
                <w:sz w:val="20"/>
                <w:szCs w:val="20"/>
              </w:rPr>
              <w:t>IX</w:t>
            </w:r>
          </w:p>
        </w:tc>
        <w:tc>
          <w:tcPr>
            <w:tcW w:w="6436" w:type="dxa"/>
            <w:tcBorders>
              <w:top w:val="nil"/>
              <w:left w:val="nil"/>
              <w:bottom w:val="single" w:sz="4" w:space="0" w:color="auto"/>
              <w:right w:val="single" w:sz="4" w:space="0" w:color="auto"/>
            </w:tcBorders>
            <w:shd w:val="clear" w:color="auto" w:fill="auto"/>
            <w:vAlign w:val="center"/>
            <w:hideMark/>
          </w:tcPr>
          <w:p w14:paraId="6FD9D0D2" w14:textId="6CECFB95" w:rsidR="00A82DA1" w:rsidRPr="00B92499" w:rsidRDefault="00A82DA1" w:rsidP="00B671B7">
            <w:pPr>
              <w:jc w:val="both"/>
              <w:rPr>
                <w:rFonts w:ascii="Arial" w:hAnsi="Arial" w:cs="Arial"/>
                <w:color w:val="000000"/>
                <w:sz w:val="20"/>
                <w:szCs w:val="20"/>
              </w:rPr>
            </w:pPr>
            <w:r w:rsidRPr="00B92499">
              <w:rPr>
                <w:rFonts w:ascii="Arial" w:hAnsi="Arial" w:cs="Arial"/>
                <w:color w:val="000000"/>
                <w:sz w:val="20"/>
                <w:szCs w:val="20"/>
              </w:rPr>
              <w:t>La Autoridad de las Demarcaciones Territoriales deberá publicar y difundir a través de medios impresos o electrónicos</w:t>
            </w:r>
            <w:r w:rsidR="00B12E30" w:rsidRPr="00B92499">
              <w:rPr>
                <w:rFonts w:ascii="Arial" w:hAnsi="Arial" w:cs="Arial"/>
                <w:color w:val="000000"/>
                <w:sz w:val="20"/>
                <w:szCs w:val="20"/>
              </w:rPr>
              <w:t>,</w:t>
            </w:r>
            <w:r w:rsidRPr="00B92499">
              <w:rPr>
                <w:rFonts w:ascii="Arial" w:hAnsi="Arial" w:cs="Arial"/>
                <w:color w:val="000000"/>
                <w:sz w:val="20"/>
                <w:szCs w:val="20"/>
              </w:rPr>
              <w:t xml:space="preserve"> información vigente y actualizada del gasto realizado por concepto de pago de asesorías</w:t>
            </w:r>
            <w:r w:rsidR="00490622" w:rsidRPr="00B92499">
              <w:rPr>
                <w:rFonts w:ascii="Arial" w:hAnsi="Arial" w:cs="Arial"/>
                <w:color w:val="000000"/>
                <w:sz w:val="20"/>
                <w:szCs w:val="20"/>
              </w:rPr>
              <w:t>.</w:t>
            </w:r>
          </w:p>
        </w:tc>
        <w:tc>
          <w:tcPr>
            <w:tcW w:w="992" w:type="dxa"/>
            <w:tcBorders>
              <w:top w:val="nil"/>
              <w:left w:val="nil"/>
              <w:bottom w:val="single" w:sz="4" w:space="0" w:color="auto"/>
              <w:right w:val="single" w:sz="4" w:space="0" w:color="auto"/>
            </w:tcBorders>
            <w:shd w:val="clear" w:color="auto" w:fill="auto"/>
            <w:noWrap/>
            <w:vAlign w:val="center"/>
            <w:hideMark/>
          </w:tcPr>
          <w:p w14:paraId="122D0EA3" w14:textId="77777777" w:rsidR="00A82DA1" w:rsidRPr="00B92499" w:rsidRDefault="00A82DA1" w:rsidP="00A82DA1">
            <w:pPr>
              <w:jc w:val="center"/>
              <w:rPr>
                <w:rFonts w:ascii="Arial" w:hAnsi="Arial" w:cs="Arial"/>
                <w:color w:val="000000"/>
                <w:sz w:val="20"/>
                <w:szCs w:val="20"/>
              </w:rPr>
            </w:pPr>
            <w:r w:rsidRPr="00B92499">
              <w:rPr>
                <w:rFonts w:ascii="Arial" w:hAnsi="Arial" w:cs="Arial"/>
                <w:color w:val="000000"/>
                <w:sz w:val="20"/>
                <w:szCs w:val="20"/>
              </w:rPr>
              <w:t>84.57</w:t>
            </w:r>
          </w:p>
        </w:tc>
      </w:tr>
      <w:tr w:rsidR="00A82DA1" w:rsidRPr="00B92499" w14:paraId="3E527F39" w14:textId="77777777" w:rsidTr="00EB5F64">
        <w:trPr>
          <w:trHeight w:val="20"/>
        </w:trPr>
        <w:tc>
          <w:tcPr>
            <w:tcW w:w="1781" w:type="dxa"/>
            <w:tcBorders>
              <w:top w:val="nil"/>
              <w:left w:val="single" w:sz="4" w:space="0" w:color="auto"/>
              <w:bottom w:val="single" w:sz="4" w:space="0" w:color="auto"/>
              <w:right w:val="single" w:sz="4" w:space="0" w:color="auto"/>
            </w:tcBorders>
            <w:shd w:val="clear" w:color="auto" w:fill="auto"/>
            <w:noWrap/>
            <w:vAlign w:val="center"/>
            <w:hideMark/>
          </w:tcPr>
          <w:p w14:paraId="790808B5" w14:textId="77777777" w:rsidR="00A82DA1" w:rsidRPr="00B92499" w:rsidRDefault="00A82DA1" w:rsidP="00A82DA1">
            <w:pPr>
              <w:jc w:val="center"/>
              <w:rPr>
                <w:rFonts w:ascii="Arial" w:hAnsi="Arial" w:cs="Arial"/>
                <w:color w:val="000000"/>
                <w:sz w:val="20"/>
                <w:szCs w:val="20"/>
              </w:rPr>
            </w:pPr>
            <w:r w:rsidRPr="00B92499">
              <w:rPr>
                <w:rFonts w:ascii="Arial" w:hAnsi="Arial" w:cs="Arial"/>
                <w:color w:val="000000"/>
                <w:sz w:val="20"/>
                <w:szCs w:val="20"/>
              </w:rPr>
              <w:t>VI</w:t>
            </w:r>
          </w:p>
        </w:tc>
        <w:tc>
          <w:tcPr>
            <w:tcW w:w="6436" w:type="dxa"/>
            <w:tcBorders>
              <w:top w:val="nil"/>
              <w:left w:val="nil"/>
              <w:bottom w:val="single" w:sz="4" w:space="0" w:color="auto"/>
              <w:right w:val="single" w:sz="4" w:space="0" w:color="auto"/>
            </w:tcBorders>
            <w:shd w:val="clear" w:color="auto" w:fill="auto"/>
            <w:vAlign w:val="center"/>
            <w:hideMark/>
          </w:tcPr>
          <w:p w14:paraId="4442F094" w14:textId="5A7C7D56" w:rsidR="00A82DA1" w:rsidRPr="00B92499" w:rsidRDefault="00A82DA1" w:rsidP="00B671B7">
            <w:pPr>
              <w:jc w:val="both"/>
              <w:rPr>
                <w:rFonts w:ascii="Arial" w:hAnsi="Arial" w:cs="Arial"/>
                <w:color w:val="000000"/>
                <w:sz w:val="20"/>
                <w:szCs w:val="20"/>
              </w:rPr>
            </w:pPr>
            <w:r w:rsidRPr="00B92499">
              <w:rPr>
                <w:rFonts w:ascii="Arial" w:hAnsi="Arial" w:cs="Arial"/>
                <w:color w:val="000000"/>
                <w:sz w:val="20"/>
                <w:szCs w:val="20"/>
              </w:rPr>
              <w:t>En el caso de la información sobre programas de ayudas o subsidios, se deberá considerar toda aquella información sobre los programas sociales, sus montos y padrón de beneficiarios</w:t>
            </w:r>
            <w:r w:rsidR="00490622" w:rsidRPr="00B92499">
              <w:rPr>
                <w:rFonts w:ascii="Arial" w:hAnsi="Arial" w:cs="Arial"/>
                <w:color w:val="000000"/>
                <w:sz w:val="20"/>
                <w:szCs w:val="20"/>
              </w:rPr>
              <w:t>.</w:t>
            </w:r>
          </w:p>
        </w:tc>
        <w:tc>
          <w:tcPr>
            <w:tcW w:w="992" w:type="dxa"/>
            <w:tcBorders>
              <w:top w:val="nil"/>
              <w:left w:val="nil"/>
              <w:bottom w:val="single" w:sz="4" w:space="0" w:color="auto"/>
              <w:right w:val="single" w:sz="4" w:space="0" w:color="auto"/>
            </w:tcBorders>
            <w:shd w:val="clear" w:color="auto" w:fill="auto"/>
            <w:noWrap/>
            <w:vAlign w:val="center"/>
            <w:hideMark/>
          </w:tcPr>
          <w:p w14:paraId="57143C19" w14:textId="77777777" w:rsidR="00A82DA1" w:rsidRPr="00B92499" w:rsidRDefault="00A82DA1" w:rsidP="00A82DA1">
            <w:pPr>
              <w:jc w:val="center"/>
              <w:rPr>
                <w:rFonts w:ascii="Arial" w:hAnsi="Arial" w:cs="Arial"/>
                <w:color w:val="000000"/>
                <w:sz w:val="20"/>
                <w:szCs w:val="20"/>
              </w:rPr>
            </w:pPr>
            <w:r w:rsidRPr="00B92499">
              <w:rPr>
                <w:rFonts w:ascii="Arial" w:hAnsi="Arial" w:cs="Arial"/>
                <w:color w:val="000000"/>
                <w:sz w:val="20"/>
                <w:szCs w:val="20"/>
              </w:rPr>
              <w:t>82.85</w:t>
            </w:r>
          </w:p>
        </w:tc>
      </w:tr>
      <w:tr w:rsidR="00A82DA1" w:rsidRPr="00B92499" w14:paraId="723AF1E2" w14:textId="77777777" w:rsidTr="00EB5F64">
        <w:trPr>
          <w:trHeight w:val="20"/>
        </w:trPr>
        <w:tc>
          <w:tcPr>
            <w:tcW w:w="1781" w:type="dxa"/>
            <w:tcBorders>
              <w:top w:val="nil"/>
              <w:left w:val="single" w:sz="4" w:space="0" w:color="auto"/>
              <w:bottom w:val="single" w:sz="4" w:space="0" w:color="auto"/>
              <w:right w:val="single" w:sz="4" w:space="0" w:color="auto"/>
            </w:tcBorders>
            <w:shd w:val="clear" w:color="auto" w:fill="auto"/>
            <w:noWrap/>
            <w:vAlign w:val="center"/>
            <w:hideMark/>
          </w:tcPr>
          <w:p w14:paraId="7DE77602" w14:textId="77777777" w:rsidR="00A82DA1" w:rsidRPr="00B92499" w:rsidRDefault="00A82DA1" w:rsidP="00A82DA1">
            <w:pPr>
              <w:jc w:val="center"/>
              <w:rPr>
                <w:rFonts w:ascii="Arial" w:hAnsi="Arial" w:cs="Arial"/>
                <w:color w:val="000000"/>
                <w:sz w:val="20"/>
                <w:szCs w:val="20"/>
              </w:rPr>
            </w:pPr>
            <w:r w:rsidRPr="00B92499">
              <w:rPr>
                <w:rFonts w:ascii="Arial" w:hAnsi="Arial" w:cs="Arial"/>
                <w:color w:val="000000"/>
                <w:sz w:val="20"/>
                <w:szCs w:val="20"/>
              </w:rPr>
              <w:t>XXIII</w:t>
            </w:r>
          </w:p>
        </w:tc>
        <w:tc>
          <w:tcPr>
            <w:tcW w:w="6436" w:type="dxa"/>
            <w:tcBorders>
              <w:top w:val="nil"/>
              <w:left w:val="nil"/>
              <w:bottom w:val="single" w:sz="4" w:space="0" w:color="auto"/>
              <w:right w:val="single" w:sz="4" w:space="0" w:color="auto"/>
            </w:tcBorders>
            <w:shd w:val="clear" w:color="auto" w:fill="auto"/>
            <w:vAlign w:val="center"/>
            <w:hideMark/>
          </w:tcPr>
          <w:p w14:paraId="33A735CB" w14:textId="74E12FF8" w:rsidR="00A82DA1" w:rsidRPr="00B92499" w:rsidRDefault="00A82DA1" w:rsidP="00B671B7">
            <w:pPr>
              <w:jc w:val="both"/>
              <w:rPr>
                <w:rFonts w:ascii="Arial" w:hAnsi="Arial" w:cs="Arial"/>
                <w:color w:val="000000"/>
                <w:sz w:val="20"/>
                <w:szCs w:val="20"/>
              </w:rPr>
            </w:pPr>
            <w:r w:rsidRPr="00B92499">
              <w:rPr>
                <w:rFonts w:ascii="Arial" w:hAnsi="Arial" w:cs="Arial"/>
                <w:color w:val="000000"/>
                <w:sz w:val="20"/>
                <w:szCs w:val="20"/>
              </w:rPr>
              <w:t>Calendario de audiencias públicas y de recorridos del titular del órgano político administrativo, alcaldía o demarcación territorial</w:t>
            </w:r>
            <w:r w:rsidR="00490622" w:rsidRPr="00B92499">
              <w:rPr>
                <w:rFonts w:ascii="Arial" w:hAnsi="Arial" w:cs="Arial"/>
                <w:color w:val="000000"/>
                <w:sz w:val="20"/>
                <w:szCs w:val="20"/>
              </w:rPr>
              <w:t>.</w:t>
            </w:r>
          </w:p>
        </w:tc>
        <w:tc>
          <w:tcPr>
            <w:tcW w:w="992" w:type="dxa"/>
            <w:tcBorders>
              <w:top w:val="nil"/>
              <w:left w:val="nil"/>
              <w:bottom w:val="single" w:sz="4" w:space="0" w:color="auto"/>
              <w:right w:val="single" w:sz="4" w:space="0" w:color="auto"/>
            </w:tcBorders>
            <w:shd w:val="clear" w:color="auto" w:fill="auto"/>
            <w:noWrap/>
            <w:vAlign w:val="center"/>
            <w:hideMark/>
          </w:tcPr>
          <w:p w14:paraId="30C78B62" w14:textId="77777777" w:rsidR="00A82DA1" w:rsidRPr="00B92499" w:rsidRDefault="00A82DA1" w:rsidP="00A82DA1">
            <w:pPr>
              <w:jc w:val="center"/>
              <w:rPr>
                <w:rFonts w:ascii="Arial" w:hAnsi="Arial" w:cs="Arial"/>
                <w:color w:val="000000"/>
                <w:sz w:val="20"/>
                <w:szCs w:val="20"/>
              </w:rPr>
            </w:pPr>
            <w:r w:rsidRPr="00B92499">
              <w:rPr>
                <w:rFonts w:ascii="Arial" w:hAnsi="Arial" w:cs="Arial"/>
                <w:color w:val="000000"/>
                <w:sz w:val="20"/>
                <w:szCs w:val="20"/>
              </w:rPr>
              <w:t>82.81</w:t>
            </w:r>
          </w:p>
        </w:tc>
      </w:tr>
      <w:tr w:rsidR="00A82DA1" w:rsidRPr="00B92499" w14:paraId="24B4D9C7" w14:textId="77777777" w:rsidTr="00EB5F64">
        <w:trPr>
          <w:trHeight w:val="20"/>
        </w:trPr>
        <w:tc>
          <w:tcPr>
            <w:tcW w:w="1781" w:type="dxa"/>
            <w:tcBorders>
              <w:top w:val="nil"/>
              <w:left w:val="single" w:sz="4" w:space="0" w:color="auto"/>
              <w:bottom w:val="single" w:sz="4" w:space="0" w:color="auto"/>
              <w:right w:val="single" w:sz="4" w:space="0" w:color="auto"/>
            </w:tcBorders>
            <w:shd w:val="clear" w:color="auto" w:fill="auto"/>
            <w:noWrap/>
            <w:vAlign w:val="center"/>
            <w:hideMark/>
          </w:tcPr>
          <w:p w14:paraId="5A5E6FA6" w14:textId="77777777" w:rsidR="00A82DA1" w:rsidRPr="00B92499" w:rsidRDefault="00A82DA1" w:rsidP="00A82DA1">
            <w:pPr>
              <w:jc w:val="center"/>
              <w:rPr>
                <w:rFonts w:ascii="Arial" w:hAnsi="Arial" w:cs="Arial"/>
                <w:color w:val="000000"/>
                <w:sz w:val="20"/>
                <w:szCs w:val="20"/>
              </w:rPr>
            </w:pPr>
            <w:r w:rsidRPr="00B92499">
              <w:rPr>
                <w:rFonts w:ascii="Arial" w:hAnsi="Arial" w:cs="Arial"/>
                <w:color w:val="000000"/>
                <w:sz w:val="20"/>
                <w:szCs w:val="20"/>
              </w:rPr>
              <w:t>XXI</w:t>
            </w:r>
          </w:p>
        </w:tc>
        <w:tc>
          <w:tcPr>
            <w:tcW w:w="6436" w:type="dxa"/>
            <w:tcBorders>
              <w:top w:val="nil"/>
              <w:left w:val="nil"/>
              <w:bottom w:val="single" w:sz="4" w:space="0" w:color="auto"/>
              <w:right w:val="single" w:sz="4" w:space="0" w:color="auto"/>
            </w:tcBorders>
            <w:shd w:val="clear" w:color="auto" w:fill="auto"/>
            <w:vAlign w:val="center"/>
            <w:hideMark/>
          </w:tcPr>
          <w:p w14:paraId="73EE1994" w14:textId="7DFA343A" w:rsidR="00A82DA1" w:rsidRPr="00B92499" w:rsidRDefault="00A82DA1" w:rsidP="00B671B7">
            <w:pPr>
              <w:jc w:val="both"/>
              <w:rPr>
                <w:rFonts w:ascii="Arial" w:hAnsi="Arial" w:cs="Arial"/>
                <w:color w:val="000000"/>
                <w:sz w:val="20"/>
                <w:szCs w:val="20"/>
              </w:rPr>
            </w:pPr>
            <w:r w:rsidRPr="00B92499">
              <w:rPr>
                <w:rFonts w:ascii="Arial" w:hAnsi="Arial" w:cs="Arial"/>
                <w:color w:val="000000"/>
                <w:sz w:val="20"/>
                <w:szCs w:val="20"/>
              </w:rPr>
              <w:t xml:space="preserve">Los programas y acciones de apoyo que </w:t>
            </w:r>
            <w:r w:rsidR="005A7A81" w:rsidRPr="00B92499">
              <w:rPr>
                <w:rFonts w:ascii="Arial" w:hAnsi="Arial" w:cs="Arial"/>
                <w:color w:val="000000"/>
                <w:sz w:val="20"/>
                <w:szCs w:val="20"/>
              </w:rPr>
              <w:t xml:space="preserve">incentiven la equidad de género en </w:t>
            </w:r>
            <w:r w:rsidRPr="00B92499">
              <w:rPr>
                <w:rFonts w:ascii="Arial" w:hAnsi="Arial" w:cs="Arial"/>
                <w:color w:val="000000"/>
                <w:sz w:val="20"/>
                <w:szCs w:val="20"/>
              </w:rPr>
              <w:t>los diversos ámbitos del desarrollo</w:t>
            </w:r>
            <w:r w:rsidR="00490622" w:rsidRPr="00B92499">
              <w:rPr>
                <w:rFonts w:ascii="Arial" w:hAnsi="Arial" w:cs="Arial"/>
                <w:color w:val="000000"/>
                <w:sz w:val="20"/>
                <w:szCs w:val="20"/>
              </w:rPr>
              <w:t>.</w:t>
            </w:r>
          </w:p>
        </w:tc>
        <w:tc>
          <w:tcPr>
            <w:tcW w:w="992" w:type="dxa"/>
            <w:tcBorders>
              <w:top w:val="nil"/>
              <w:left w:val="nil"/>
              <w:bottom w:val="single" w:sz="4" w:space="0" w:color="auto"/>
              <w:right w:val="single" w:sz="4" w:space="0" w:color="auto"/>
            </w:tcBorders>
            <w:shd w:val="clear" w:color="auto" w:fill="auto"/>
            <w:noWrap/>
            <w:vAlign w:val="center"/>
            <w:hideMark/>
          </w:tcPr>
          <w:p w14:paraId="105840A6" w14:textId="77777777" w:rsidR="00A82DA1" w:rsidRPr="00B92499" w:rsidRDefault="00A82DA1" w:rsidP="00A82DA1">
            <w:pPr>
              <w:jc w:val="center"/>
              <w:rPr>
                <w:rFonts w:ascii="Arial" w:hAnsi="Arial" w:cs="Arial"/>
                <w:color w:val="000000"/>
                <w:sz w:val="20"/>
                <w:szCs w:val="20"/>
              </w:rPr>
            </w:pPr>
            <w:r w:rsidRPr="00B92499">
              <w:rPr>
                <w:rFonts w:ascii="Arial" w:hAnsi="Arial" w:cs="Arial"/>
                <w:color w:val="000000"/>
                <w:sz w:val="20"/>
                <w:szCs w:val="20"/>
              </w:rPr>
              <w:t>82.63</w:t>
            </w:r>
          </w:p>
        </w:tc>
      </w:tr>
      <w:tr w:rsidR="00A82DA1" w:rsidRPr="00B92499" w14:paraId="086DFA81" w14:textId="77777777" w:rsidTr="00EB5F64">
        <w:trPr>
          <w:trHeight w:val="20"/>
        </w:trPr>
        <w:tc>
          <w:tcPr>
            <w:tcW w:w="1781" w:type="dxa"/>
            <w:tcBorders>
              <w:top w:val="nil"/>
              <w:left w:val="single" w:sz="4" w:space="0" w:color="auto"/>
              <w:bottom w:val="single" w:sz="4" w:space="0" w:color="auto"/>
              <w:right w:val="single" w:sz="4" w:space="0" w:color="auto"/>
            </w:tcBorders>
            <w:shd w:val="clear" w:color="auto" w:fill="auto"/>
            <w:noWrap/>
            <w:vAlign w:val="center"/>
            <w:hideMark/>
          </w:tcPr>
          <w:p w14:paraId="491366FB" w14:textId="77777777" w:rsidR="00A82DA1" w:rsidRPr="00B92499" w:rsidRDefault="00A82DA1" w:rsidP="00A82DA1">
            <w:pPr>
              <w:jc w:val="center"/>
              <w:rPr>
                <w:rFonts w:ascii="Arial" w:hAnsi="Arial" w:cs="Arial"/>
                <w:color w:val="000000"/>
                <w:sz w:val="20"/>
                <w:szCs w:val="20"/>
              </w:rPr>
            </w:pPr>
            <w:r w:rsidRPr="00B92499">
              <w:rPr>
                <w:rFonts w:ascii="Arial" w:hAnsi="Arial" w:cs="Arial"/>
                <w:color w:val="000000"/>
                <w:sz w:val="20"/>
                <w:szCs w:val="20"/>
              </w:rPr>
              <w:t>XI</w:t>
            </w:r>
          </w:p>
        </w:tc>
        <w:tc>
          <w:tcPr>
            <w:tcW w:w="6436" w:type="dxa"/>
            <w:tcBorders>
              <w:top w:val="nil"/>
              <w:left w:val="nil"/>
              <w:bottom w:val="single" w:sz="4" w:space="0" w:color="auto"/>
              <w:right w:val="single" w:sz="4" w:space="0" w:color="auto"/>
            </w:tcBorders>
            <w:shd w:val="clear" w:color="auto" w:fill="auto"/>
            <w:vAlign w:val="center"/>
            <w:hideMark/>
          </w:tcPr>
          <w:p w14:paraId="08629429" w14:textId="02B28E15" w:rsidR="00A82DA1" w:rsidRPr="00B92499" w:rsidRDefault="00A82DA1" w:rsidP="00B671B7">
            <w:pPr>
              <w:jc w:val="both"/>
              <w:rPr>
                <w:rFonts w:ascii="Arial" w:hAnsi="Arial" w:cs="Arial"/>
                <w:color w:val="000000"/>
                <w:sz w:val="20"/>
                <w:szCs w:val="20"/>
              </w:rPr>
            </w:pPr>
            <w:r w:rsidRPr="00B92499">
              <w:rPr>
                <w:rFonts w:ascii="Arial" w:hAnsi="Arial" w:cs="Arial"/>
                <w:color w:val="000000"/>
                <w:sz w:val="20"/>
                <w:szCs w:val="20"/>
              </w:rPr>
              <w:t>La publicación del padrón de contralores ciudadanos que participan en los distintos comités de la administración pública de la delegación</w:t>
            </w:r>
            <w:r w:rsidR="00490622" w:rsidRPr="00B92499">
              <w:rPr>
                <w:rFonts w:ascii="Arial" w:hAnsi="Arial" w:cs="Arial"/>
                <w:color w:val="000000"/>
                <w:sz w:val="20"/>
                <w:szCs w:val="20"/>
              </w:rPr>
              <w:t>.</w:t>
            </w:r>
          </w:p>
        </w:tc>
        <w:tc>
          <w:tcPr>
            <w:tcW w:w="992" w:type="dxa"/>
            <w:tcBorders>
              <w:top w:val="nil"/>
              <w:left w:val="nil"/>
              <w:bottom w:val="single" w:sz="4" w:space="0" w:color="auto"/>
              <w:right w:val="single" w:sz="4" w:space="0" w:color="auto"/>
            </w:tcBorders>
            <w:shd w:val="clear" w:color="auto" w:fill="auto"/>
            <w:noWrap/>
            <w:vAlign w:val="center"/>
            <w:hideMark/>
          </w:tcPr>
          <w:p w14:paraId="48DAAEBA" w14:textId="77777777" w:rsidR="00A82DA1" w:rsidRPr="00B92499" w:rsidRDefault="00A82DA1" w:rsidP="00A82DA1">
            <w:pPr>
              <w:jc w:val="center"/>
              <w:rPr>
                <w:rFonts w:ascii="Arial" w:hAnsi="Arial" w:cs="Arial"/>
                <w:color w:val="000000"/>
                <w:sz w:val="20"/>
                <w:szCs w:val="20"/>
              </w:rPr>
            </w:pPr>
            <w:r w:rsidRPr="00B92499">
              <w:rPr>
                <w:rFonts w:ascii="Arial" w:hAnsi="Arial" w:cs="Arial"/>
                <w:color w:val="000000"/>
                <w:sz w:val="20"/>
                <w:szCs w:val="20"/>
              </w:rPr>
              <w:t>80.94</w:t>
            </w:r>
          </w:p>
        </w:tc>
      </w:tr>
      <w:tr w:rsidR="00A82DA1" w:rsidRPr="00B92499" w14:paraId="0C0764E8" w14:textId="77777777" w:rsidTr="00EB5F64">
        <w:trPr>
          <w:trHeight w:val="20"/>
        </w:trPr>
        <w:tc>
          <w:tcPr>
            <w:tcW w:w="1781" w:type="dxa"/>
            <w:tcBorders>
              <w:top w:val="nil"/>
              <w:left w:val="single" w:sz="4" w:space="0" w:color="auto"/>
              <w:bottom w:val="single" w:sz="4" w:space="0" w:color="auto"/>
              <w:right w:val="single" w:sz="4" w:space="0" w:color="auto"/>
            </w:tcBorders>
            <w:shd w:val="clear" w:color="auto" w:fill="auto"/>
            <w:noWrap/>
            <w:vAlign w:val="center"/>
            <w:hideMark/>
          </w:tcPr>
          <w:p w14:paraId="7E2FCDAC" w14:textId="77777777" w:rsidR="00A82DA1" w:rsidRPr="00B92499" w:rsidRDefault="00A82DA1" w:rsidP="00A82DA1">
            <w:pPr>
              <w:jc w:val="center"/>
              <w:rPr>
                <w:rFonts w:ascii="Arial" w:hAnsi="Arial" w:cs="Arial"/>
                <w:color w:val="000000"/>
                <w:sz w:val="20"/>
                <w:szCs w:val="20"/>
              </w:rPr>
            </w:pPr>
            <w:r w:rsidRPr="00B92499">
              <w:rPr>
                <w:rFonts w:ascii="Arial" w:hAnsi="Arial" w:cs="Arial"/>
                <w:color w:val="000000"/>
                <w:sz w:val="20"/>
                <w:szCs w:val="20"/>
              </w:rPr>
              <w:t>VII</w:t>
            </w:r>
          </w:p>
        </w:tc>
        <w:tc>
          <w:tcPr>
            <w:tcW w:w="6436" w:type="dxa"/>
            <w:tcBorders>
              <w:top w:val="nil"/>
              <w:left w:val="nil"/>
              <w:bottom w:val="single" w:sz="4" w:space="0" w:color="auto"/>
              <w:right w:val="single" w:sz="4" w:space="0" w:color="auto"/>
            </w:tcBorders>
            <w:shd w:val="clear" w:color="auto" w:fill="auto"/>
            <w:vAlign w:val="center"/>
            <w:hideMark/>
          </w:tcPr>
          <w:p w14:paraId="0AF24323" w14:textId="17017C98" w:rsidR="00A82DA1" w:rsidRPr="00B92499" w:rsidRDefault="00A82DA1" w:rsidP="00B671B7">
            <w:pPr>
              <w:jc w:val="both"/>
              <w:rPr>
                <w:rFonts w:ascii="Arial" w:hAnsi="Arial" w:cs="Arial"/>
                <w:color w:val="000000"/>
                <w:sz w:val="20"/>
                <w:szCs w:val="20"/>
              </w:rPr>
            </w:pPr>
            <w:r w:rsidRPr="00B92499">
              <w:rPr>
                <w:rFonts w:ascii="Arial" w:hAnsi="Arial" w:cs="Arial"/>
                <w:color w:val="000000"/>
                <w:sz w:val="20"/>
                <w:szCs w:val="20"/>
              </w:rPr>
              <w:t>Los Programas de Desarrollo Delegacionales, o su equivalente, vinculados con sus programas operativos anuales y sectoriales y los respectivos indicadores de gestión que permitan conocer las metas, así como los avances físico y financieros. Sobre los indicadores de gestión se deberá difundir, además, el método de evaluación con una justificación de los resultados obtenidos y el monto de los recursos públicos asignados para su cumplimiento</w:t>
            </w:r>
            <w:r w:rsidR="00490622" w:rsidRPr="00B92499">
              <w:rPr>
                <w:rFonts w:ascii="Arial" w:hAnsi="Arial" w:cs="Arial"/>
                <w:color w:val="000000"/>
                <w:sz w:val="20"/>
                <w:szCs w:val="20"/>
              </w:rPr>
              <w:t>.</w:t>
            </w:r>
          </w:p>
        </w:tc>
        <w:tc>
          <w:tcPr>
            <w:tcW w:w="992" w:type="dxa"/>
            <w:tcBorders>
              <w:top w:val="nil"/>
              <w:left w:val="nil"/>
              <w:bottom w:val="single" w:sz="4" w:space="0" w:color="auto"/>
              <w:right w:val="single" w:sz="4" w:space="0" w:color="auto"/>
            </w:tcBorders>
            <w:shd w:val="clear" w:color="auto" w:fill="auto"/>
            <w:noWrap/>
            <w:vAlign w:val="center"/>
            <w:hideMark/>
          </w:tcPr>
          <w:p w14:paraId="0B064EBD" w14:textId="77777777" w:rsidR="00A82DA1" w:rsidRPr="00B92499" w:rsidRDefault="00A82DA1" w:rsidP="00A82DA1">
            <w:pPr>
              <w:jc w:val="center"/>
              <w:rPr>
                <w:rFonts w:ascii="Arial" w:hAnsi="Arial" w:cs="Arial"/>
                <w:color w:val="000000"/>
                <w:sz w:val="20"/>
                <w:szCs w:val="20"/>
              </w:rPr>
            </w:pPr>
            <w:r w:rsidRPr="00B92499">
              <w:rPr>
                <w:rFonts w:ascii="Arial" w:hAnsi="Arial" w:cs="Arial"/>
                <w:color w:val="000000"/>
                <w:sz w:val="20"/>
                <w:szCs w:val="20"/>
              </w:rPr>
              <w:t>80.52</w:t>
            </w:r>
          </w:p>
        </w:tc>
      </w:tr>
      <w:tr w:rsidR="00A82DA1" w:rsidRPr="00B92499" w14:paraId="4DCB0A72" w14:textId="77777777" w:rsidTr="00EB5F64">
        <w:trPr>
          <w:trHeight w:val="20"/>
        </w:trPr>
        <w:tc>
          <w:tcPr>
            <w:tcW w:w="1781" w:type="dxa"/>
            <w:tcBorders>
              <w:top w:val="nil"/>
              <w:left w:val="single" w:sz="4" w:space="0" w:color="auto"/>
              <w:bottom w:val="single" w:sz="4" w:space="0" w:color="auto"/>
              <w:right w:val="single" w:sz="4" w:space="0" w:color="auto"/>
            </w:tcBorders>
            <w:shd w:val="clear" w:color="auto" w:fill="auto"/>
            <w:noWrap/>
            <w:vAlign w:val="center"/>
            <w:hideMark/>
          </w:tcPr>
          <w:p w14:paraId="12B6CD42" w14:textId="77777777" w:rsidR="00A82DA1" w:rsidRPr="00B92499" w:rsidRDefault="00A82DA1" w:rsidP="00A82DA1">
            <w:pPr>
              <w:jc w:val="center"/>
              <w:rPr>
                <w:rFonts w:ascii="Arial" w:hAnsi="Arial" w:cs="Arial"/>
                <w:color w:val="000000"/>
                <w:sz w:val="20"/>
                <w:szCs w:val="20"/>
              </w:rPr>
            </w:pPr>
            <w:r w:rsidRPr="00B92499">
              <w:rPr>
                <w:rFonts w:ascii="Arial" w:hAnsi="Arial" w:cs="Arial"/>
                <w:color w:val="000000"/>
                <w:sz w:val="20"/>
                <w:szCs w:val="20"/>
              </w:rPr>
              <w:t>XV</w:t>
            </w:r>
          </w:p>
        </w:tc>
        <w:tc>
          <w:tcPr>
            <w:tcW w:w="6436" w:type="dxa"/>
            <w:tcBorders>
              <w:top w:val="nil"/>
              <w:left w:val="nil"/>
              <w:bottom w:val="single" w:sz="4" w:space="0" w:color="auto"/>
              <w:right w:val="single" w:sz="4" w:space="0" w:color="auto"/>
            </w:tcBorders>
            <w:shd w:val="clear" w:color="auto" w:fill="auto"/>
            <w:vAlign w:val="center"/>
            <w:hideMark/>
          </w:tcPr>
          <w:p w14:paraId="09ED2091" w14:textId="2EF54D9E" w:rsidR="00A82DA1" w:rsidRPr="00B92499" w:rsidRDefault="00A82DA1" w:rsidP="00B671B7">
            <w:pPr>
              <w:jc w:val="both"/>
              <w:rPr>
                <w:rFonts w:ascii="Arial" w:hAnsi="Arial" w:cs="Arial"/>
                <w:color w:val="000000"/>
                <w:sz w:val="20"/>
                <w:szCs w:val="20"/>
              </w:rPr>
            </w:pPr>
            <w:r w:rsidRPr="00B92499">
              <w:rPr>
                <w:rFonts w:ascii="Arial" w:hAnsi="Arial" w:cs="Arial"/>
                <w:color w:val="000000"/>
                <w:sz w:val="20"/>
                <w:szCs w:val="20"/>
              </w:rPr>
              <w:t xml:space="preserve">El padrón actualizado de los giros mercantiles que funcionen en su jurisdicción y las licencias y autorizaciones otorgadas para el funcionamiento de los giros </w:t>
            </w:r>
            <w:r w:rsidR="008710F6" w:rsidRPr="00B92499">
              <w:rPr>
                <w:rFonts w:ascii="Arial" w:hAnsi="Arial" w:cs="Arial"/>
                <w:color w:val="000000"/>
                <w:sz w:val="20"/>
                <w:szCs w:val="20"/>
              </w:rPr>
              <w:t>sujeto</w:t>
            </w:r>
            <w:r w:rsidRPr="00B92499">
              <w:rPr>
                <w:rFonts w:ascii="Arial" w:hAnsi="Arial" w:cs="Arial"/>
                <w:color w:val="000000"/>
                <w:sz w:val="20"/>
                <w:szCs w:val="20"/>
              </w:rPr>
              <w:t>s a las leyes y reglamentos aplicables</w:t>
            </w:r>
          </w:p>
        </w:tc>
        <w:tc>
          <w:tcPr>
            <w:tcW w:w="992" w:type="dxa"/>
            <w:tcBorders>
              <w:top w:val="nil"/>
              <w:left w:val="nil"/>
              <w:bottom w:val="single" w:sz="4" w:space="0" w:color="auto"/>
              <w:right w:val="single" w:sz="4" w:space="0" w:color="auto"/>
            </w:tcBorders>
            <w:shd w:val="clear" w:color="auto" w:fill="auto"/>
            <w:noWrap/>
            <w:vAlign w:val="center"/>
            <w:hideMark/>
          </w:tcPr>
          <w:p w14:paraId="69070801" w14:textId="77777777" w:rsidR="00A82DA1" w:rsidRPr="00B92499" w:rsidRDefault="00A82DA1" w:rsidP="00A82DA1">
            <w:pPr>
              <w:jc w:val="center"/>
              <w:rPr>
                <w:rFonts w:ascii="Arial" w:hAnsi="Arial" w:cs="Arial"/>
                <w:color w:val="000000"/>
                <w:sz w:val="20"/>
                <w:szCs w:val="20"/>
              </w:rPr>
            </w:pPr>
            <w:r w:rsidRPr="00B92499">
              <w:rPr>
                <w:rFonts w:ascii="Arial" w:hAnsi="Arial" w:cs="Arial"/>
                <w:color w:val="000000"/>
                <w:sz w:val="20"/>
                <w:szCs w:val="20"/>
              </w:rPr>
              <w:t>79.83</w:t>
            </w:r>
          </w:p>
        </w:tc>
      </w:tr>
      <w:tr w:rsidR="00A82DA1" w:rsidRPr="00B92499" w14:paraId="1C095040" w14:textId="77777777" w:rsidTr="00EB5F64">
        <w:trPr>
          <w:trHeight w:val="20"/>
        </w:trPr>
        <w:tc>
          <w:tcPr>
            <w:tcW w:w="1781" w:type="dxa"/>
            <w:tcBorders>
              <w:top w:val="nil"/>
              <w:left w:val="single" w:sz="4" w:space="0" w:color="auto"/>
              <w:bottom w:val="single" w:sz="4" w:space="0" w:color="auto"/>
              <w:right w:val="single" w:sz="4" w:space="0" w:color="auto"/>
            </w:tcBorders>
            <w:shd w:val="clear" w:color="auto" w:fill="auto"/>
            <w:noWrap/>
            <w:vAlign w:val="center"/>
            <w:hideMark/>
          </w:tcPr>
          <w:p w14:paraId="015C8977" w14:textId="77777777" w:rsidR="00A82DA1" w:rsidRPr="00B92499" w:rsidRDefault="00A82DA1" w:rsidP="00A82DA1">
            <w:pPr>
              <w:jc w:val="center"/>
              <w:rPr>
                <w:rFonts w:ascii="Arial" w:hAnsi="Arial" w:cs="Arial"/>
                <w:color w:val="000000"/>
                <w:sz w:val="20"/>
                <w:szCs w:val="20"/>
              </w:rPr>
            </w:pPr>
            <w:r w:rsidRPr="00B92499">
              <w:rPr>
                <w:rFonts w:ascii="Arial" w:hAnsi="Arial" w:cs="Arial"/>
                <w:color w:val="000000"/>
                <w:sz w:val="20"/>
                <w:szCs w:val="20"/>
              </w:rPr>
              <w:t>XXII</w:t>
            </w:r>
          </w:p>
        </w:tc>
        <w:tc>
          <w:tcPr>
            <w:tcW w:w="6436" w:type="dxa"/>
            <w:tcBorders>
              <w:top w:val="nil"/>
              <w:left w:val="nil"/>
              <w:bottom w:val="single" w:sz="4" w:space="0" w:color="auto"/>
              <w:right w:val="single" w:sz="4" w:space="0" w:color="auto"/>
            </w:tcBorders>
            <w:shd w:val="clear" w:color="auto" w:fill="auto"/>
            <w:vAlign w:val="center"/>
            <w:hideMark/>
          </w:tcPr>
          <w:p w14:paraId="561249BC" w14:textId="2F159935" w:rsidR="00A82DA1" w:rsidRPr="00B92499" w:rsidRDefault="00A82DA1" w:rsidP="00B671B7">
            <w:pPr>
              <w:jc w:val="both"/>
              <w:rPr>
                <w:rFonts w:ascii="Arial" w:hAnsi="Arial" w:cs="Arial"/>
                <w:color w:val="000000"/>
                <w:sz w:val="20"/>
                <w:szCs w:val="20"/>
              </w:rPr>
            </w:pPr>
            <w:r w:rsidRPr="00B92499">
              <w:rPr>
                <w:rFonts w:ascii="Arial" w:hAnsi="Arial" w:cs="Arial"/>
                <w:color w:val="000000"/>
                <w:sz w:val="20"/>
                <w:szCs w:val="20"/>
              </w:rPr>
              <w:t>Los programas y acciones relacionados con la preservación del equilibrio ecológico; la adquisición de reservas territoriales en su caso; y la protección al ambiente, en su ámbito de competencia</w:t>
            </w:r>
            <w:r w:rsidR="00490622" w:rsidRPr="00B92499">
              <w:rPr>
                <w:rFonts w:ascii="Arial" w:hAnsi="Arial" w:cs="Arial"/>
                <w:color w:val="000000"/>
                <w:sz w:val="20"/>
                <w:szCs w:val="20"/>
              </w:rPr>
              <w:t>.</w:t>
            </w:r>
          </w:p>
        </w:tc>
        <w:tc>
          <w:tcPr>
            <w:tcW w:w="992" w:type="dxa"/>
            <w:tcBorders>
              <w:top w:val="nil"/>
              <w:left w:val="nil"/>
              <w:bottom w:val="single" w:sz="4" w:space="0" w:color="auto"/>
              <w:right w:val="single" w:sz="4" w:space="0" w:color="auto"/>
            </w:tcBorders>
            <w:shd w:val="clear" w:color="auto" w:fill="auto"/>
            <w:noWrap/>
            <w:vAlign w:val="center"/>
            <w:hideMark/>
          </w:tcPr>
          <w:p w14:paraId="16A39149" w14:textId="77777777" w:rsidR="00A82DA1" w:rsidRPr="00B92499" w:rsidRDefault="00A82DA1" w:rsidP="00A82DA1">
            <w:pPr>
              <w:jc w:val="center"/>
              <w:rPr>
                <w:rFonts w:ascii="Arial" w:hAnsi="Arial" w:cs="Arial"/>
                <w:color w:val="000000"/>
                <w:sz w:val="20"/>
                <w:szCs w:val="20"/>
              </w:rPr>
            </w:pPr>
            <w:r w:rsidRPr="00B92499">
              <w:rPr>
                <w:rFonts w:ascii="Arial" w:hAnsi="Arial" w:cs="Arial"/>
                <w:color w:val="000000"/>
                <w:sz w:val="20"/>
                <w:szCs w:val="20"/>
              </w:rPr>
              <w:t>78.88</w:t>
            </w:r>
          </w:p>
        </w:tc>
      </w:tr>
      <w:tr w:rsidR="00A82DA1" w:rsidRPr="00B92499" w14:paraId="089D9E32" w14:textId="77777777" w:rsidTr="00EB5F64">
        <w:trPr>
          <w:trHeight w:val="20"/>
        </w:trPr>
        <w:tc>
          <w:tcPr>
            <w:tcW w:w="1781" w:type="dxa"/>
            <w:tcBorders>
              <w:top w:val="nil"/>
              <w:left w:val="single" w:sz="4" w:space="0" w:color="auto"/>
              <w:bottom w:val="single" w:sz="4" w:space="0" w:color="auto"/>
              <w:right w:val="single" w:sz="4" w:space="0" w:color="auto"/>
            </w:tcBorders>
            <w:shd w:val="clear" w:color="auto" w:fill="auto"/>
            <w:noWrap/>
            <w:vAlign w:val="center"/>
            <w:hideMark/>
          </w:tcPr>
          <w:p w14:paraId="2C58599A" w14:textId="77777777" w:rsidR="00A82DA1" w:rsidRPr="00B92499" w:rsidRDefault="00A82DA1" w:rsidP="00A82DA1">
            <w:pPr>
              <w:jc w:val="center"/>
              <w:rPr>
                <w:rFonts w:ascii="Arial" w:hAnsi="Arial" w:cs="Arial"/>
                <w:color w:val="000000"/>
                <w:sz w:val="20"/>
                <w:szCs w:val="20"/>
              </w:rPr>
            </w:pPr>
            <w:r w:rsidRPr="00B92499">
              <w:rPr>
                <w:rFonts w:ascii="Arial" w:hAnsi="Arial" w:cs="Arial"/>
                <w:color w:val="000000"/>
                <w:sz w:val="20"/>
                <w:szCs w:val="20"/>
              </w:rPr>
              <w:t>XVI</w:t>
            </w:r>
          </w:p>
        </w:tc>
        <w:tc>
          <w:tcPr>
            <w:tcW w:w="6436" w:type="dxa"/>
            <w:tcBorders>
              <w:top w:val="nil"/>
              <w:left w:val="nil"/>
              <w:bottom w:val="single" w:sz="4" w:space="0" w:color="auto"/>
              <w:right w:val="single" w:sz="4" w:space="0" w:color="auto"/>
            </w:tcBorders>
            <w:shd w:val="clear" w:color="auto" w:fill="auto"/>
            <w:noWrap/>
            <w:vAlign w:val="center"/>
            <w:hideMark/>
          </w:tcPr>
          <w:p w14:paraId="5472452E" w14:textId="6AA34365" w:rsidR="00A82DA1" w:rsidRPr="00B92499" w:rsidRDefault="00A82DA1" w:rsidP="00B671B7">
            <w:pPr>
              <w:jc w:val="both"/>
              <w:rPr>
                <w:rFonts w:ascii="Arial" w:hAnsi="Arial" w:cs="Arial"/>
                <w:color w:val="000000"/>
                <w:sz w:val="20"/>
                <w:szCs w:val="20"/>
              </w:rPr>
            </w:pPr>
            <w:r w:rsidRPr="00B92499">
              <w:rPr>
                <w:rFonts w:ascii="Arial" w:hAnsi="Arial" w:cs="Arial"/>
                <w:color w:val="000000"/>
                <w:sz w:val="20"/>
                <w:szCs w:val="20"/>
              </w:rPr>
              <w:t>El Programa de Seguridad Pública de la demarcación</w:t>
            </w:r>
            <w:r w:rsidR="00490622" w:rsidRPr="00B92499">
              <w:rPr>
                <w:rFonts w:ascii="Arial" w:hAnsi="Arial" w:cs="Arial"/>
                <w:color w:val="000000"/>
                <w:sz w:val="20"/>
                <w:szCs w:val="20"/>
              </w:rPr>
              <w:t>.</w:t>
            </w:r>
          </w:p>
        </w:tc>
        <w:tc>
          <w:tcPr>
            <w:tcW w:w="992" w:type="dxa"/>
            <w:tcBorders>
              <w:top w:val="nil"/>
              <w:left w:val="nil"/>
              <w:bottom w:val="single" w:sz="4" w:space="0" w:color="auto"/>
              <w:right w:val="single" w:sz="4" w:space="0" w:color="auto"/>
            </w:tcBorders>
            <w:shd w:val="clear" w:color="auto" w:fill="auto"/>
            <w:noWrap/>
            <w:vAlign w:val="center"/>
            <w:hideMark/>
          </w:tcPr>
          <w:p w14:paraId="3ED4E68E" w14:textId="77777777" w:rsidR="00A82DA1" w:rsidRPr="00B92499" w:rsidRDefault="00A82DA1" w:rsidP="00A82DA1">
            <w:pPr>
              <w:jc w:val="center"/>
              <w:rPr>
                <w:rFonts w:ascii="Arial" w:hAnsi="Arial" w:cs="Arial"/>
                <w:color w:val="000000"/>
                <w:sz w:val="20"/>
                <w:szCs w:val="20"/>
              </w:rPr>
            </w:pPr>
            <w:r w:rsidRPr="00B92499">
              <w:rPr>
                <w:rFonts w:ascii="Arial" w:hAnsi="Arial" w:cs="Arial"/>
                <w:color w:val="000000"/>
                <w:sz w:val="20"/>
                <w:szCs w:val="20"/>
              </w:rPr>
              <w:t>70.96</w:t>
            </w:r>
          </w:p>
        </w:tc>
      </w:tr>
      <w:tr w:rsidR="00A82DA1" w:rsidRPr="00B92499" w14:paraId="0243E2F9" w14:textId="77777777" w:rsidTr="00EB5F64">
        <w:trPr>
          <w:trHeight w:val="20"/>
        </w:trPr>
        <w:tc>
          <w:tcPr>
            <w:tcW w:w="1781" w:type="dxa"/>
            <w:tcBorders>
              <w:top w:val="nil"/>
              <w:left w:val="single" w:sz="4" w:space="0" w:color="auto"/>
              <w:bottom w:val="single" w:sz="4" w:space="0" w:color="auto"/>
              <w:right w:val="single" w:sz="4" w:space="0" w:color="auto"/>
            </w:tcBorders>
            <w:shd w:val="clear" w:color="auto" w:fill="auto"/>
            <w:noWrap/>
            <w:vAlign w:val="center"/>
            <w:hideMark/>
          </w:tcPr>
          <w:p w14:paraId="21CA9804" w14:textId="77777777" w:rsidR="00A82DA1" w:rsidRPr="00B92499" w:rsidRDefault="00A82DA1" w:rsidP="00A82DA1">
            <w:pPr>
              <w:jc w:val="center"/>
              <w:rPr>
                <w:rFonts w:ascii="Arial" w:hAnsi="Arial" w:cs="Arial"/>
                <w:color w:val="000000"/>
                <w:sz w:val="20"/>
                <w:szCs w:val="20"/>
              </w:rPr>
            </w:pPr>
            <w:r w:rsidRPr="00B92499">
              <w:rPr>
                <w:rFonts w:ascii="Arial" w:hAnsi="Arial" w:cs="Arial"/>
                <w:color w:val="000000"/>
                <w:sz w:val="20"/>
                <w:szCs w:val="20"/>
              </w:rPr>
              <w:t>XXIV</w:t>
            </w:r>
          </w:p>
        </w:tc>
        <w:tc>
          <w:tcPr>
            <w:tcW w:w="6436" w:type="dxa"/>
            <w:tcBorders>
              <w:top w:val="nil"/>
              <w:left w:val="nil"/>
              <w:bottom w:val="single" w:sz="4" w:space="0" w:color="auto"/>
              <w:right w:val="single" w:sz="4" w:space="0" w:color="auto"/>
            </w:tcBorders>
            <w:shd w:val="clear" w:color="auto" w:fill="auto"/>
            <w:noWrap/>
            <w:vAlign w:val="center"/>
            <w:hideMark/>
          </w:tcPr>
          <w:p w14:paraId="74369F9A" w14:textId="145D5BED" w:rsidR="00A82DA1" w:rsidRPr="00B92499" w:rsidRDefault="00A82DA1" w:rsidP="00B671B7">
            <w:pPr>
              <w:jc w:val="both"/>
              <w:rPr>
                <w:rFonts w:ascii="Arial" w:hAnsi="Arial" w:cs="Arial"/>
                <w:color w:val="000000"/>
                <w:sz w:val="20"/>
                <w:szCs w:val="20"/>
              </w:rPr>
            </w:pPr>
            <w:r w:rsidRPr="00B92499">
              <w:rPr>
                <w:rFonts w:ascii="Arial" w:hAnsi="Arial" w:cs="Arial"/>
                <w:color w:val="000000"/>
                <w:sz w:val="20"/>
                <w:szCs w:val="20"/>
              </w:rPr>
              <w:t>El informe de labores presentado ante el Consejo Ciudadano Delegacional</w:t>
            </w:r>
            <w:r w:rsidR="00490622" w:rsidRPr="00B92499">
              <w:rPr>
                <w:rFonts w:ascii="Arial" w:hAnsi="Arial" w:cs="Arial"/>
                <w:color w:val="000000"/>
                <w:sz w:val="20"/>
                <w:szCs w:val="20"/>
              </w:rPr>
              <w:t>.</w:t>
            </w:r>
          </w:p>
        </w:tc>
        <w:tc>
          <w:tcPr>
            <w:tcW w:w="992" w:type="dxa"/>
            <w:tcBorders>
              <w:top w:val="nil"/>
              <w:left w:val="nil"/>
              <w:bottom w:val="single" w:sz="4" w:space="0" w:color="auto"/>
              <w:right w:val="single" w:sz="4" w:space="0" w:color="auto"/>
            </w:tcBorders>
            <w:shd w:val="clear" w:color="auto" w:fill="auto"/>
            <w:noWrap/>
            <w:vAlign w:val="center"/>
            <w:hideMark/>
          </w:tcPr>
          <w:p w14:paraId="6E95C217" w14:textId="77777777" w:rsidR="00A82DA1" w:rsidRPr="00B92499" w:rsidRDefault="00A82DA1" w:rsidP="00A82DA1">
            <w:pPr>
              <w:jc w:val="center"/>
              <w:rPr>
                <w:rFonts w:ascii="Arial" w:hAnsi="Arial" w:cs="Arial"/>
                <w:color w:val="000000"/>
                <w:sz w:val="20"/>
                <w:szCs w:val="20"/>
              </w:rPr>
            </w:pPr>
            <w:r w:rsidRPr="00B92499">
              <w:rPr>
                <w:rFonts w:ascii="Arial" w:hAnsi="Arial" w:cs="Arial"/>
                <w:color w:val="000000"/>
                <w:sz w:val="20"/>
                <w:szCs w:val="20"/>
              </w:rPr>
              <w:t>70.41</w:t>
            </w:r>
          </w:p>
        </w:tc>
      </w:tr>
    </w:tbl>
    <w:p w14:paraId="01670C41" w14:textId="77777777" w:rsidR="00D2376D" w:rsidRPr="00B92499" w:rsidRDefault="00D2376D" w:rsidP="00EB5F64">
      <w:pPr>
        <w:spacing w:before="100" w:beforeAutospacing="1" w:after="100" w:afterAutospacing="1" w:line="360" w:lineRule="auto"/>
        <w:jc w:val="both"/>
        <w:rPr>
          <w:rFonts w:ascii="Arial" w:hAnsi="Arial" w:cs="Arial"/>
        </w:rPr>
      </w:pPr>
    </w:p>
    <w:p w14:paraId="694DCA04" w14:textId="3259D3FD" w:rsidR="00D2376D" w:rsidRPr="00B92499" w:rsidRDefault="00940CBA" w:rsidP="009F64B5">
      <w:pPr>
        <w:pStyle w:val="Ttulo3"/>
        <w:numPr>
          <w:ilvl w:val="2"/>
          <w:numId w:val="11"/>
        </w:numPr>
        <w:contextualSpacing/>
        <w:jc w:val="both"/>
        <w:rPr>
          <w:rFonts w:ascii="Arial" w:hAnsi="Arial" w:cs="Arial"/>
          <w:b/>
          <w:color w:val="auto"/>
        </w:rPr>
      </w:pPr>
      <w:bookmarkStart w:id="35" w:name="_Toc23252991"/>
      <w:r w:rsidRPr="00B92499">
        <w:rPr>
          <w:rFonts w:ascii="Arial" w:hAnsi="Arial" w:cs="Arial"/>
          <w:b/>
          <w:color w:val="auto"/>
        </w:rPr>
        <w:t xml:space="preserve">Análisis del </w:t>
      </w:r>
      <w:r w:rsidR="008F67E4" w:rsidRPr="00B92499">
        <w:rPr>
          <w:rFonts w:ascii="Arial" w:hAnsi="Arial" w:cs="Arial"/>
          <w:b/>
          <w:color w:val="auto"/>
        </w:rPr>
        <w:t>artículo</w:t>
      </w:r>
      <w:r w:rsidRPr="00B92499">
        <w:rPr>
          <w:rFonts w:ascii="Arial" w:hAnsi="Arial" w:cs="Arial"/>
          <w:b/>
          <w:color w:val="auto"/>
        </w:rPr>
        <w:t xml:space="preserve"> 143</w:t>
      </w:r>
      <w:bookmarkEnd w:id="35"/>
    </w:p>
    <w:p w14:paraId="684BF953" w14:textId="3EAD106C" w:rsidR="00AF69FA" w:rsidRPr="00B92499" w:rsidRDefault="00940CBA" w:rsidP="002E7D47">
      <w:pPr>
        <w:spacing w:before="100" w:beforeAutospacing="1" w:after="100" w:afterAutospacing="1" w:line="360" w:lineRule="auto"/>
        <w:contextualSpacing/>
        <w:jc w:val="both"/>
        <w:rPr>
          <w:rFonts w:ascii="Arial" w:hAnsi="Arial" w:cs="Arial"/>
        </w:rPr>
      </w:pPr>
      <w:r w:rsidRPr="00B92499">
        <w:rPr>
          <w:rFonts w:ascii="Arial" w:hAnsi="Arial" w:cs="Arial"/>
        </w:rPr>
        <w:t xml:space="preserve">Los </w:t>
      </w:r>
      <w:r w:rsidR="008710F6" w:rsidRPr="00B92499">
        <w:rPr>
          <w:rFonts w:ascii="Arial" w:hAnsi="Arial" w:cs="Arial"/>
        </w:rPr>
        <w:t>sujeto</w:t>
      </w:r>
      <w:r w:rsidR="00EB5F64" w:rsidRPr="00B92499">
        <w:rPr>
          <w:rFonts w:ascii="Arial" w:hAnsi="Arial" w:cs="Arial"/>
        </w:rPr>
        <w:t xml:space="preserve">s </w:t>
      </w:r>
      <w:r w:rsidR="008710F6" w:rsidRPr="00B92499">
        <w:rPr>
          <w:rFonts w:ascii="Arial" w:hAnsi="Arial" w:cs="Arial"/>
        </w:rPr>
        <w:t>obligado</w:t>
      </w:r>
      <w:r w:rsidR="00EB5F64" w:rsidRPr="00B92499">
        <w:rPr>
          <w:rFonts w:ascii="Arial" w:hAnsi="Arial" w:cs="Arial"/>
        </w:rPr>
        <w:t>s</w:t>
      </w:r>
      <w:r w:rsidRPr="00B92499">
        <w:rPr>
          <w:rFonts w:ascii="Arial" w:hAnsi="Arial" w:cs="Arial"/>
        </w:rPr>
        <w:t xml:space="preserve"> de este </w:t>
      </w:r>
      <w:r w:rsidR="00A64325" w:rsidRPr="00B92499">
        <w:rPr>
          <w:rFonts w:ascii="Arial" w:hAnsi="Arial" w:cs="Arial"/>
        </w:rPr>
        <w:t xml:space="preserve">ámbito </w:t>
      </w:r>
      <w:r w:rsidRPr="00B92499">
        <w:rPr>
          <w:rFonts w:ascii="Arial" w:hAnsi="Arial" w:cs="Arial"/>
        </w:rPr>
        <w:t>alcanzaron</w:t>
      </w:r>
      <w:r w:rsidR="003A57A0" w:rsidRPr="00B92499">
        <w:rPr>
          <w:rFonts w:ascii="Arial" w:hAnsi="Arial" w:cs="Arial"/>
        </w:rPr>
        <w:t xml:space="preserve"> un</w:t>
      </w:r>
      <w:r w:rsidRPr="00B92499">
        <w:rPr>
          <w:rFonts w:ascii="Arial" w:hAnsi="Arial" w:cs="Arial"/>
        </w:rPr>
        <w:t xml:space="preserve"> ICP de </w:t>
      </w:r>
      <w:r w:rsidR="00A82DA1" w:rsidRPr="00B92499">
        <w:rPr>
          <w:rFonts w:ascii="Arial" w:hAnsi="Arial" w:cs="Arial"/>
        </w:rPr>
        <w:t>94.06</w:t>
      </w:r>
      <w:r w:rsidRPr="00B92499">
        <w:rPr>
          <w:rFonts w:ascii="Arial" w:hAnsi="Arial" w:cs="Arial"/>
        </w:rPr>
        <w:t>%; por lo que se encuentra</w:t>
      </w:r>
      <w:r w:rsidR="005A7A81" w:rsidRPr="00B92499">
        <w:rPr>
          <w:rFonts w:ascii="Arial" w:hAnsi="Arial" w:cs="Arial"/>
        </w:rPr>
        <w:t>n</w:t>
      </w:r>
      <w:r w:rsidRPr="00B92499">
        <w:rPr>
          <w:rFonts w:ascii="Arial" w:hAnsi="Arial" w:cs="Arial"/>
        </w:rPr>
        <w:t xml:space="preserve"> dentro del área de cumplimiento parcial. El área de oportunidad que tienen los </w:t>
      </w:r>
      <w:r w:rsidR="008710F6" w:rsidRPr="00B92499">
        <w:rPr>
          <w:rFonts w:ascii="Arial" w:hAnsi="Arial" w:cs="Arial"/>
        </w:rPr>
        <w:t>sujeto</w:t>
      </w:r>
      <w:r w:rsidR="00EB5F64" w:rsidRPr="00B92499">
        <w:rPr>
          <w:rFonts w:ascii="Arial" w:hAnsi="Arial" w:cs="Arial"/>
        </w:rPr>
        <w:t xml:space="preserve">s </w:t>
      </w:r>
      <w:r w:rsidR="008710F6" w:rsidRPr="00B92499">
        <w:rPr>
          <w:rFonts w:ascii="Arial" w:hAnsi="Arial" w:cs="Arial"/>
        </w:rPr>
        <w:t>obligado</w:t>
      </w:r>
      <w:r w:rsidR="00EB5F64" w:rsidRPr="00B92499">
        <w:rPr>
          <w:rFonts w:ascii="Arial" w:hAnsi="Arial" w:cs="Arial"/>
        </w:rPr>
        <w:t>s</w:t>
      </w:r>
      <w:r w:rsidRPr="00B92499">
        <w:rPr>
          <w:rFonts w:ascii="Arial" w:hAnsi="Arial" w:cs="Arial"/>
        </w:rPr>
        <w:t xml:space="preserve"> respecto de este </w:t>
      </w:r>
      <w:r w:rsidR="008F67E4" w:rsidRPr="00B92499">
        <w:rPr>
          <w:rFonts w:ascii="Arial" w:hAnsi="Arial" w:cs="Arial"/>
        </w:rPr>
        <w:t>artículo</w:t>
      </w:r>
      <w:r w:rsidRPr="00B92499">
        <w:rPr>
          <w:rFonts w:ascii="Arial" w:hAnsi="Arial" w:cs="Arial"/>
        </w:rPr>
        <w:t xml:space="preserve"> es actualizar la información conforme </w:t>
      </w:r>
      <w:r w:rsidR="00D2376D" w:rsidRPr="00B92499">
        <w:rPr>
          <w:rFonts w:ascii="Arial" w:hAnsi="Arial" w:cs="Arial"/>
        </w:rPr>
        <w:t>indica la normatividad vigente.</w:t>
      </w:r>
    </w:p>
    <w:p w14:paraId="45A8D83E" w14:textId="48EBDB2D" w:rsidR="00D2376D" w:rsidRPr="00B92499" w:rsidRDefault="00940CBA" w:rsidP="009F64B5">
      <w:pPr>
        <w:pStyle w:val="Ttulo3"/>
        <w:numPr>
          <w:ilvl w:val="2"/>
          <w:numId w:val="11"/>
        </w:numPr>
        <w:contextualSpacing/>
        <w:jc w:val="both"/>
        <w:rPr>
          <w:rFonts w:ascii="Arial" w:hAnsi="Arial" w:cs="Arial"/>
          <w:b/>
          <w:color w:val="auto"/>
        </w:rPr>
      </w:pPr>
      <w:bookmarkStart w:id="36" w:name="_Toc23252992"/>
      <w:r w:rsidRPr="00B92499">
        <w:rPr>
          <w:rFonts w:ascii="Arial" w:hAnsi="Arial" w:cs="Arial"/>
          <w:b/>
          <w:color w:val="auto"/>
        </w:rPr>
        <w:t xml:space="preserve">Análisis del </w:t>
      </w:r>
      <w:r w:rsidR="008F67E4" w:rsidRPr="00B92499">
        <w:rPr>
          <w:rFonts w:ascii="Arial" w:hAnsi="Arial" w:cs="Arial"/>
          <w:b/>
          <w:color w:val="auto"/>
        </w:rPr>
        <w:t>artículo</w:t>
      </w:r>
      <w:r w:rsidRPr="00B92499">
        <w:rPr>
          <w:rFonts w:ascii="Arial" w:hAnsi="Arial" w:cs="Arial"/>
          <w:b/>
          <w:color w:val="auto"/>
        </w:rPr>
        <w:t xml:space="preserve"> 145</w:t>
      </w:r>
      <w:bookmarkEnd w:id="36"/>
    </w:p>
    <w:p w14:paraId="797C9C5C" w14:textId="3516A0AC" w:rsidR="00940CBA" w:rsidRPr="00B92499" w:rsidRDefault="00940CBA" w:rsidP="002E7D47">
      <w:pPr>
        <w:spacing w:before="100" w:beforeAutospacing="1" w:after="100" w:afterAutospacing="1" w:line="360" w:lineRule="auto"/>
        <w:contextualSpacing/>
        <w:jc w:val="both"/>
        <w:rPr>
          <w:rFonts w:ascii="Arial" w:hAnsi="Arial" w:cs="Arial"/>
        </w:rPr>
      </w:pPr>
      <w:r w:rsidRPr="00B92499">
        <w:rPr>
          <w:rFonts w:ascii="Arial" w:hAnsi="Arial" w:cs="Arial"/>
        </w:rPr>
        <w:t xml:space="preserve">Las </w:t>
      </w:r>
      <w:r w:rsidR="00A82DA1" w:rsidRPr="00B92499">
        <w:rPr>
          <w:rFonts w:ascii="Arial" w:hAnsi="Arial" w:cs="Arial"/>
        </w:rPr>
        <w:t xml:space="preserve">Alcaldías </w:t>
      </w:r>
      <w:r w:rsidRPr="00B92499">
        <w:rPr>
          <w:rFonts w:ascii="Arial" w:hAnsi="Arial" w:cs="Arial"/>
        </w:rPr>
        <w:t>obtuvieron un ICP de 9</w:t>
      </w:r>
      <w:r w:rsidR="00A82DA1" w:rsidRPr="00B92499">
        <w:rPr>
          <w:rFonts w:ascii="Arial" w:hAnsi="Arial" w:cs="Arial"/>
        </w:rPr>
        <w:t>9.61</w:t>
      </w:r>
      <w:r w:rsidRPr="00B92499">
        <w:rPr>
          <w:rFonts w:ascii="Arial" w:hAnsi="Arial" w:cs="Arial"/>
        </w:rPr>
        <w:t>%; lo anterior ya que 1</w:t>
      </w:r>
      <w:r w:rsidR="00A82DA1" w:rsidRPr="00B92499">
        <w:rPr>
          <w:rFonts w:ascii="Arial" w:hAnsi="Arial" w:cs="Arial"/>
        </w:rPr>
        <w:t>5</w:t>
      </w:r>
      <w:r w:rsidRPr="00B92499">
        <w:rPr>
          <w:rFonts w:ascii="Arial" w:hAnsi="Arial" w:cs="Arial"/>
        </w:rPr>
        <w:t xml:space="preserve"> </w:t>
      </w:r>
      <w:r w:rsidR="008710F6" w:rsidRPr="00B92499">
        <w:rPr>
          <w:rFonts w:ascii="Arial" w:hAnsi="Arial" w:cs="Arial"/>
        </w:rPr>
        <w:t>sujeto</w:t>
      </w:r>
      <w:r w:rsidR="00EB5F64" w:rsidRPr="00B92499">
        <w:rPr>
          <w:rFonts w:ascii="Arial" w:hAnsi="Arial" w:cs="Arial"/>
        </w:rPr>
        <w:t xml:space="preserve">s </w:t>
      </w:r>
      <w:r w:rsidR="008710F6" w:rsidRPr="00B92499">
        <w:rPr>
          <w:rFonts w:ascii="Arial" w:hAnsi="Arial" w:cs="Arial"/>
        </w:rPr>
        <w:t>obligado</w:t>
      </w:r>
      <w:r w:rsidR="00EB5F64" w:rsidRPr="00B92499">
        <w:rPr>
          <w:rFonts w:ascii="Arial" w:hAnsi="Arial" w:cs="Arial"/>
        </w:rPr>
        <w:t>s</w:t>
      </w:r>
      <w:r w:rsidRPr="00B92499">
        <w:rPr>
          <w:rFonts w:ascii="Arial" w:hAnsi="Arial" w:cs="Arial"/>
        </w:rPr>
        <w:t xml:space="preserve"> cumplieron cabalmente con una señalización fácilmente identificable y accesible que permite a la ciudadanía ingresar al sitio de transparencia. Sin embargo, </w:t>
      </w:r>
      <w:r w:rsidR="00A82DA1" w:rsidRPr="00B92499">
        <w:rPr>
          <w:rFonts w:ascii="Arial" w:hAnsi="Arial" w:cs="Arial"/>
        </w:rPr>
        <w:t>la Alcaldía</w:t>
      </w:r>
      <w:r w:rsidRPr="00B92499">
        <w:rPr>
          <w:rFonts w:ascii="Arial" w:hAnsi="Arial" w:cs="Arial"/>
        </w:rPr>
        <w:t xml:space="preserve"> Xochimilco tuv</w:t>
      </w:r>
      <w:r w:rsidR="00A82DA1" w:rsidRPr="00B92499">
        <w:rPr>
          <w:rFonts w:ascii="Arial" w:hAnsi="Arial" w:cs="Arial"/>
        </w:rPr>
        <w:t xml:space="preserve">o </w:t>
      </w:r>
      <w:r w:rsidRPr="00B92499">
        <w:rPr>
          <w:rFonts w:ascii="Arial" w:hAnsi="Arial" w:cs="Arial"/>
        </w:rPr>
        <w:t>problemas con el acceso a la página de inicio del portal de interne</w:t>
      </w:r>
      <w:r w:rsidR="00A82DA1" w:rsidRPr="00B92499">
        <w:rPr>
          <w:rFonts w:ascii="Arial" w:hAnsi="Arial" w:cs="Arial"/>
        </w:rPr>
        <w:t>t.</w:t>
      </w:r>
    </w:p>
    <w:p w14:paraId="3C876D75" w14:textId="1B44282A" w:rsidR="00D2376D" w:rsidRPr="00B92499" w:rsidRDefault="00940CBA" w:rsidP="009F64B5">
      <w:pPr>
        <w:pStyle w:val="Ttulo3"/>
        <w:numPr>
          <w:ilvl w:val="2"/>
          <w:numId w:val="11"/>
        </w:numPr>
        <w:contextualSpacing/>
        <w:jc w:val="both"/>
        <w:rPr>
          <w:rFonts w:ascii="Arial" w:hAnsi="Arial" w:cs="Arial"/>
          <w:b/>
          <w:color w:val="auto"/>
        </w:rPr>
      </w:pPr>
      <w:bookmarkStart w:id="37" w:name="_Toc23252993"/>
      <w:r w:rsidRPr="00B92499">
        <w:rPr>
          <w:rFonts w:ascii="Arial" w:hAnsi="Arial" w:cs="Arial"/>
          <w:b/>
          <w:color w:val="auto"/>
        </w:rPr>
        <w:t xml:space="preserve">Análisis del </w:t>
      </w:r>
      <w:r w:rsidR="008F67E4" w:rsidRPr="00B92499">
        <w:rPr>
          <w:rFonts w:ascii="Arial" w:hAnsi="Arial" w:cs="Arial"/>
          <w:b/>
          <w:color w:val="auto"/>
        </w:rPr>
        <w:t>artículo</w:t>
      </w:r>
      <w:r w:rsidRPr="00B92499">
        <w:rPr>
          <w:rFonts w:ascii="Arial" w:hAnsi="Arial" w:cs="Arial"/>
          <w:b/>
          <w:color w:val="auto"/>
        </w:rPr>
        <w:t xml:space="preserve"> 146</w:t>
      </w:r>
      <w:bookmarkEnd w:id="37"/>
    </w:p>
    <w:p w14:paraId="327EFB0B" w14:textId="2E13C60B" w:rsidR="00940CBA" w:rsidRPr="00B92499" w:rsidRDefault="00940CBA" w:rsidP="002E7D47">
      <w:pPr>
        <w:spacing w:before="100" w:beforeAutospacing="1" w:after="100" w:afterAutospacing="1" w:line="360" w:lineRule="auto"/>
        <w:contextualSpacing/>
        <w:jc w:val="both"/>
        <w:rPr>
          <w:rFonts w:ascii="Arial" w:hAnsi="Arial" w:cs="Arial"/>
        </w:rPr>
      </w:pPr>
      <w:r w:rsidRPr="00B92499">
        <w:rPr>
          <w:rFonts w:ascii="Arial" w:hAnsi="Arial" w:cs="Arial"/>
        </w:rPr>
        <w:t xml:space="preserve">Este </w:t>
      </w:r>
      <w:r w:rsidR="00A64325" w:rsidRPr="00B92499">
        <w:rPr>
          <w:rFonts w:ascii="Arial" w:hAnsi="Arial" w:cs="Arial"/>
        </w:rPr>
        <w:t xml:space="preserve">ámbito </w:t>
      </w:r>
      <w:r w:rsidRPr="00B92499">
        <w:rPr>
          <w:rFonts w:ascii="Arial" w:hAnsi="Arial" w:cs="Arial"/>
        </w:rPr>
        <w:t xml:space="preserve">obtuvo un ICP de </w:t>
      </w:r>
      <w:r w:rsidR="00A82DA1" w:rsidRPr="00B92499">
        <w:rPr>
          <w:rFonts w:ascii="Arial" w:hAnsi="Arial" w:cs="Arial"/>
        </w:rPr>
        <w:t>92.50</w:t>
      </w:r>
      <w:r w:rsidRPr="00B92499">
        <w:rPr>
          <w:rFonts w:ascii="Arial" w:hAnsi="Arial" w:cs="Arial"/>
        </w:rPr>
        <w:t xml:space="preserve">%; </w:t>
      </w:r>
      <w:r w:rsidR="00A82DA1" w:rsidRPr="00B92499">
        <w:rPr>
          <w:rFonts w:ascii="Arial" w:hAnsi="Arial" w:cs="Arial"/>
        </w:rPr>
        <w:t>debido a que 13 Alcaldías cumplier</w:t>
      </w:r>
      <w:r w:rsidR="005F4EE8" w:rsidRPr="00B92499">
        <w:rPr>
          <w:rFonts w:ascii="Arial" w:hAnsi="Arial" w:cs="Arial"/>
        </w:rPr>
        <w:t>o</w:t>
      </w:r>
      <w:r w:rsidR="00A82DA1" w:rsidRPr="00B92499">
        <w:rPr>
          <w:rFonts w:ascii="Arial" w:hAnsi="Arial" w:cs="Arial"/>
        </w:rPr>
        <w:t>n con la publicación del calendario de artículos</w:t>
      </w:r>
      <w:r w:rsidR="005F4EE8" w:rsidRPr="00B92499">
        <w:rPr>
          <w:rFonts w:ascii="Arial" w:hAnsi="Arial" w:cs="Arial"/>
        </w:rPr>
        <w:t xml:space="preserve"> </w:t>
      </w:r>
      <w:r w:rsidR="00A82DA1" w:rsidRPr="00B92499">
        <w:rPr>
          <w:rFonts w:ascii="Arial" w:hAnsi="Arial" w:cs="Arial"/>
        </w:rPr>
        <w:t xml:space="preserve">y fracciones que les son aplicables al </w:t>
      </w:r>
      <w:r w:rsidR="008710F6" w:rsidRPr="00B92499">
        <w:rPr>
          <w:rFonts w:ascii="Arial" w:hAnsi="Arial" w:cs="Arial"/>
        </w:rPr>
        <w:t>sujeto obligado</w:t>
      </w:r>
      <w:r w:rsidR="00A82DA1" w:rsidRPr="00B92499">
        <w:rPr>
          <w:rFonts w:ascii="Arial" w:hAnsi="Arial" w:cs="Arial"/>
        </w:rPr>
        <w:t xml:space="preserve"> y el periodo de actualización de cada uno. Las Alcaldías </w:t>
      </w:r>
      <w:r w:rsidR="005F4EE8" w:rsidRPr="00B92499">
        <w:rPr>
          <w:rFonts w:ascii="Arial" w:hAnsi="Arial" w:cs="Arial"/>
        </w:rPr>
        <w:t>Azcapotzalco</w:t>
      </w:r>
      <w:r w:rsidR="00A82DA1" w:rsidRPr="00B92499">
        <w:rPr>
          <w:rFonts w:ascii="Arial" w:hAnsi="Arial" w:cs="Arial"/>
        </w:rPr>
        <w:t xml:space="preserve"> y Xochimilco </w:t>
      </w:r>
      <w:r w:rsidR="005F4EE8" w:rsidRPr="00B92499">
        <w:rPr>
          <w:rFonts w:ascii="Arial" w:hAnsi="Arial" w:cs="Arial"/>
        </w:rPr>
        <w:t>tuvieron</w:t>
      </w:r>
      <w:r w:rsidR="00A82DA1" w:rsidRPr="00B92499">
        <w:rPr>
          <w:rFonts w:ascii="Arial" w:hAnsi="Arial" w:cs="Arial"/>
        </w:rPr>
        <w:t xml:space="preserve"> observaciones de coherencia y congruencia respecto de la información y publica</w:t>
      </w:r>
      <w:r w:rsidR="00490622" w:rsidRPr="00B92499">
        <w:rPr>
          <w:rFonts w:ascii="Arial" w:hAnsi="Arial" w:cs="Arial"/>
        </w:rPr>
        <w:t>ción</w:t>
      </w:r>
      <w:r w:rsidR="00A82DA1" w:rsidRPr="00B92499">
        <w:rPr>
          <w:rFonts w:ascii="Arial" w:hAnsi="Arial" w:cs="Arial"/>
        </w:rPr>
        <w:t xml:space="preserve"> y la Alcaldía Álvaro Obregón no publicó su calendario. </w:t>
      </w:r>
    </w:p>
    <w:p w14:paraId="4C71B128" w14:textId="20C58C6E" w:rsidR="00D2376D" w:rsidRPr="00B92499" w:rsidRDefault="00940CBA" w:rsidP="009F64B5">
      <w:pPr>
        <w:pStyle w:val="Ttulo3"/>
        <w:numPr>
          <w:ilvl w:val="2"/>
          <w:numId w:val="11"/>
        </w:numPr>
        <w:contextualSpacing/>
        <w:jc w:val="both"/>
        <w:rPr>
          <w:rFonts w:ascii="Arial" w:hAnsi="Arial" w:cs="Arial"/>
          <w:b/>
          <w:color w:val="auto"/>
        </w:rPr>
      </w:pPr>
      <w:bookmarkStart w:id="38" w:name="_Toc23252994"/>
      <w:r w:rsidRPr="00B92499">
        <w:rPr>
          <w:rFonts w:ascii="Arial" w:hAnsi="Arial" w:cs="Arial"/>
          <w:b/>
          <w:color w:val="auto"/>
        </w:rPr>
        <w:t xml:space="preserve">Análisis del </w:t>
      </w:r>
      <w:r w:rsidR="008F67E4" w:rsidRPr="00B92499">
        <w:rPr>
          <w:rFonts w:ascii="Arial" w:hAnsi="Arial" w:cs="Arial"/>
          <w:b/>
          <w:color w:val="auto"/>
        </w:rPr>
        <w:t>artículo</w:t>
      </w:r>
      <w:r w:rsidRPr="00B92499">
        <w:rPr>
          <w:rFonts w:ascii="Arial" w:hAnsi="Arial" w:cs="Arial"/>
          <w:b/>
          <w:color w:val="auto"/>
        </w:rPr>
        <w:t xml:space="preserve"> 147</w:t>
      </w:r>
      <w:bookmarkEnd w:id="38"/>
      <w:r w:rsidRPr="00B92499">
        <w:rPr>
          <w:rFonts w:ascii="Arial" w:hAnsi="Arial" w:cs="Arial"/>
          <w:b/>
          <w:color w:val="auto"/>
        </w:rPr>
        <w:t xml:space="preserve"> </w:t>
      </w:r>
    </w:p>
    <w:p w14:paraId="40A63568" w14:textId="6C2D81C6" w:rsidR="00AF69FA" w:rsidRPr="00B92499" w:rsidRDefault="00940CBA" w:rsidP="002E7D47">
      <w:pPr>
        <w:spacing w:before="100" w:beforeAutospacing="1" w:after="100" w:afterAutospacing="1" w:line="360" w:lineRule="auto"/>
        <w:contextualSpacing/>
        <w:jc w:val="both"/>
        <w:rPr>
          <w:rFonts w:ascii="Arial" w:eastAsiaTheme="majorEastAsia" w:hAnsi="Arial" w:cs="Arial"/>
          <w:b/>
        </w:rPr>
      </w:pPr>
      <w:r w:rsidRPr="00B92499">
        <w:rPr>
          <w:rFonts w:ascii="Arial" w:hAnsi="Arial" w:cs="Arial"/>
        </w:rPr>
        <w:t xml:space="preserve">Por último, las delegaciones obtuvieron un ICP de </w:t>
      </w:r>
      <w:r w:rsidR="00A82DA1" w:rsidRPr="00B92499">
        <w:rPr>
          <w:rFonts w:ascii="Arial" w:hAnsi="Arial" w:cs="Arial"/>
        </w:rPr>
        <w:t>77.79</w:t>
      </w:r>
      <w:r w:rsidRPr="00B92499">
        <w:rPr>
          <w:rFonts w:ascii="Arial" w:hAnsi="Arial" w:cs="Arial"/>
        </w:rPr>
        <w:t xml:space="preserve">%; debido a que </w:t>
      </w:r>
      <w:r w:rsidR="000D67A7" w:rsidRPr="00B92499">
        <w:rPr>
          <w:rFonts w:ascii="Arial" w:hAnsi="Arial" w:cs="Arial"/>
        </w:rPr>
        <w:t xml:space="preserve"> 8 </w:t>
      </w:r>
      <w:r w:rsidRPr="00B92499">
        <w:rPr>
          <w:rFonts w:ascii="Arial" w:hAnsi="Arial" w:cs="Arial"/>
        </w:rPr>
        <w:t xml:space="preserve"> </w:t>
      </w:r>
      <w:r w:rsidR="008710F6" w:rsidRPr="00B92499">
        <w:rPr>
          <w:rFonts w:ascii="Arial" w:hAnsi="Arial" w:cs="Arial"/>
        </w:rPr>
        <w:t>sujeto</w:t>
      </w:r>
      <w:r w:rsidR="00EB5F64" w:rsidRPr="00B92499">
        <w:rPr>
          <w:rFonts w:ascii="Arial" w:hAnsi="Arial" w:cs="Arial"/>
        </w:rPr>
        <w:t xml:space="preserve">s </w:t>
      </w:r>
      <w:r w:rsidR="008710F6" w:rsidRPr="00B92499">
        <w:rPr>
          <w:rFonts w:ascii="Arial" w:hAnsi="Arial" w:cs="Arial"/>
        </w:rPr>
        <w:t>obligado</w:t>
      </w:r>
      <w:r w:rsidR="00EB5F64" w:rsidRPr="00B92499">
        <w:rPr>
          <w:rFonts w:ascii="Arial" w:hAnsi="Arial" w:cs="Arial"/>
        </w:rPr>
        <w:t>s</w:t>
      </w:r>
      <w:r w:rsidRPr="00B92499">
        <w:rPr>
          <w:rFonts w:ascii="Arial" w:hAnsi="Arial" w:cs="Arial"/>
        </w:rPr>
        <w:t xml:space="preserve"> tuvieron un cumplimiento total,</w:t>
      </w:r>
      <w:r w:rsidR="000D67A7" w:rsidRPr="00B92499">
        <w:rPr>
          <w:rFonts w:ascii="Arial" w:hAnsi="Arial" w:cs="Arial"/>
        </w:rPr>
        <w:t xml:space="preserve"> 4 </w:t>
      </w:r>
      <w:r w:rsidR="00A82DA1" w:rsidRPr="00B92499">
        <w:rPr>
          <w:rFonts w:ascii="Arial" w:hAnsi="Arial" w:cs="Arial"/>
        </w:rPr>
        <w:t xml:space="preserve">un </w:t>
      </w:r>
      <w:r w:rsidRPr="00B92499">
        <w:rPr>
          <w:rFonts w:ascii="Arial" w:hAnsi="Arial" w:cs="Arial"/>
        </w:rPr>
        <w:t>cumplimien</w:t>
      </w:r>
      <w:r w:rsidR="00A82DA1" w:rsidRPr="00B92499">
        <w:rPr>
          <w:rFonts w:ascii="Arial" w:hAnsi="Arial" w:cs="Arial"/>
        </w:rPr>
        <w:t xml:space="preserve">to </w:t>
      </w:r>
      <w:r w:rsidRPr="00B92499">
        <w:rPr>
          <w:rFonts w:ascii="Arial" w:hAnsi="Arial" w:cs="Arial"/>
        </w:rPr>
        <w:t>parcial y</w:t>
      </w:r>
      <w:r w:rsidR="000D67A7" w:rsidRPr="00B92499">
        <w:rPr>
          <w:rFonts w:ascii="Arial" w:hAnsi="Arial" w:cs="Arial"/>
        </w:rPr>
        <w:t xml:space="preserve"> 3 </w:t>
      </w:r>
      <w:r w:rsidR="004C7C14" w:rsidRPr="00B92499">
        <w:rPr>
          <w:rFonts w:ascii="Arial" w:hAnsi="Arial" w:cs="Arial"/>
        </w:rPr>
        <w:t xml:space="preserve">un </w:t>
      </w:r>
      <w:r w:rsidRPr="00B92499">
        <w:rPr>
          <w:rFonts w:ascii="Arial" w:hAnsi="Arial" w:cs="Arial"/>
        </w:rPr>
        <w:t xml:space="preserve">incumplimiento parcial y la </w:t>
      </w:r>
      <w:r w:rsidR="00D2376D" w:rsidRPr="00B92499">
        <w:rPr>
          <w:rFonts w:ascii="Arial" w:hAnsi="Arial" w:cs="Arial"/>
        </w:rPr>
        <w:t>Demarcación Política</w:t>
      </w:r>
      <w:r w:rsidRPr="00B92499">
        <w:rPr>
          <w:rFonts w:ascii="Arial" w:hAnsi="Arial" w:cs="Arial"/>
        </w:rPr>
        <w:t xml:space="preserve"> </w:t>
      </w:r>
      <w:r w:rsidR="00A82DA1" w:rsidRPr="00B92499">
        <w:rPr>
          <w:rFonts w:ascii="Arial" w:hAnsi="Arial" w:cs="Arial"/>
        </w:rPr>
        <w:t>Benito Juárez</w:t>
      </w:r>
      <w:r w:rsidRPr="00B92499">
        <w:rPr>
          <w:rFonts w:ascii="Arial" w:hAnsi="Arial" w:cs="Arial"/>
        </w:rPr>
        <w:t xml:space="preserve"> incumplió totalmente. Los </w:t>
      </w:r>
      <w:r w:rsidR="008710F6" w:rsidRPr="00B92499">
        <w:rPr>
          <w:rFonts w:ascii="Arial" w:hAnsi="Arial" w:cs="Arial"/>
        </w:rPr>
        <w:t>sujeto</w:t>
      </w:r>
      <w:r w:rsidRPr="00B92499">
        <w:rPr>
          <w:rFonts w:ascii="Arial" w:hAnsi="Arial" w:cs="Arial"/>
        </w:rPr>
        <w:t xml:space="preserve">s deberán actualizar la información conforme indica la normatividad vigente, así como verificar el acceso a los hipervínculos. Por otra parte, se recomienda revisar esta fracción en la Tabla de Aplicabilidad ya que ésta les aplica a todas; se deberá estudiar el caso y publicar la información solicitada o </w:t>
      </w:r>
      <w:r w:rsidRPr="00B92499">
        <w:rPr>
          <w:rFonts w:ascii="Arial" w:hAnsi="Arial" w:cs="Arial"/>
        </w:rPr>
        <w:lastRenderedPageBreak/>
        <w:t>transcribir la leyenda “no se generó información” con su debida motivación y fundamentación.</w:t>
      </w:r>
      <w:r w:rsidR="00AF69FA" w:rsidRPr="00B92499">
        <w:rPr>
          <w:rFonts w:ascii="Arial" w:hAnsi="Arial" w:cs="Arial"/>
          <w:b/>
        </w:rPr>
        <w:br w:type="page"/>
      </w:r>
    </w:p>
    <w:p w14:paraId="435BA382" w14:textId="77777777" w:rsidR="00797777" w:rsidRPr="00B92499" w:rsidRDefault="00AF69FA" w:rsidP="009F64B5">
      <w:pPr>
        <w:pStyle w:val="Ttulo1"/>
        <w:numPr>
          <w:ilvl w:val="0"/>
          <w:numId w:val="5"/>
        </w:numPr>
        <w:contextualSpacing/>
        <w:rPr>
          <w:rFonts w:ascii="Arial" w:hAnsi="Arial" w:cs="Arial"/>
          <w:b/>
          <w:color w:val="auto"/>
          <w:sz w:val="24"/>
          <w:szCs w:val="24"/>
        </w:rPr>
      </w:pPr>
      <w:bookmarkStart w:id="39" w:name="_Toc23252995"/>
      <w:r w:rsidRPr="00B92499">
        <w:rPr>
          <w:rFonts w:ascii="Arial" w:hAnsi="Arial" w:cs="Arial"/>
          <w:b/>
          <w:color w:val="auto"/>
          <w:sz w:val="24"/>
          <w:szCs w:val="24"/>
        </w:rPr>
        <w:lastRenderedPageBreak/>
        <w:t>PODER LEGISLATIVO</w:t>
      </w:r>
      <w:bookmarkEnd w:id="39"/>
      <w:r w:rsidRPr="00B92499">
        <w:rPr>
          <w:rFonts w:ascii="Arial" w:hAnsi="Arial" w:cs="Arial"/>
          <w:b/>
          <w:color w:val="auto"/>
          <w:sz w:val="24"/>
          <w:szCs w:val="24"/>
        </w:rPr>
        <w:t xml:space="preserve"> </w:t>
      </w:r>
    </w:p>
    <w:p w14:paraId="3C88F571" w14:textId="1E167CCF" w:rsidR="00323ABF" w:rsidRPr="00B92499" w:rsidRDefault="00323ABF" w:rsidP="00323ABF">
      <w:pPr>
        <w:spacing w:before="100" w:beforeAutospacing="1" w:after="100" w:afterAutospacing="1" w:line="360" w:lineRule="auto"/>
        <w:contextualSpacing/>
        <w:jc w:val="both"/>
        <w:rPr>
          <w:rFonts w:ascii="Arial" w:hAnsi="Arial" w:cs="Arial"/>
        </w:rPr>
      </w:pPr>
      <w:r w:rsidRPr="00B92499">
        <w:rPr>
          <w:rFonts w:ascii="Arial" w:hAnsi="Arial" w:cs="Arial"/>
        </w:rPr>
        <w:t xml:space="preserve">El ámbito del Poder Legislativo está conformado por </w:t>
      </w:r>
      <w:r w:rsidR="000D67A7" w:rsidRPr="00B92499">
        <w:rPr>
          <w:rFonts w:ascii="Arial" w:hAnsi="Arial" w:cs="Arial"/>
        </w:rPr>
        <w:t>2</w:t>
      </w:r>
      <w:r w:rsidRPr="00B92499">
        <w:rPr>
          <w:rFonts w:ascii="Arial" w:hAnsi="Arial" w:cs="Arial"/>
        </w:rPr>
        <w:t xml:space="preserve"> </w:t>
      </w:r>
      <w:r w:rsidR="008710F6" w:rsidRPr="00B92499">
        <w:rPr>
          <w:rFonts w:ascii="Arial" w:hAnsi="Arial" w:cs="Arial"/>
        </w:rPr>
        <w:t>sujeto</w:t>
      </w:r>
      <w:r w:rsidRPr="00B92499">
        <w:rPr>
          <w:rFonts w:ascii="Arial" w:hAnsi="Arial" w:cs="Arial"/>
        </w:rPr>
        <w:t xml:space="preserve">s </w:t>
      </w:r>
      <w:r w:rsidR="008710F6" w:rsidRPr="00B92499">
        <w:rPr>
          <w:rFonts w:ascii="Arial" w:hAnsi="Arial" w:cs="Arial"/>
        </w:rPr>
        <w:t>obligado</w:t>
      </w:r>
      <w:r w:rsidRPr="00B92499">
        <w:rPr>
          <w:rFonts w:ascii="Arial" w:hAnsi="Arial" w:cs="Arial"/>
        </w:rPr>
        <w:t xml:space="preserve">s, de conformidad con el Padrón de </w:t>
      </w:r>
      <w:r w:rsidR="008710F6" w:rsidRPr="00B92499">
        <w:rPr>
          <w:rFonts w:ascii="Arial" w:hAnsi="Arial" w:cs="Arial"/>
        </w:rPr>
        <w:t>sujeto</w:t>
      </w:r>
      <w:r w:rsidRPr="00B92499">
        <w:rPr>
          <w:rFonts w:ascii="Arial" w:hAnsi="Arial" w:cs="Arial"/>
        </w:rPr>
        <w:t xml:space="preserve">s </w:t>
      </w:r>
      <w:r w:rsidR="008710F6" w:rsidRPr="00B92499">
        <w:rPr>
          <w:rFonts w:ascii="Arial" w:hAnsi="Arial" w:cs="Arial"/>
        </w:rPr>
        <w:t>obligado</w:t>
      </w:r>
      <w:r w:rsidRPr="00B92499">
        <w:rPr>
          <w:rFonts w:ascii="Arial" w:hAnsi="Arial" w:cs="Arial"/>
        </w:rPr>
        <w:t>s supeditados al cumplimiento de la Ley de Transparencia, Acceso a la Información Pública y Rendición de Cuentas de la Ciudad de México</w:t>
      </w:r>
      <w:r w:rsidRPr="00B92499" w:rsidDel="005B5D1B">
        <w:rPr>
          <w:rFonts w:ascii="Arial" w:hAnsi="Arial" w:cs="Arial"/>
        </w:rPr>
        <w:t xml:space="preserve"> </w:t>
      </w:r>
      <w:r w:rsidRPr="00B92499">
        <w:rPr>
          <w:rFonts w:ascii="Arial" w:hAnsi="Arial" w:cs="Arial"/>
        </w:rPr>
        <w:t xml:space="preserve">y de la Ley de Protección de Datos Personales en Posesión de los </w:t>
      </w:r>
      <w:r w:rsidR="008710F6" w:rsidRPr="00B92499">
        <w:rPr>
          <w:rFonts w:ascii="Arial" w:hAnsi="Arial" w:cs="Arial"/>
        </w:rPr>
        <w:t>sujeto</w:t>
      </w:r>
      <w:r w:rsidRPr="00B92499">
        <w:rPr>
          <w:rFonts w:ascii="Arial" w:hAnsi="Arial" w:cs="Arial"/>
        </w:rPr>
        <w:t xml:space="preserve">s </w:t>
      </w:r>
      <w:r w:rsidR="008710F6" w:rsidRPr="00B92499">
        <w:rPr>
          <w:rFonts w:ascii="Arial" w:hAnsi="Arial" w:cs="Arial"/>
        </w:rPr>
        <w:t>obligado</w:t>
      </w:r>
      <w:r w:rsidRPr="00B92499">
        <w:rPr>
          <w:rFonts w:ascii="Arial" w:hAnsi="Arial" w:cs="Arial"/>
        </w:rPr>
        <w:t xml:space="preserve">s de la Ciudad de México vigente. No obstante, en este apartado únicamente se analizará al Congreso de la Ciudad de México por haber sido incorporado recientemente al Padrón de </w:t>
      </w:r>
      <w:r w:rsidR="008710F6" w:rsidRPr="00B92499">
        <w:rPr>
          <w:rFonts w:ascii="Arial" w:hAnsi="Arial" w:cs="Arial"/>
        </w:rPr>
        <w:t>sujeto</w:t>
      </w:r>
      <w:r w:rsidRPr="00B92499">
        <w:rPr>
          <w:rFonts w:ascii="Arial" w:hAnsi="Arial" w:cs="Arial"/>
        </w:rPr>
        <w:t xml:space="preserve">s </w:t>
      </w:r>
      <w:r w:rsidR="008710F6" w:rsidRPr="00B92499">
        <w:rPr>
          <w:rFonts w:ascii="Arial" w:hAnsi="Arial" w:cs="Arial"/>
        </w:rPr>
        <w:t>obligado</w:t>
      </w:r>
      <w:r w:rsidRPr="00B92499">
        <w:rPr>
          <w:rFonts w:ascii="Arial" w:hAnsi="Arial" w:cs="Arial"/>
        </w:rPr>
        <w:t xml:space="preserve">s vigentes. </w:t>
      </w:r>
    </w:p>
    <w:p w14:paraId="6D3CBEB9" w14:textId="77777777" w:rsidR="00323ABF" w:rsidRPr="00B92499" w:rsidRDefault="00323ABF" w:rsidP="00323ABF">
      <w:pPr>
        <w:spacing w:before="100" w:beforeAutospacing="1" w:after="100" w:afterAutospacing="1" w:line="360" w:lineRule="auto"/>
        <w:contextualSpacing/>
        <w:jc w:val="both"/>
        <w:rPr>
          <w:rFonts w:ascii="Arial" w:hAnsi="Arial" w:cs="Arial"/>
        </w:rPr>
      </w:pPr>
    </w:p>
    <w:p w14:paraId="4E6DB4C5" w14:textId="0086F138" w:rsidR="00323ABF" w:rsidRPr="00B92499" w:rsidRDefault="00323ABF" w:rsidP="00323ABF">
      <w:pPr>
        <w:spacing w:before="100" w:beforeAutospacing="1" w:after="100" w:afterAutospacing="1" w:line="360" w:lineRule="auto"/>
        <w:contextualSpacing/>
        <w:jc w:val="both"/>
        <w:rPr>
          <w:rFonts w:ascii="Arial" w:hAnsi="Arial" w:cs="Arial"/>
        </w:rPr>
      </w:pPr>
      <w:r w:rsidRPr="00B92499">
        <w:rPr>
          <w:rFonts w:ascii="Arial" w:hAnsi="Arial" w:cs="Arial"/>
        </w:rPr>
        <w:t xml:space="preserve">El </w:t>
      </w:r>
      <w:r w:rsidR="008710F6" w:rsidRPr="00B92499">
        <w:rPr>
          <w:rFonts w:ascii="Arial" w:hAnsi="Arial" w:cs="Arial"/>
        </w:rPr>
        <w:t>sujeto obligado</w:t>
      </w:r>
      <w:r w:rsidRPr="00B92499">
        <w:rPr>
          <w:rFonts w:ascii="Arial" w:hAnsi="Arial" w:cs="Arial"/>
        </w:rPr>
        <w:t xml:space="preserve">, así como su Índice de Cumplimiento de </w:t>
      </w:r>
      <w:r w:rsidR="008710F6" w:rsidRPr="00B92499">
        <w:rPr>
          <w:rFonts w:ascii="Arial" w:hAnsi="Arial" w:cs="Arial"/>
        </w:rPr>
        <w:t>obligaciones de transparencia</w:t>
      </w:r>
      <w:r w:rsidRPr="00B92499">
        <w:rPr>
          <w:rFonts w:ascii="Arial" w:hAnsi="Arial" w:cs="Arial"/>
        </w:rPr>
        <w:t xml:space="preserve"> del Portal de Internet (ICOT-PT), el de la Plataforma Nacional de Transparencia (ICOT-PNT) y el Índice General de Cumplimiento de </w:t>
      </w:r>
      <w:r w:rsidR="008710F6" w:rsidRPr="00B92499">
        <w:rPr>
          <w:rFonts w:ascii="Arial" w:hAnsi="Arial" w:cs="Arial"/>
        </w:rPr>
        <w:t>obligaciones de transparencia</w:t>
      </w:r>
      <w:r w:rsidRPr="00B92499">
        <w:rPr>
          <w:rFonts w:ascii="Arial" w:hAnsi="Arial" w:cs="Arial"/>
        </w:rPr>
        <w:t xml:space="preserve"> (IGOT) se presentan en la siguiente tabla, ordenados de forma descendente, respecto del IGOT: </w:t>
      </w:r>
    </w:p>
    <w:p w14:paraId="61BCC341" w14:textId="77777777" w:rsidR="00323ABF" w:rsidRPr="00B92499" w:rsidRDefault="00323ABF" w:rsidP="00323ABF">
      <w:pPr>
        <w:spacing w:before="100" w:beforeAutospacing="1" w:after="100" w:afterAutospacing="1" w:line="360" w:lineRule="auto"/>
        <w:contextualSpacing/>
        <w:jc w:val="both"/>
        <w:rPr>
          <w:rFonts w:ascii="Arial" w:hAnsi="Arial" w:cs="Arial"/>
        </w:rPr>
      </w:pPr>
    </w:p>
    <w:tbl>
      <w:tblPr>
        <w:tblW w:w="9375" w:type="dxa"/>
        <w:tblLayout w:type="fixed"/>
        <w:tblCellMar>
          <w:left w:w="70" w:type="dxa"/>
          <w:right w:w="70" w:type="dxa"/>
        </w:tblCellMar>
        <w:tblLook w:val="04A0" w:firstRow="1" w:lastRow="0" w:firstColumn="1" w:lastColumn="0" w:noHBand="0" w:noVBand="1"/>
      </w:tblPr>
      <w:tblGrid>
        <w:gridCol w:w="421"/>
        <w:gridCol w:w="1304"/>
        <w:gridCol w:w="850"/>
        <w:gridCol w:w="850"/>
        <w:gridCol w:w="850"/>
        <w:gridCol w:w="850"/>
        <w:gridCol w:w="850"/>
        <w:gridCol w:w="850"/>
        <w:gridCol w:w="850"/>
        <w:gridCol w:w="850"/>
        <w:gridCol w:w="850"/>
      </w:tblGrid>
      <w:tr w:rsidR="00323ABF" w:rsidRPr="00B92499" w14:paraId="6558EDBF" w14:textId="77777777" w:rsidTr="00EE3F6D">
        <w:trPr>
          <w:trHeight w:val="217"/>
          <w:tblHeader/>
        </w:trPr>
        <w:tc>
          <w:tcPr>
            <w:tcW w:w="9375" w:type="dxa"/>
            <w:gridSpan w:val="11"/>
            <w:tcBorders>
              <w:top w:val="single" w:sz="4" w:space="0" w:color="auto"/>
              <w:left w:val="single" w:sz="4" w:space="0" w:color="auto"/>
              <w:bottom w:val="single" w:sz="4" w:space="0" w:color="auto"/>
              <w:right w:val="single" w:sz="4" w:space="0" w:color="auto"/>
            </w:tcBorders>
            <w:shd w:val="clear" w:color="auto" w:fill="00B0F0"/>
            <w:noWrap/>
            <w:vAlign w:val="center"/>
          </w:tcPr>
          <w:p w14:paraId="219B7EB7" w14:textId="77777777" w:rsidR="00323ABF" w:rsidRPr="00B92499" w:rsidRDefault="00323ABF" w:rsidP="00EE3F6D">
            <w:pPr>
              <w:jc w:val="center"/>
              <w:rPr>
                <w:rFonts w:ascii="Arial" w:hAnsi="Arial" w:cs="Arial"/>
                <w:b/>
                <w:bCs/>
                <w:color w:val="000000"/>
                <w:sz w:val="16"/>
                <w:szCs w:val="16"/>
              </w:rPr>
            </w:pPr>
            <w:r w:rsidRPr="00B92499">
              <w:rPr>
                <w:rFonts w:ascii="Arial" w:hAnsi="Arial" w:cs="Arial"/>
                <w:b/>
                <w:bCs/>
                <w:color w:val="000000"/>
                <w:sz w:val="16"/>
                <w:szCs w:val="16"/>
              </w:rPr>
              <w:t>Resultados de la Segunda Evaluación Vinculante 2019, respecto del primer semestre del año 2019</w:t>
            </w:r>
          </w:p>
        </w:tc>
      </w:tr>
      <w:tr w:rsidR="00323ABF" w:rsidRPr="00B92499" w14:paraId="24638BED" w14:textId="77777777" w:rsidTr="00EE3F6D">
        <w:trPr>
          <w:trHeight w:val="217"/>
          <w:tblHeader/>
        </w:trPr>
        <w:tc>
          <w:tcPr>
            <w:tcW w:w="421" w:type="dxa"/>
            <w:tcBorders>
              <w:top w:val="single" w:sz="4" w:space="0" w:color="auto"/>
              <w:left w:val="single" w:sz="4" w:space="0" w:color="auto"/>
              <w:bottom w:val="single" w:sz="4" w:space="0" w:color="auto"/>
              <w:right w:val="single" w:sz="4" w:space="0" w:color="auto"/>
            </w:tcBorders>
            <w:shd w:val="clear" w:color="auto" w:fill="00B0F0"/>
            <w:noWrap/>
            <w:vAlign w:val="center"/>
            <w:hideMark/>
          </w:tcPr>
          <w:p w14:paraId="1FA5AC3A" w14:textId="77777777" w:rsidR="00323ABF" w:rsidRPr="00B92499" w:rsidRDefault="00323ABF" w:rsidP="00EE3F6D">
            <w:pPr>
              <w:jc w:val="center"/>
              <w:rPr>
                <w:rFonts w:ascii="Arial" w:hAnsi="Arial" w:cs="Arial"/>
                <w:b/>
                <w:bCs/>
                <w:color w:val="000000"/>
                <w:sz w:val="16"/>
                <w:szCs w:val="16"/>
              </w:rPr>
            </w:pPr>
            <w:r w:rsidRPr="00B92499">
              <w:rPr>
                <w:rFonts w:ascii="Arial" w:hAnsi="Arial" w:cs="Arial"/>
                <w:b/>
                <w:bCs/>
                <w:color w:val="000000"/>
                <w:sz w:val="16"/>
                <w:szCs w:val="16"/>
              </w:rPr>
              <w:t>No.</w:t>
            </w:r>
          </w:p>
        </w:tc>
        <w:tc>
          <w:tcPr>
            <w:tcW w:w="1304" w:type="dxa"/>
            <w:tcBorders>
              <w:top w:val="single" w:sz="4" w:space="0" w:color="auto"/>
              <w:left w:val="nil"/>
              <w:bottom w:val="single" w:sz="4" w:space="0" w:color="auto"/>
              <w:right w:val="single" w:sz="4" w:space="0" w:color="auto"/>
            </w:tcBorders>
            <w:shd w:val="clear" w:color="auto" w:fill="00B0F0"/>
            <w:vAlign w:val="center"/>
            <w:hideMark/>
          </w:tcPr>
          <w:p w14:paraId="31CCFFDE" w14:textId="110D88DC" w:rsidR="00323ABF" w:rsidRPr="00B92499" w:rsidRDefault="00323ABF" w:rsidP="00EE3F6D">
            <w:pPr>
              <w:jc w:val="center"/>
              <w:rPr>
                <w:rFonts w:ascii="Arial" w:hAnsi="Arial" w:cs="Arial"/>
                <w:b/>
                <w:bCs/>
                <w:color w:val="000000"/>
                <w:sz w:val="16"/>
                <w:szCs w:val="16"/>
              </w:rPr>
            </w:pPr>
            <w:r w:rsidRPr="00B92499">
              <w:rPr>
                <w:rFonts w:ascii="Arial" w:hAnsi="Arial" w:cs="Arial"/>
                <w:b/>
                <w:bCs/>
                <w:color w:val="000000"/>
                <w:sz w:val="16"/>
                <w:szCs w:val="16"/>
              </w:rPr>
              <w:t xml:space="preserve">Denominación del </w:t>
            </w:r>
            <w:r w:rsidR="008710F6" w:rsidRPr="00B92499">
              <w:rPr>
                <w:rFonts w:ascii="Arial" w:hAnsi="Arial" w:cs="Arial"/>
                <w:b/>
                <w:bCs/>
                <w:color w:val="000000"/>
                <w:sz w:val="16"/>
                <w:szCs w:val="16"/>
              </w:rPr>
              <w:t>sujeto obligado</w:t>
            </w:r>
          </w:p>
        </w:tc>
        <w:tc>
          <w:tcPr>
            <w:tcW w:w="850" w:type="dxa"/>
            <w:tcBorders>
              <w:top w:val="single" w:sz="4" w:space="0" w:color="auto"/>
              <w:left w:val="nil"/>
              <w:bottom w:val="single" w:sz="4" w:space="0" w:color="auto"/>
              <w:right w:val="single" w:sz="4" w:space="0" w:color="auto"/>
            </w:tcBorders>
            <w:shd w:val="clear" w:color="auto" w:fill="00B0F0"/>
            <w:vAlign w:val="center"/>
            <w:hideMark/>
          </w:tcPr>
          <w:p w14:paraId="2080B67A" w14:textId="77777777" w:rsidR="00323ABF" w:rsidRPr="00B92499" w:rsidRDefault="00323ABF" w:rsidP="00EE3F6D">
            <w:pPr>
              <w:jc w:val="center"/>
              <w:rPr>
                <w:rFonts w:ascii="Arial" w:hAnsi="Arial" w:cs="Arial"/>
                <w:b/>
                <w:bCs/>
                <w:color w:val="000000"/>
                <w:sz w:val="16"/>
                <w:szCs w:val="16"/>
              </w:rPr>
            </w:pPr>
            <w:r w:rsidRPr="00B92499">
              <w:rPr>
                <w:rFonts w:ascii="Arial" w:hAnsi="Arial" w:cs="Arial"/>
                <w:b/>
                <w:bCs/>
                <w:color w:val="000000"/>
                <w:sz w:val="16"/>
                <w:szCs w:val="16"/>
              </w:rPr>
              <w:t>%Inf PT</w:t>
            </w:r>
          </w:p>
        </w:tc>
        <w:tc>
          <w:tcPr>
            <w:tcW w:w="850" w:type="dxa"/>
            <w:tcBorders>
              <w:top w:val="single" w:sz="4" w:space="0" w:color="auto"/>
              <w:left w:val="nil"/>
              <w:bottom w:val="single" w:sz="4" w:space="0" w:color="auto"/>
              <w:right w:val="single" w:sz="4" w:space="0" w:color="auto"/>
            </w:tcBorders>
            <w:shd w:val="clear" w:color="auto" w:fill="00B0F0"/>
            <w:vAlign w:val="center"/>
            <w:hideMark/>
          </w:tcPr>
          <w:p w14:paraId="04E51D19" w14:textId="77777777" w:rsidR="00323ABF" w:rsidRPr="00B92499" w:rsidRDefault="00323ABF" w:rsidP="00EE3F6D">
            <w:pPr>
              <w:jc w:val="center"/>
              <w:rPr>
                <w:rFonts w:ascii="Arial" w:hAnsi="Arial" w:cs="Arial"/>
                <w:b/>
                <w:bCs/>
                <w:color w:val="000000"/>
                <w:sz w:val="16"/>
                <w:szCs w:val="16"/>
              </w:rPr>
            </w:pPr>
            <w:r w:rsidRPr="00B92499">
              <w:rPr>
                <w:rFonts w:ascii="Arial" w:hAnsi="Arial" w:cs="Arial"/>
                <w:b/>
                <w:bCs/>
                <w:color w:val="000000"/>
                <w:sz w:val="16"/>
                <w:szCs w:val="16"/>
              </w:rPr>
              <w:t>% Nota PT</w:t>
            </w:r>
          </w:p>
        </w:tc>
        <w:tc>
          <w:tcPr>
            <w:tcW w:w="850" w:type="dxa"/>
            <w:tcBorders>
              <w:top w:val="single" w:sz="4" w:space="0" w:color="auto"/>
              <w:left w:val="nil"/>
              <w:bottom w:val="single" w:sz="4" w:space="0" w:color="auto"/>
              <w:right w:val="single" w:sz="4" w:space="0" w:color="auto"/>
            </w:tcBorders>
            <w:shd w:val="clear" w:color="auto" w:fill="00B0F0"/>
            <w:vAlign w:val="center"/>
            <w:hideMark/>
          </w:tcPr>
          <w:p w14:paraId="6499F317" w14:textId="77777777" w:rsidR="00323ABF" w:rsidRPr="00B92499" w:rsidRDefault="00323ABF" w:rsidP="00EE3F6D">
            <w:pPr>
              <w:jc w:val="center"/>
              <w:rPr>
                <w:rFonts w:ascii="Arial" w:hAnsi="Arial" w:cs="Arial"/>
                <w:b/>
                <w:bCs/>
                <w:color w:val="000000"/>
                <w:sz w:val="16"/>
                <w:szCs w:val="16"/>
              </w:rPr>
            </w:pPr>
            <w:r w:rsidRPr="00B92499">
              <w:rPr>
                <w:rFonts w:ascii="Arial" w:hAnsi="Arial" w:cs="Arial"/>
                <w:b/>
                <w:bCs/>
                <w:color w:val="000000"/>
                <w:sz w:val="16"/>
                <w:szCs w:val="16"/>
              </w:rPr>
              <w:t>ICOT-PT</w:t>
            </w:r>
          </w:p>
        </w:tc>
        <w:tc>
          <w:tcPr>
            <w:tcW w:w="850" w:type="dxa"/>
            <w:tcBorders>
              <w:top w:val="single" w:sz="4" w:space="0" w:color="auto"/>
              <w:left w:val="nil"/>
              <w:bottom w:val="single" w:sz="4" w:space="0" w:color="auto"/>
              <w:right w:val="single" w:sz="4" w:space="0" w:color="auto"/>
            </w:tcBorders>
            <w:shd w:val="clear" w:color="auto" w:fill="00B0F0"/>
            <w:vAlign w:val="center"/>
            <w:hideMark/>
          </w:tcPr>
          <w:p w14:paraId="010F9D3D" w14:textId="77777777" w:rsidR="00323ABF" w:rsidRPr="00B92499" w:rsidRDefault="00323ABF" w:rsidP="00EE3F6D">
            <w:pPr>
              <w:jc w:val="center"/>
              <w:rPr>
                <w:rFonts w:ascii="Arial" w:hAnsi="Arial" w:cs="Arial"/>
                <w:b/>
                <w:bCs/>
                <w:color w:val="000000"/>
                <w:sz w:val="16"/>
                <w:szCs w:val="16"/>
              </w:rPr>
            </w:pPr>
            <w:r w:rsidRPr="00B92499">
              <w:rPr>
                <w:rFonts w:ascii="Arial" w:hAnsi="Arial" w:cs="Arial"/>
                <w:b/>
                <w:bCs/>
                <w:color w:val="000000"/>
                <w:sz w:val="16"/>
                <w:szCs w:val="16"/>
              </w:rPr>
              <w:t>%Inf PNT</w:t>
            </w:r>
          </w:p>
        </w:tc>
        <w:tc>
          <w:tcPr>
            <w:tcW w:w="850" w:type="dxa"/>
            <w:tcBorders>
              <w:top w:val="single" w:sz="4" w:space="0" w:color="auto"/>
              <w:left w:val="nil"/>
              <w:bottom w:val="single" w:sz="4" w:space="0" w:color="auto"/>
              <w:right w:val="single" w:sz="4" w:space="0" w:color="auto"/>
            </w:tcBorders>
            <w:shd w:val="clear" w:color="auto" w:fill="00B0F0"/>
            <w:vAlign w:val="center"/>
            <w:hideMark/>
          </w:tcPr>
          <w:p w14:paraId="4F0FE581" w14:textId="77777777" w:rsidR="00323ABF" w:rsidRPr="00B92499" w:rsidRDefault="00323ABF" w:rsidP="00EE3F6D">
            <w:pPr>
              <w:jc w:val="center"/>
              <w:rPr>
                <w:rFonts w:ascii="Arial" w:hAnsi="Arial" w:cs="Arial"/>
                <w:b/>
                <w:bCs/>
                <w:color w:val="000000"/>
                <w:sz w:val="16"/>
                <w:szCs w:val="16"/>
              </w:rPr>
            </w:pPr>
            <w:r w:rsidRPr="00B92499">
              <w:rPr>
                <w:rFonts w:ascii="Arial" w:hAnsi="Arial" w:cs="Arial"/>
                <w:b/>
                <w:bCs/>
                <w:color w:val="000000"/>
                <w:sz w:val="16"/>
                <w:szCs w:val="16"/>
              </w:rPr>
              <w:t>% Notas PNT</w:t>
            </w:r>
          </w:p>
        </w:tc>
        <w:tc>
          <w:tcPr>
            <w:tcW w:w="850" w:type="dxa"/>
            <w:tcBorders>
              <w:top w:val="single" w:sz="4" w:space="0" w:color="auto"/>
              <w:left w:val="nil"/>
              <w:bottom w:val="single" w:sz="4" w:space="0" w:color="auto"/>
              <w:right w:val="single" w:sz="4" w:space="0" w:color="auto"/>
            </w:tcBorders>
            <w:shd w:val="clear" w:color="auto" w:fill="00B0F0"/>
            <w:vAlign w:val="center"/>
            <w:hideMark/>
          </w:tcPr>
          <w:p w14:paraId="2FE4767C" w14:textId="77777777" w:rsidR="00323ABF" w:rsidRPr="00B92499" w:rsidRDefault="00323ABF" w:rsidP="00EE3F6D">
            <w:pPr>
              <w:jc w:val="center"/>
              <w:rPr>
                <w:rFonts w:ascii="Arial" w:hAnsi="Arial" w:cs="Arial"/>
                <w:b/>
                <w:bCs/>
                <w:color w:val="000000"/>
                <w:sz w:val="16"/>
                <w:szCs w:val="16"/>
              </w:rPr>
            </w:pPr>
            <w:r w:rsidRPr="00B92499">
              <w:rPr>
                <w:rFonts w:ascii="Arial" w:hAnsi="Arial" w:cs="Arial"/>
                <w:b/>
                <w:bCs/>
                <w:color w:val="000000"/>
                <w:sz w:val="16"/>
                <w:szCs w:val="16"/>
              </w:rPr>
              <w:t>ICOT-PNT</w:t>
            </w:r>
          </w:p>
        </w:tc>
        <w:tc>
          <w:tcPr>
            <w:tcW w:w="850" w:type="dxa"/>
            <w:tcBorders>
              <w:top w:val="single" w:sz="4" w:space="0" w:color="auto"/>
              <w:left w:val="nil"/>
              <w:bottom w:val="single" w:sz="4" w:space="0" w:color="auto"/>
              <w:right w:val="single" w:sz="4" w:space="0" w:color="auto"/>
            </w:tcBorders>
            <w:shd w:val="clear" w:color="auto" w:fill="00B0F0"/>
            <w:vAlign w:val="center"/>
            <w:hideMark/>
          </w:tcPr>
          <w:p w14:paraId="6AA23236" w14:textId="77777777" w:rsidR="00323ABF" w:rsidRPr="00B92499" w:rsidRDefault="00323ABF" w:rsidP="00EE3F6D">
            <w:pPr>
              <w:jc w:val="center"/>
              <w:rPr>
                <w:rFonts w:ascii="Arial" w:hAnsi="Arial" w:cs="Arial"/>
                <w:b/>
                <w:bCs/>
                <w:color w:val="000000"/>
                <w:sz w:val="16"/>
                <w:szCs w:val="16"/>
              </w:rPr>
            </w:pPr>
            <w:r w:rsidRPr="00B92499">
              <w:rPr>
                <w:rFonts w:ascii="Arial" w:hAnsi="Arial" w:cs="Arial"/>
                <w:b/>
                <w:bCs/>
                <w:color w:val="000000"/>
                <w:sz w:val="16"/>
                <w:szCs w:val="16"/>
              </w:rPr>
              <w:t>%Inf IGOT</w:t>
            </w:r>
          </w:p>
        </w:tc>
        <w:tc>
          <w:tcPr>
            <w:tcW w:w="850" w:type="dxa"/>
            <w:tcBorders>
              <w:top w:val="single" w:sz="4" w:space="0" w:color="auto"/>
              <w:left w:val="nil"/>
              <w:bottom w:val="single" w:sz="4" w:space="0" w:color="auto"/>
              <w:right w:val="single" w:sz="4" w:space="0" w:color="auto"/>
            </w:tcBorders>
            <w:shd w:val="clear" w:color="auto" w:fill="00B0F0"/>
            <w:vAlign w:val="center"/>
            <w:hideMark/>
          </w:tcPr>
          <w:p w14:paraId="6B6D202D" w14:textId="77777777" w:rsidR="00323ABF" w:rsidRPr="00B92499" w:rsidRDefault="00323ABF" w:rsidP="00EE3F6D">
            <w:pPr>
              <w:jc w:val="center"/>
              <w:rPr>
                <w:rFonts w:ascii="Arial" w:hAnsi="Arial" w:cs="Arial"/>
                <w:b/>
                <w:bCs/>
                <w:color w:val="000000"/>
                <w:sz w:val="16"/>
                <w:szCs w:val="16"/>
              </w:rPr>
            </w:pPr>
            <w:r w:rsidRPr="00B92499">
              <w:rPr>
                <w:rFonts w:ascii="Arial" w:hAnsi="Arial" w:cs="Arial"/>
                <w:b/>
                <w:bCs/>
                <w:color w:val="000000"/>
                <w:sz w:val="16"/>
                <w:szCs w:val="16"/>
              </w:rPr>
              <w:t>% Notas IGOT</w:t>
            </w:r>
          </w:p>
        </w:tc>
        <w:tc>
          <w:tcPr>
            <w:tcW w:w="850" w:type="dxa"/>
            <w:tcBorders>
              <w:top w:val="single" w:sz="4" w:space="0" w:color="auto"/>
              <w:left w:val="nil"/>
              <w:bottom w:val="single" w:sz="4" w:space="0" w:color="auto"/>
              <w:right w:val="single" w:sz="4" w:space="0" w:color="auto"/>
            </w:tcBorders>
            <w:shd w:val="clear" w:color="auto" w:fill="00B0F0"/>
            <w:vAlign w:val="center"/>
            <w:hideMark/>
          </w:tcPr>
          <w:p w14:paraId="54784107" w14:textId="77777777" w:rsidR="00323ABF" w:rsidRPr="00B92499" w:rsidRDefault="00323ABF" w:rsidP="00EE3F6D">
            <w:pPr>
              <w:jc w:val="center"/>
              <w:rPr>
                <w:rFonts w:ascii="Arial" w:hAnsi="Arial" w:cs="Arial"/>
                <w:b/>
                <w:bCs/>
                <w:color w:val="000000"/>
                <w:sz w:val="16"/>
                <w:szCs w:val="16"/>
              </w:rPr>
            </w:pPr>
            <w:r w:rsidRPr="00B92499">
              <w:rPr>
                <w:rFonts w:ascii="Arial" w:hAnsi="Arial" w:cs="Arial"/>
                <w:b/>
                <w:bCs/>
                <w:color w:val="000000"/>
                <w:sz w:val="16"/>
                <w:szCs w:val="16"/>
              </w:rPr>
              <w:t>IGOT</w:t>
            </w:r>
          </w:p>
        </w:tc>
      </w:tr>
      <w:tr w:rsidR="00323ABF" w:rsidRPr="00B92499" w14:paraId="787FD448" w14:textId="77777777" w:rsidTr="00323ABF">
        <w:trPr>
          <w:trHeight w:val="680"/>
        </w:trPr>
        <w:tc>
          <w:tcPr>
            <w:tcW w:w="421" w:type="dxa"/>
            <w:tcBorders>
              <w:top w:val="nil"/>
              <w:left w:val="single" w:sz="4" w:space="0" w:color="auto"/>
              <w:bottom w:val="single" w:sz="4" w:space="0" w:color="auto"/>
              <w:right w:val="single" w:sz="4" w:space="0" w:color="auto"/>
            </w:tcBorders>
            <w:shd w:val="clear" w:color="000000" w:fill="FFFFFF"/>
            <w:vAlign w:val="center"/>
            <w:hideMark/>
          </w:tcPr>
          <w:p w14:paraId="554CD075" w14:textId="77777777" w:rsidR="00323ABF" w:rsidRPr="00B92499" w:rsidRDefault="00323ABF">
            <w:pPr>
              <w:jc w:val="center"/>
              <w:rPr>
                <w:rFonts w:ascii="Arial" w:hAnsi="Arial" w:cs="Arial"/>
                <w:color w:val="000000"/>
                <w:sz w:val="16"/>
                <w:szCs w:val="16"/>
              </w:rPr>
            </w:pPr>
            <w:r w:rsidRPr="00B92499">
              <w:rPr>
                <w:rFonts w:ascii="Arial" w:hAnsi="Arial" w:cs="Arial"/>
                <w:color w:val="000000"/>
                <w:sz w:val="16"/>
                <w:szCs w:val="16"/>
              </w:rPr>
              <w:t>1</w:t>
            </w:r>
          </w:p>
        </w:tc>
        <w:tc>
          <w:tcPr>
            <w:tcW w:w="1304" w:type="dxa"/>
            <w:tcBorders>
              <w:top w:val="nil"/>
              <w:left w:val="nil"/>
              <w:bottom w:val="single" w:sz="4" w:space="0" w:color="auto"/>
              <w:right w:val="single" w:sz="4" w:space="0" w:color="auto"/>
            </w:tcBorders>
            <w:shd w:val="clear" w:color="000000" w:fill="FFFFFF"/>
            <w:vAlign w:val="center"/>
            <w:hideMark/>
          </w:tcPr>
          <w:p w14:paraId="7EE5FF14" w14:textId="77777777" w:rsidR="00323ABF" w:rsidRPr="00B92499" w:rsidRDefault="00323ABF" w:rsidP="00323ABF">
            <w:pPr>
              <w:jc w:val="both"/>
              <w:rPr>
                <w:rFonts w:ascii="Arial" w:hAnsi="Arial" w:cs="Arial"/>
                <w:color w:val="000000"/>
                <w:sz w:val="16"/>
                <w:szCs w:val="16"/>
              </w:rPr>
            </w:pPr>
            <w:r w:rsidRPr="00B92499">
              <w:rPr>
                <w:rFonts w:ascii="Arial" w:hAnsi="Arial" w:cs="Arial"/>
                <w:color w:val="000000"/>
                <w:sz w:val="16"/>
                <w:szCs w:val="16"/>
              </w:rPr>
              <w:t>Congreso de la Ciudad de México</w:t>
            </w:r>
          </w:p>
        </w:tc>
        <w:tc>
          <w:tcPr>
            <w:tcW w:w="850" w:type="dxa"/>
            <w:tcBorders>
              <w:top w:val="nil"/>
              <w:left w:val="nil"/>
              <w:bottom w:val="single" w:sz="4" w:space="0" w:color="auto"/>
              <w:right w:val="single" w:sz="4" w:space="0" w:color="auto"/>
            </w:tcBorders>
            <w:shd w:val="clear" w:color="000000" w:fill="BDD7EE"/>
            <w:noWrap/>
            <w:vAlign w:val="center"/>
            <w:hideMark/>
          </w:tcPr>
          <w:p w14:paraId="587795A7" w14:textId="77777777" w:rsidR="00323ABF" w:rsidRPr="00B92499" w:rsidRDefault="00323ABF">
            <w:pPr>
              <w:jc w:val="center"/>
              <w:rPr>
                <w:rFonts w:ascii="Arial" w:hAnsi="Arial" w:cs="Arial"/>
                <w:color w:val="000000"/>
                <w:sz w:val="16"/>
                <w:szCs w:val="16"/>
              </w:rPr>
            </w:pPr>
            <w:r w:rsidRPr="00B92499">
              <w:rPr>
                <w:rFonts w:ascii="Arial" w:hAnsi="Arial" w:cs="Arial"/>
                <w:color w:val="000000"/>
                <w:sz w:val="16"/>
                <w:szCs w:val="16"/>
              </w:rPr>
              <w:t>93.00</w:t>
            </w:r>
          </w:p>
        </w:tc>
        <w:tc>
          <w:tcPr>
            <w:tcW w:w="850" w:type="dxa"/>
            <w:tcBorders>
              <w:top w:val="nil"/>
              <w:left w:val="nil"/>
              <w:bottom w:val="single" w:sz="4" w:space="0" w:color="auto"/>
              <w:right w:val="single" w:sz="4" w:space="0" w:color="auto"/>
            </w:tcBorders>
            <w:shd w:val="clear" w:color="000000" w:fill="D9D9D9"/>
            <w:noWrap/>
            <w:vAlign w:val="center"/>
            <w:hideMark/>
          </w:tcPr>
          <w:p w14:paraId="7EB51D60" w14:textId="77777777" w:rsidR="00323ABF" w:rsidRPr="00B92499" w:rsidRDefault="00323ABF">
            <w:pPr>
              <w:jc w:val="center"/>
              <w:rPr>
                <w:rFonts w:ascii="Arial" w:hAnsi="Arial" w:cs="Arial"/>
                <w:color w:val="000000"/>
                <w:sz w:val="16"/>
                <w:szCs w:val="16"/>
              </w:rPr>
            </w:pPr>
            <w:r w:rsidRPr="00B92499">
              <w:rPr>
                <w:rFonts w:ascii="Arial" w:hAnsi="Arial" w:cs="Arial"/>
                <w:color w:val="000000"/>
                <w:sz w:val="16"/>
                <w:szCs w:val="16"/>
              </w:rPr>
              <w:t>1.65</w:t>
            </w:r>
          </w:p>
        </w:tc>
        <w:tc>
          <w:tcPr>
            <w:tcW w:w="850" w:type="dxa"/>
            <w:tcBorders>
              <w:top w:val="nil"/>
              <w:left w:val="nil"/>
              <w:bottom w:val="single" w:sz="4" w:space="0" w:color="auto"/>
              <w:right w:val="single" w:sz="4" w:space="0" w:color="auto"/>
            </w:tcBorders>
            <w:shd w:val="clear" w:color="auto" w:fill="auto"/>
            <w:noWrap/>
            <w:vAlign w:val="center"/>
            <w:hideMark/>
          </w:tcPr>
          <w:p w14:paraId="0534F9CB" w14:textId="77777777" w:rsidR="00323ABF" w:rsidRPr="00B92499" w:rsidRDefault="00323ABF">
            <w:pPr>
              <w:jc w:val="center"/>
              <w:rPr>
                <w:rFonts w:ascii="Arial" w:hAnsi="Arial" w:cs="Arial"/>
                <w:color w:val="000000"/>
                <w:sz w:val="16"/>
                <w:szCs w:val="16"/>
              </w:rPr>
            </w:pPr>
            <w:r w:rsidRPr="00B92499">
              <w:rPr>
                <w:rFonts w:ascii="Arial" w:hAnsi="Arial" w:cs="Arial"/>
                <w:color w:val="000000"/>
                <w:sz w:val="16"/>
                <w:szCs w:val="16"/>
              </w:rPr>
              <w:t>94.65</w:t>
            </w:r>
          </w:p>
        </w:tc>
        <w:tc>
          <w:tcPr>
            <w:tcW w:w="850" w:type="dxa"/>
            <w:tcBorders>
              <w:top w:val="nil"/>
              <w:left w:val="nil"/>
              <w:bottom w:val="single" w:sz="4" w:space="0" w:color="auto"/>
              <w:right w:val="single" w:sz="4" w:space="0" w:color="auto"/>
            </w:tcBorders>
            <w:shd w:val="clear" w:color="000000" w:fill="BDD7EE"/>
            <w:noWrap/>
            <w:vAlign w:val="center"/>
            <w:hideMark/>
          </w:tcPr>
          <w:p w14:paraId="5C5F956B" w14:textId="77777777" w:rsidR="00323ABF" w:rsidRPr="00B92499" w:rsidRDefault="00323ABF">
            <w:pPr>
              <w:jc w:val="center"/>
              <w:rPr>
                <w:rFonts w:ascii="Arial" w:hAnsi="Arial" w:cs="Arial"/>
                <w:color w:val="000000"/>
                <w:sz w:val="16"/>
                <w:szCs w:val="16"/>
              </w:rPr>
            </w:pPr>
            <w:r w:rsidRPr="00B92499">
              <w:rPr>
                <w:rFonts w:ascii="Arial" w:hAnsi="Arial" w:cs="Arial"/>
                <w:color w:val="000000"/>
                <w:sz w:val="16"/>
                <w:szCs w:val="16"/>
              </w:rPr>
              <w:t>93.85</w:t>
            </w:r>
          </w:p>
        </w:tc>
        <w:tc>
          <w:tcPr>
            <w:tcW w:w="850" w:type="dxa"/>
            <w:tcBorders>
              <w:top w:val="nil"/>
              <w:left w:val="nil"/>
              <w:bottom w:val="single" w:sz="4" w:space="0" w:color="auto"/>
              <w:right w:val="single" w:sz="4" w:space="0" w:color="auto"/>
            </w:tcBorders>
            <w:shd w:val="clear" w:color="000000" w:fill="D9D9D9"/>
            <w:noWrap/>
            <w:vAlign w:val="center"/>
            <w:hideMark/>
          </w:tcPr>
          <w:p w14:paraId="59F41E4F" w14:textId="77777777" w:rsidR="00323ABF" w:rsidRPr="00B92499" w:rsidRDefault="00323ABF">
            <w:pPr>
              <w:jc w:val="center"/>
              <w:rPr>
                <w:rFonts w:ascii="Arial" w:hAnsi="Arial" w:cs="Arial"/>
                <w:color w:val="000000"/>
                <w:sz w:val="16"/>
                <w:szCs w:val="16"/>
              </w:rPr>
            </w:pPr>
            <w:r w:rsidRPr="00B92499">
              <w:rPr>
                <w:rFonts w:ascii="Arial" w:hAnsi="Arial" w:cs="Arial"/>
                <w:color w:val="000000"/>
                <w:sz w:val="16"/>
                <w:szCs w:val="16"/>
              </w:rPr>
              <w:t>1.56</w:t>
            </w:r>
          </w:p>
        </w:tc>
        <w:tc>
          <w:tcPr>
            <w:tcW w:w="850" w:type="dxa"/>
            <w:tcBorders>
              <w:top w:val="nil"/>
              <w:left w:val="nil"/>
              <w:bottom w:val="single" w:sz="4" w:space="0" w:color="auto"/>
              <w:right w:val="single" w:sz="4" w:space="0" w:color="auto"/>
            </w:tcBorders>
            <w:shd w:val="clear" w:color="auto" w:fill="auto"/>
            <w:noWrap/>
            <w:vAlign w:val="center"/>
            <w:hideMark/>
          </w:tcPr>
          <w:p w14:paraId="053BA0E2" w14:textId="77777777" w:rsidR="00323ABF" w:rsidRPr="00B92499" w:rsidRDefault="00323ABF">
            <w:pPr>
              <w:jc w:val="center"/>
              <w:rPr>
                <w:rFonts w:ascii="Arial" w:hAnsi="Arial" w:cs="Arial"/>
                <w:color w:val="000000"/>
                <w:sz w:val="16"/>
                <w:szCs w:val="16"/>
              </w:rPr>
            </w:pPr>
            <w:r w:rsidRPr="00B92499">
              <w:rPr>
                <w:rFonts w:ascii="Arial" w:hAnsi="Arial" w:cs="Arial"/>
                <w:color w:val="000000"/>
                <w:sz w:val="16"/>
                <w:szCs w:val="16"/>
              </w:rPr>
              <w:t>95.41</w:t>
            </w:r>
          </w:p>
        </w:tc>
        <w:tc>
          <w:tcPr>
            <w:tcW w:w="850" w:type="dxa"/>
            <w:tcBorders>
              <w:top w:val="nil"/>
              <w:left w:val="nil"/>
              <w:bottom w:val="single" w:sz="4" w:space="0" w:color="auto"/>
              <w:right w:val="single" w:sz="4" w:space="0" w:color="auto"/>
            </w:tcBorders>
            <w:shd w:val="clear" w:color="000000" w:fill="BDD7EE"/>
            <w:noWrap/>
            <w:vAlign w:val="center"/>
            <w:hideMark/>
          </w:tcPr>
          <w:p w14:paraId="5B97ABF5" w14:textId="77777777" w:rsidR="00323ABF" w:rsidRPr="00B92499" w:rsidRDefault="00323ABF">
            <w:pPr>
              <w:jc w:val="center"/>
              <w:rPr>
                <w:rFonts w:ascii="Arial" w:hAnsi="Arial" w:cs="Arial"/>
                <w:color w:val="000000"/>
                <w:sz w:val="16"/>
                <w:szCs w:val="16"/>
              </w:rPr>
            </w:pPr>
            <w:r w:rsidRPr="00B92499">
              <w:rPr>
                <w:rFonts w:ascii="Arial" w:hAnsi="Arial" w:cs="Arial"/>
                <w:color w:val="000000"/>
                <w:sz w:val="16"/>
                <w:szCs w:val="16"/>
              </w:rPr>
              <w:t>93.42</w:t>
            </w:r>
          </w:p>
        </w:tc>
        <w:tc>
          <w:tcPr>
            <w:tcW w:w="850" w:type="dxa"/>
            <w:tcBorders>
              <w:top w:val="nil"/>
              <w:left w:val="nil"/>
              <w:bottom w:val="single" w:sz="4" w:space="0" w:color="auto"/>
              <w:right w:val="single" w:sz="4" w:space="0" w:color="auto"/>
            </w:tcBorders>
            <w:shd w:val="clear" w:color="000000" w:fill="D9D9D9"/>
            <w:noWrap/>
            <w:vAlign w:val="center"/>
            <w:hideMark/>
          </w:tcPr>
          <w:p w14:paraId="64ACB623" w14:textId="77777777" w:rsidR="00323ABF" w:rsidRPr="00B92499" w:rsidRDefault="00323ABF">
            <w:pPr>
              <w:jc w:val="center"/>
              <w:rPr>
                <w:rFonts w:ascii="Arial" w:hAnsi="Arial" w:cs="Arial"/>
                <w:color w:val="000000"/>
                <w:sz w:val="16"/>
                <w:szCs w:val="16"/>
              </w:rPr>
            </w:pPr>
            <w:r w:rsidRPr="00B92499">
              <w:rPr>
                <w:rFonts w:ascii="Arial" w:hAnsi="Arial" w:cs="Arial"/>
                <w:color w:val="000000"/>
                <w:sz w:val="16"/>
                <w:szCs w:val="16"/>
              </w:rPr>
              <w:t>1.61</w:t>
            </w:r>
          </w:p>
        </w:tc>
        <w:tc>
          <w:tcPr>
            <w:tcW w:w="850" w:type="dxa"/>
            <w:tcBorders>
              <w:top w:val="nil"/>
              <w:left w:val="nil"/>
              <w:bottom w:val="single" w:sz="4" w:space="0" w:color="auto"/>
              <w:right w:val="single" w:sz="4" w:space="0" w:color="auto"/>
            </w:tcBorders>
            <w:shd w:val="clear" w:color="auto" w:fill="auto"/>
            <w:noWrap/>
            <w:vAlign w:val="center"/>
            <w:hideMark/>
          </w:tcPr>
          <w:p w14:paraId="50D43847" w14:textId="77777777" w:rsidR="00323ABF" w:rsidRPr="00B92499" w:rsidRDefault="00323ABF">
            <w:pPr>
              <w:jc w:val="center"/>
              <w:rPr>
                <w:rFonts w:ascii="Arial" w:hAnsi="Arial" w:cs="Arial"/>
                <w:color w:val="000000"/>
                <w:sz w:val="16"/>
                <w:szCs w:val="16"/>
              </w:rPr>
            </w:pPr>
            <w:r w:rsidRPr="00B92499">
              <w:rPr>
                <w:rFonts w:ascii="Arial" w:hAnsi="Arial" w:cs="Arial"/>
                <w:color w:val="000000"/>
                <w:sz w:val="16"/>
                <w:szCs w:val="16"/>
              </w:rPr>
              <w:t>95.03</w:t>
            </w:r>
          </w:p>
        </w:tc>
      </w:tr>
    </w:tbl>
    <w:p w14:paraId="7F968486" w14:textId="7EF24A9B" w:rsidR="00323ABF" w:rsidRPr="00B92499" w:rsidRDefault="00323ABF" w:rsidP="00323ABF">
      <w:pPr>
        <w:spacing w:before="100" w:beforeAutospacing="1" w:after="100" w:afterAutospacing="1" w:line="360" w:lineRule="auto"/>
        <w:contextualSpacing/>
        <w:jc w:val="both"/>
        <w:rPr>
          <w:rFonts w:ascii="Arial" w:hAnsi="Arial" w:cs="Arial"/>
          <w:sz w:val="16"/>
          <w:szCs w:val="16"/>
        </w:rPr>
      </w:pPr>
      <w:r w:rsidRPr="00B92499">
        <w:rPr>
          <w:rFonts w:ascii="Arial" w:hAnsi="Arial" w:cs="Arial"/>
          <w:b/>
          <w:sz w:val="16"/>
          <w:szCs w:val="16"/>
        </w:rPr>
        <w:t>Nota metodológica</w:t>
      </w:r>
      <w:r w:rsidRPr="00B92499">
        <w:rPr>
          <w:rFonts w:ascii="Arial" w:hAnsi="Arial" w:cs="Arial"/>
          <w:sz w:val="16"/>
          <w:szCs w:val="16"/>
        </w:rPr>
        <w:t xml:space="preserve">: </w:t>
      </w:r>
    </w:p>
    <w:p w14:paraId="4C670AD4" w14:textId="77777777" w:rsidR="00323ABF" w:rsidRPr="00B92499" w:rsidRDefault="00323ABF" w:rsidP="00323ABF">
      <w:pPr>
        <w:spacing w:before="100" w:beforeAutospacing="1" w:after="100" w:afterAutospacing="1" w:line="360" w:lineRule="auto"/>
        <w:contextualSpacing/>
        <w:jc w:val="both"/>
        <w:rPr>
          <w:rFonts w:ascii="Arial" w:hAnsi="Arial" w:cs="Arial"/>
          <w:sz w:val="16"/>
          <w:szCs w:val="16"/>
        </w:rPr>
      </w:pPr>
      <w:r w:rsidRPr="00B92499">
        <w:rPr>
          <w:rFonts w:ascii="Arial" w:hAnsi="Arial" w:cs="Arial"/>
          <w:sz w:val="16"/>
          <w:szCs w:val="16"/>
        </w:rPr>
        <w:t>El IGOT se compone del promedio de ICOT-PT e ICOT-PNT.</w:t>
      </w:r>
    </w:p>
    <w:p w14:paraId="2817547D" w14:textId="1B288136" w:rsidR="00323ABF" w:rsidRPr="00B92499" w:rsidRDefault="00323ABF" w:rsidP="00323ABF">
      <w:pPr>
        <w:spacing w:before="100" w:beforeAutospacing="1" w:after="100" w:afterAutospacing="1" w:line="360" w:lineRule="auto"/>
        <w:contextualSpacing/>
        <w:jc w:val="both"/>
        <w:rPr>
          <w:rFonts w:ascii="Arial" w:hAnsi="Arial" w:cs="Arial"/>
          <w:color w:val="000000"/>
          <w:sz w:val="16"/>
          <w:szCs w:val="16"/>
        </w:rPr>
      </w:pPr>
      <w:r w:rsidRPr="00B92499">
        <w:rPr>
          <w:rFonts w:ascii="Arial" w:hAnsi="Arial" w:cs="Arial"/>
          <w:b/>
          <w:bCs/>
          <w:color w:val="000000"/>
          <w:sz w:val="16"/>
          <w:szCs w:val="16"/>
        </w:rPr>
        <w:t>%Inf PT:</w:t>
      </w:r>
      <w:r w:rsidRPr="00B92499">
        <w:rPr>
          <w:rFonts w:ascii="Arial" w:hAnsi="Arial" w:cs="Arial"/>
          <w:color w:val="000000"/>
          <w:sz w:val="16"/>
          <w:szCs w:val="16"/>
        </w:rPr>
        <w:t xml:space="preserve"> corresponde al porcentaje del índice que hace referencia a la información que se encuentra publicada y actualizada en el Portal de Internet (PI) del </w:t>
      </w:r>
      <w:r w:rsidR="008710F6" w:rsidRPr="00B92499">
        <w:rPr>
          <w:rFonts w:ascii="Arial" w:hAnsi="Arial" w:cs="Arial"/>
          <w:color w:val="000000"/>
          <w:sz w:val="16"/>
          <w:szCs w:val="16"/>
        </w:rPr>
        <w:t>sujeto obligado</w:t>
      </w:r>
      <w:r w:rsidRPr="00B92499">
        <w:rPr>
          <w:rFonts w:ascii="Arial" w:hAnsi="Arial" w:cs="Arial"/>
          <w:color w:val="000000"/>
          <w:sz w:val="16"/>
          <w:szCs w:val="16"/>
        </w:rPr>
        <w:t xml:space="preserve">. </w:t>
      </w:r>
    </w:p>
    <w:p w14:paraId="22110159" w14:textId="04008D68" w:rsidR="00323ABF" w:rsidRPr="00B92499" w:rsidRDefault="00323ABF" w:rsidP="00323ABF">
      <w:pPr>
        <w:spacing w:before="100" w:beforeAutospacing="1" w:after="100" w:afterAutospacing="1" w:line="360" w:lineRule="auto"/>
        <w:contextualSpacing/>
        <w:jc w:val="both"/>
        <w:rPr>
          <w:rFonts w:ascii="Arial" w:hAnsi="Arial" w:cs="Arial"/>
          <w:color w:val="000000"/>
          <w:sz w:val="16"/>
          <w:szCs w:val="16"/>
        </w:rPr>
      </w:pPr>
      <w:r w:rsidRPr="00B92499">
        <w:rPr>
          <w:rFonts w:ascii="Arial" w:hAnsi="Arial" w:cs="Arial"/>
          <w:b/>
          <w:bCs/>
          <w:color w:val="000000"/>
          <w:sz w:val="16"/>
          <w:szCs w:val="16"/>
        </w:rPr>
        <w:t>%Inf PNT:</w:t>
      </w:r>
      <w:r w:rsidRPr="00B92499">
        <w:rPr>
          <w:rFonts w:ascii="Arial" w:hAnsi="Arial" w:cs="Arial"/>
          <w:color w:val="000000"/>
          <w:sz w:val="16"/>
          <w:szCs w:val="16"/>
        </w:rPr>
        <w:t xml:space="preserve"> corresponde al porcentaje del índice que hace referencia a la información que se encuentra publicada y actualizada en la Plataforma Nacional de Transparencia (PNT) del </w:t>
      </w:r>
      <w:r w:rsidR="008710F6" w:rsidRPr="00B92499">
        <w:rPr>
          <w:rFonts w:ascii="Arial" w:hAnsi="Arial" w:cs="Arial"/>
          <w:color w:val="000000"/>
          <w:sz w:val="16"/>
          <w:szCs w:val="16"/>
        </w:rPr>
        <w:t>sujeto obligado</w:t>
      </w:r>
      <w:r w:rsidRPr="00B92499">
        <w:rPr>
          <w:rFonts w:ascii="Arial" w:hAnsi="Arial" w:cs="Arial"/>
          <w:color w:val="000000"/>
          <w:sz w:val="16"/>
          <w:szCs w:val="16"/>
        </w:rPr>
        <w:t>.</w:t>
      </w:r>
    </w:p>
    <w:p w14:paraId="016D872E" w14:textId="6841DE0F" w:rsidR="00323ABF" w:rsidRPr="00B92499" w:rsidRDefault="00323ABF" w:rsidP="00323ABF">
      <w:pPr>
        <w:spacing w:before="100" w:beforeAutospacing="1" w:after="100" w:afterAutospacing="1" w:line="360" w:lineRule="auto"/>
        <w:contextualSpacing/>
        <w:jc w:val="both"/>
        <w:rPr>
          <w:rFonts w:ascii="Arial" w:hAnsi="Arial" w:cs="Arial"/>
          <w:color w:val="000000"/>
          <w:sz w:val="16"/>
          <w:szCs w:val="16"/>
        </w:rPr>
      </w:pPr>
      <w:r w:rsidRPr="00B92499">
        <w:rPr>
          <w:rFonts w:ascii="Arial" w:hAnsi="Arial" w:cs="Arial"/>
          <w:b/>
          <w:bCs/>
          <w:color w:val="000000"/>
          <w:sz w:val="16"/>
          <w:szCs w:val="16"/>
        </w:rPr>
        <w:t xml:space="preserve">%Inf IGOT: </w:t>
      </w:r>
      <w:r w:rsidRPr="00B92499">
        <w:rPr>
          <w:rFonts w:ascii="Arial" w:hAnsi="Arial" w:cs="Arial"/>
          <w:color w:val="000000"/>
          <w:sz w:val="16"/>
          <w:szCs w:val="16"/>
        </w:rPr>
        <w:t xml:space="preserve">corresponde al porcentaje del índice que hace referencia a la información que se encuentra publicada y actualizada tanto en la PNT y el PI del </w:t>
      </w:r>
      <w:r w:rsidR="008710F6" w:rsidRPr="00B92499">
        <w:rPr>
          <w:rFonts w:ascii="Arial" w:hAnsi="Arial" w:cs="Arial"/>
          <w:color w:val="000000"/>
          <w:sz w:val="16"/>
          <w:szCs w:val="16"/>
        </w:rPr>
        <w:t>sujeto obligado</w:t>
      </w:r>
      <w:r w:rsidRPr="00B92499">
        <w:rPr>
          <w:rFonts w:ascii="Arial" w:hAnsi="Arial" w:cs="Arial"/>
          <w:color w:val="000000"/>
          <w:sz w:val="16"/>
          <w:szCs w:val="16"/>
        </w:rPr>
        <w:t>.</w:t>
      </w:r>
    </w:p>
    <w:p w14:paraId="61E7AD00" w14:textId="4E14F277" w:rsidR="00323ABF" w:rsidRPr="00B92499" w:rsidRDefault="00323ABF" w:rsidP="00323ABF">
      <w:pPr>
        <w:spacing w:before="100" w:beforeAutospacing="1" w:after="100" w:afterAutospacing="1" w:line="360" w:lineRule="auto"/>
        <w:contextualSpacing/>
        <w:jc w:val="both"/>
        <w:rPr>
          <w:rFonts w:ascii="Arial" w:hAnsi="Arial" w:cs="Arial"/>
          <w:color w:val="000000"/>
          <w:sz w:val="16"/>
          <w:szCs w:val="16"/>
        </w:rPr>
      </w:pPr>
      <w:r w:rsidRPr="00B92499">
        <w:rPr>
          <w:rFonts w:ascii="Arial" w:hAnsi="Arial" w:cs="Arial"/>
          <w:b/>
          <w:bCs/>
          <w:color w:val="000000"/>
          <w:sz w:val="16"/>
          <w:szCs w:val="16"/>
        </w:rPr>
        <w:t>%Nota PT:</w:t>
      </w:r>
      <w:r w:rsidRPr="00B92499">
        <w:rPr>
          <w:rFonts w:ascii="Arial" w:hAnsi="Arial" w:cs="Arial"/>
          <w:color w:val="000000"/>
          <w:sz w:val="16"/>
          <w:szCs w:val="16"/>
        </w:rPr>
        <w:t xml:space="preserve"> corresponde al porcentaje del índice que hace referencia a las notas aclaratorias por no generación, competencia, publicación o actualización de la información que se encuentra publicada y actualizada en el Portal de Internet (PI) del </w:t>
      </w:r>
      <w:r w:rsidR="008710F6" w:rsidRPr="00B92499">
        <w:rPr>
          <w:rFonts w:ascii="Arial" w:hAnsi="Arial" w:cs="Arial"/>
          <w:color w:val="000000"/>
          <w:sz w:val="16"/>
          <w:szCs w:val="16"/>
        </w:rPr>
        <w:t>sujeto obligado</w:t>
      </w:r>
      <w:r w:rsidRPr="00B92499">
        <w:rPr>
          <w:rFonts w:ascii="Arial" w:hAnsi="Arial" w:cs="Arial"/>
          <w:color w:val="000000"/>
          <w:sz w:val="16"/>
          <w:szCs w:val="16"/>
        </w:rPr>
        <w:t>.</w:t>
      </w:r>
    </w:p>
    <w:p w14:paraId="0FE4C92C" w14:textId="57258F62" w:rsidR="00323ABF" w:rsidRPr="00B92499" w:rsidRDefault="00323ABF" w:rsidP="00323ABF">
      <w:pPr>
        <w:spacing w:before="100" w:beforeAutospacing="1" w:after="100" w:afterAutospacing="1" w:line="360" w:lineRule="auto"/>
        <w:contextualSpacing/>
        <w:jc w:val="both"/>
        <w:rPr>
          <w:rFonts w:ascii="Arial" w:hAnsi="Arial" w:cs="Arial"/>
          <w:color w:val="000000"/>
          <w:sz w:val="16"/>
          <w:szCs w:val="16"/>
        </w:rPr>
      </w:pPr>
      <w:r w:rsidRPr="00B92499">
        <w:rPr>
          <w:rFonts w:ascii="Arial" w:hAnsi="Arial" w:cs="Arial"/>
          <w:b/>
          <w:bCs/>
          <w:color w:val="000000"/>
          <w:sz w:val="16"/>
          <w:szCs w:val="16"/>
        </w:rPr>
        <w:t>%Nota PNT:</w:t>
      </w:r>
      <w:r w:rsidRPr="00B92499">
        <w:rPr>
          <w:rFonts w:ascii="Arial" w:hAnsi="Arial" w:cs="Arial"/>
          <w:color w:val="000000"/>
          <w:sz w:val="16"/>
          <w:szCs w:val="16"/>
        </w:rPr>
        <w:t xml:space="preserve"> corresponde al porcentaje del índice que hace referencia a las notas aclaratorias por no generación, competencia, publicación o actualización de la información que se encuentra publicada y actualizada en la Plataforma Nacional de Transparencia (PNT) del </w:t>
      </w:r>
      <w:r w:rsidR="008710F6" w:rsidRPr="00B92499">
        <w:rPr>
          <w:rFonts w:ascii="Arial" w:hAnsi="Arial" w:cs="Arial"/>
          <w:color w:val="000000"/>
          <w:sz w:val="16"/>
          <w:szCs w:val="16"/>
        </w:rPr>
        <w:t>sujeto obligado</w:t>
      </w:r>
      <w:r w:rsidRPr="00B92499">
        <w:rPr>
          <w:rFonts w:ascii="Arial" w:hAnsi="Arial" w:cs="Arial"/>
          <w:color w:val="000000"/>
          <w:sz w:val="16"/>
          <w:szCs w:val="16"/>
        </w:rPr>
        <w:t>.</w:t>
      </w:r>
    </w:p>
    <w:p w14:paraId="570658B3" w14:textId="6182185C" w:rsidR="00323ABF" w:rsidRPr="00B92499" w:rsidRDefault="00323ABF" w:rsidP="00323ABF">
      <w:pPr>
        <w:spacing w:before="100" w:beforeAutospacing="1" w:after="100" w:afterAutospacing="1" w:line="360" w:lineRule="auto"/>
        <w:contextualSpacing/>
        <w:jc w:val="both"/>
        <w:rPr>
          <w:rFonts w:ascii="Arial" w:hAnsi="Arial" w:cs="Arial"/>
          <w:color w:val="000000"/>
          <w:sz w:val="16"/>
          <w:szCs w:val="16"/>
        </w:rPr>
      </w:pPr>
      <w:r w:rsidRPr="00B92499">
        <w:rPr>
          <w:rFonts w:ascii="Arial" w:hAnsi="Arial" w:cs="Arial"/>
          <w:b/>
          <w:bCs/>
          <w:color w:val="000000"/>
          <w:sz w:val="16"/>
          <w:szCs w:val="16"/>
        </w:rPr>
        <w:t>%Nota IGOT:</w:t>
      </w:r>
      <w:r w:rsidRPr="00B92499">
        <w:rPr>
          <w:rFonts w:ascii="Arial" w:hAnsi="Arial" w:cs="Arial"/>
          <w:color w:val="000000"/>
          <w:sz w:val="16"/>
          <w:szCs w:val="16"/>
        </w:rPr>
        <w:t xml:space="preserve"> corresponde al porcentaje del índice que hace referencia a las notas aclaratorias por no generación, competencia, publicación o actualización de la información que se encuentra publicada y actualizada en la PNT y el PI del </w:t>
      </w:r>
      <w:r w:rsidR="008710F6" w:rsidRPr="00B92499">
        <w:rPr>
          <w:rFonts w:ascii="Arial" w:hAnsi="Arial" w:cs="Arial"/>
          <w:color w:val="000000"/>
          <w:sz w:val="16"/>
          <w:szCs w:val="16"/>
        </w:rPr>
        <w:t>sujeto obligado</w:t>
      </w:r>
      <w:r w:rsidRPr="00B92499">
        <w:rPr>
          <w:rFonts w:ascii="Arial" w:hAnsi="Arial" w:cs="Arial"/>
          <w:color w:val="000000"/>
          <w:sz w:val="16"/>
          <w:szCs w:val="16"/>
        </w:rPr>
        <w:t>.</w:t>
      </w:r>
    </w:p>
    <w:p w14:paraId="2985C251" w14:textId="77777777" w:rsidR="00323ABF" w:rsidRPr="00B92499" w:rsidRDefault="00323ABF" w:rsidP="00323ABF">
      <w:pPr>
        <w:spacing w:before="100" w:beforeAutospacing="1" w:after="100" w:afterAutospacing="1" w:line="360" w:lineRule="auto"/>
        <w:contextualSpacing/>
        <w:jc w:val="both"/>
        <w:rPr>
          <w:rFonts w:ascii="Arial" w:hAnsi="Arial" w:cs="Arial"/>
        </w:rPr>
      </w:pPr>
    </w:p>
    <w:p w14:paraId="0B7C5780" w14:textId="55A92224" w:rsidR="00323ABF" w:rsidRPr="00B92499" w:rsidRDefault="00323ABF" w:rsidP="00323ABF">
      <w:pPr>
        <w:spacing w:before="100" w:beforeAutospacing="1" w:after="100" w:afterAutospacing="1" w:line="360" w:lineRule="auto"/>
        <w:contextualSpacing/>
        <w:jc w:val="both"/>
        <w:rPr>
          <w:rFonts w:ascii="Arial" w:hAnsi="Arial" w:cs="Arial"/>
        </w:rPr>
      </w:pPr>
      <w:r w:rsidRPr="00B92499">
        <w:rPr>
          <w:rFonts w:ascii="Arial" w:hAnsi="Arial" w:cs="Arial"/>
        </w:rPr>
        <w:lastRenderedPageBreak/>
        <w:t xml:space="preserve">En atención a la Tabla de Aplicabilidad realizada por la DEAEE del Instituto, las obligaciones que los sindicatos deben actualizar y publicar en el SIPOT de la PNT, así como en sus respectivos portales de internet son las contempladas en los siguientes </w:t>
      </w:r>
      <w:r w:rsidR="008F67E4" w:rsidRPr="00B92499">
        <w:rPr>
          <w:rFonts w:ascii="Arial" w:hAnsi="Arial" w:cs="Arial"/>
        </w:rPr>
        <w:t>artículo</w:t>
      </w:r>
      <w:r w:rsidRPr="00B92499">
        <w:rPr>
          <w:rFonts w:ascii="Arial" w:hAnsi="Arial" w:cs="Arial"/>
        </w:rPr>
        <w:t xml:space="preserve">s: </w:t>
      </w:r>
    </w:p>
    <w:p w14:paraId="3C357436" w14:textId="0852D6AB" w:rsidR="00323ABF" w:rsidRPr="00B92499" w:rsidRDefault="00323ABF" w:rsidP="009F64B5">
      <w:pPr>
        <w:pStyle w:val="Prrafodelista"/>
        <w:numPr>
          <w:ilvl w:val="0"/>
          <w:numId w:val="12"/>
        </w:numPr>
        <w:spacing w:before="100" w:beforeAutospacing="1" w:after="100" w:afterAutospacing="1" w:line="360" w:lineRule="auto"/>
        <w:jc w:val="both"/>
        <w:rPr>
          <w:rFonts w:ascii="Arial" w:hAnsi="Arial" w:cs="Arial"/>
          <w:sz w:val="24"/>
          <w:szCs w:val="24"/>
          <w:lang w:val="es-ES_tradnl"/>
        </w:rPr>
      </w:pPr>
      <w:r w:rsidRPr="00B92499">
        <w:rPr>
          <w:rFonts w:ascii="Arial" w:hAnsi="Arial" w:cs="Arial"/>
          <w:sz w:val="24"/>
          <w:szCs w:val="24"/>
          <w:lang w:val="es-ES_tradnl"/>
        </w:rPr>
        <w:t>Artículo 121. Obligaciones comunes,</w:t>
      </w:r>
    </w:p>
    <w:p w14:paraId="69B8039F" w14:textId="6D0210C5" w:rsidR="00323ABF" w:rsidRPr="00B92499" w:rsidRDefault="00323ABF" w:rsidP="009F64B5">
      <w:pPr>
        <w:pStyle w:val="Prrafodelista"/>
        <w:numPr>
          <w:ilvl w:val="0"/>
          <w:numId w:val="12"/>
        </w:numPr>
        <w:spacing w:before="100" w:beforeAutospacing="1" w:after="100" w:afterAutospacing="1" w:line="360" w:lineRule="auto"/>
        <w:jc w:val="both"/>
        <w:rPr>
          <w:rFonts w:ascii="Arial" w:hAnsi="Arial" w:cs="Arial"/>
          <w:sz w:val="24"/>
          <w:szCs w:val="24"/>
          <w:lang w:val="es-ES_tradnl"/>
        </w:rPr>
      </w:pPr>
      <w:r w:rsidRPr="00B92499">
        <w:rPr>
          <w:rFonts w:ascii="Arial" w:hAnsi="Arial" w:cs="Arial"/>
          <w:sz w:val="24"/>
          <w:szCs w:val="24"/>
          <w:lang w:val="es-ES_tradnl"/>
        </w:rPr>
        <w:t>Artículo 125. Obligaciones específicas del Poder Legislativo,</w:t>
      </w:r>
    </w:p>
    <w:p w14:paraId="050954C3" w14:textId="034A4DAE" w:rsidR="00323ABF" w:rsidRPr="00B92499" w:rsidRDefault="00323ABF" w:rsidP="009F64B5">
      <w:pPr>
        <w:pStyle w:val="Prrafodelista"/>
        <w:numPr>
          <w:ilvl w:val="0"/>
          <w:numId w:val="12"/>
        </w:numPr>
        <w:spacing w:before="100" w:beforeAutospacing="1" w:after="100" w:afterAutospacing="1" w:line="360" w:lineRule="auto"/>
        <w:jc w:val="both"/>
        <w:rPr>
          <w:rFonts w:ascii="Arial" w:hAnsi="Arial" w:cs="Arial"/>
          <w:sz w:val="24"/>
          <w:szCs w:val="24"/>
          <w:lang w:val="es-ES_tradnl"/>
        </w:rPr>
      </w:pPr>
      <w:r w:rsidRPr="00B92499">
        <w:rPr>
          <w:rFonts w:ascii="Arial" w:hAnsi="Arial" w:cs="Arial"/>
          <w:sz w:val="24"/>
          <w:szCs w:val="24"/>
          <w:lang w:val="es-ES_tradnl"/>
        </w:rPr>
        <w:t>Artículo 145. Disposiciones Particulares,</w:t>
      </w:r>
    </w:p>
    <w:p w14:paraId="52057EA0" w14:textId="5492C648" w:rsidR="00323ABF" w:rsidRPr="00B92499" w:rsidRDefault="00323ABF" w:rsidP="009F64B5">
      <w:pPr>
        <w:pStyle w:val="Prrafodelista"/>
        <w:numPr>
          <w:ilvl w:val="0"/>
          <w:numId w:val="12"/>
        </w:numPr>
        <w:spacing w:before="100" w:beforeAutospacing="1" w:after="100" w:afterAutospacing="1" w:line="360" w:lineRule="auto"/>
        <w:jc w:val="both"/>
        <w:rPr>
          <w:rFonts w:ascii="Arial" w:hAnsi="Arial" w:cs="Arial"/>
          <w:sz w:val="24"/>
          <w:szCs w:val="24"/>
          <w:lang w:val="es-ES_tradnl"/>
        </w:rPr>
      </w:pPr>
      <w:r w:rsidRPr="00B92499">
        <w:rPr>
          <w:rFonts w:ascii="Arial" w:hAnsi="Arial" w:cs="Arial"/>
          <w:sz w:val="24"/>
          <w:szCs w:val="24"/>
          <w:lang w:val="es-ES_tradnl"/>
        </w:rPr>
        <w:t xml:space="preserve">Artículo 146. Disposiciones Particulares, y </w:t>
      </w:r>
    </w:p>
    <w:p w14:paraId="37D7AC66" w14:textId="1DCD893C" w:rsidR="00323ABF" w:rsidRPr="00B92499" w:rsidRDefault="00323ABF" w:rsidP="009F64B5">
      <w:pPr>
        <w:pStyle w:val="Prrafodelista"/>
        <w:numPr>
          <w:ilvl w:val="0"/>
          <w:numId w:val="12"/>
        </w:numPr>
        <w:spacing w:before="100" w:beforeAutospacing="1" w:after="100" w:afterAutospacing="1" w:line="360" w:lineRule="auto"/>
        <w:jc w:val="both"/>
        <w:rPr>
          <w:rFonts w:ascii="Arial" w:hAnsi="Arial" w:cs="Arial"/>
          <w:sz w:val="24"/>
          <w:szCs w:val="24"/>
          <w:lang w:val="es-ES_tradnl"/>
        </w:rPr>
      </w:pPr>
      <w:r w:rsidRPr="00B92499">
        <w:rPr>
          <w:rFonts w:ascii="Arial" w:hAnsi="Arial" w:cs="Arial"/>
          <w:sz w:val="24"/>
          <w:szCs w:val="24"/>
          <w:lang w:val="es-ES_tradnl"/>
        </w:rPr>
        <w:t>Artículo 147. Disposiciones Particulares.</w:t>
      </w:r>
    </w:p>
    <w:p w14:paraId="67FD8A96" w14:textId="77777777" w:rsidR="00323ABF" w:rsidRPr="00B92499" w:rsidRDefault="00323ABF" w:rsidP="009F64B5">
      <w:pPr>
        <w:pStyle w:val="Ttulo2"/>
        <w:numPr>
          <w:ilvl w:val="1"/>
          <w:numId w:val="13"/>
        </w:numPr>
        <w:contextualSpacing/>
        <w:jc w:val="both"/>
        <w:rPr>
          <w:rFonts w:ascii="Arial" w:hAnsi="Arial" w:cs="Arial"/>
          <w:b/>
          <w:color w:val="auto"/>
          <w:sz w:val="24"/>
          <w:szCs w:val="24"/>
        </w:rPr>
      </w:pPr>
      <w:bookmarkStart w:id="40" w:name="_Toc23252996"/>
      <w:r w:rsidRPr="00B92499">
        <w:rPr>
          <w:rFonts w:ascii="Arial" w:hAnsi="Arial" w:cs="Arial"/>
          <w:b/>
          <w:color w:val="auto"/>
          <w:sz w:val="24"/>
          <w:szCs w:val="24"/>
        </w:rPr>
        <w:t>Análisis global de cumplimiento de los Sindicatos</w:t>
      </w:r>
      <w:bookmarkEnd w:id="40"/>
    </w:p>
    <w:p w14:paraId="04BA8BEA" w14:textId="77777777" w:rsidR="00323ABF" w:rsidRPr="00B92499" w:rsidRDefault="00323ABF" w:rsidP="00323ABF">
      <w:pPr>
        <w:rPr>
          <w:rFonts w:ascii="Arial" w:hAnsi="Arial" w:cs="Arial"/>
        </w:rPr>
      </w:pPr>
    </w:p>
    <w:p w14:paraId="0396474F" w14:textId="69D57858" w:rsidR="00323ABF" w:rsidRPr="00B92499" w:rsidRDefault="00323ABF" w:rsidP="00323ABF">
      <w:pPr>
        <w:spacing w:before="100" w:beforeAutospacing="1" w:after="100" w:afterAutospacing="1" w:line="360" w:lineRule="auto"/>
        <w:contextualSpacing/>
        <w:jc w:val="both"/>
        <w:rPr>
          <w:rFonts w:ascii="Arial" w:hAnsi="Arial" w:cs="Arial"/>
          <w:u w:val="single"/>
        </w:rPr>
      </w:pPr>
      <w:r w:rsidRPr="00B92499">
        <w:rPr>
          <w:rFonts w:ascii="Arial" w:hAnsi="Arial" w:cs="Arial"/>
          <w:u w:val="single"/>
        </w:rPr>
        <w:t xml:space="preserve">Índices Globales de Cumplimiento de las </w:t>
      </w:r>
      <w:r w:rsidR="008710F6" w:rsidRPr="00B92499">
        <w:rPr>
          <w:rFonts w:ascii="Arial" w:hAnsi="Arial" w:cs="Arial"/>
          <w:u w:val="single"/>
        </w:rPr>
        <w:t>obligaciones de transparencia</w:t>
      </w:r>
    </w:p>
    <w:p w14:paraId="373A5720" w14:textId="3260462A" w:rsidR="00323ABF" w:rsidRPr="00B92499" w:rsidRDefault="00323ABF" w:rsidP="00323ABF">
      <w:pPr>
        <w:spacing w:before="100" w:beforeAutospacing="1" w:after="100" w:afterAutospacing="1" w:line="360" w:lineRule="auto"/>
        <w:contextualSpacing/>
        <w:jc w:val="both"/>
        <w:rPr>
          <w:rFonts w:ascii="Arial" w:hAnsi="Arial" w:cs="Arial"/>
        </w:rPr>
      </w:pPr>
      <w:r w:rsidRPr="00B92499">
        <w:rPr>
          <w:rFonts w:ascii="Arial" w:hAnsi="Arial" w:cs="Arial"/>
        </w:rPr>
        <w:t xml:space="preserve">Con relación a IGOT, el Congreso obtuvo un promedio de </w:t>
      </w:r>
      <w:r w:rsidR="003356CA" w:rsidRPr="00B92499">
        <w:rPr>
          <w:rFonts w:ascii="Arial" w:hAnsi="Arial" w:cs="Arial"/>
        </w:rPr>
        <w:t>95.03</w:t>
      </w:r>
      <w:r w:rsidRPr="00B92499">
        <w:rPr>
          <w:rFonts w:ascii="Arial" w:hAnsi="Arial" w:cs="Arial"/>
        </w:rPr>
        <w:t xml:space="preserve">%, el cual está compuesto por un índice de </w:t>
      </w:r>
      <w:r w:rsidR="003356CA" w:rsidRPr="00B92499">
        <w:rPr>
          <w:rFonts w:ascii="Arial" w:hAnsi="Arial" w:cs="Arial"/>
        </w:rPr>
        <w:t>95.41</w:t>
      </w:r>
      <w:r w:rsidRPr="00B92499">
        <w:rPr>
          <w:rFonts w:ascii="Arial" w:hAnsi="Arial" w:cs="Arial"/>
        </w:rPr>
        <w:t xml:space="preserve">% en lo que corresponde a la Plataforma Nacional de Transparencia (PNT) y un índice de </w:t>
      </w:r>
      <w:r w:rsidR="003356CA" w:rsidRPr="00B92499">
        <w:rPr>
          <w:rFonts w:ascii="Arial" w:hAnsi="Arial" w:cs="Arial"/>
        </w:rPr>
        <w:t>94.65</w:t>
      </w:r>
      <w:r w:rsidRPr="00B92499">
        <w:rPr>
          <w:rFonts w:ascii="Arial" w:hAnsi="Arial" w:cs="Arial"/>
        </w:rPr>
        <w:t xml:space="preserve">% en lo que se refiere al Portal Institucional (PI). </w:t>
      </w:r>
    </w:p>
    <w:p w14:paraId="542D2DA8" w14:textId="77777777" w:rsidR="00323ABF" w:rsidRPr="00B92499" w:rsidRDefault="00323ABF" w:rsidP="00323ABF">
      <w:pPr>
        <w:spacing w:before="100" w:beforeAutospacing="1" w:after="100" w:afterAutospacing="1" w:line="360" w:lineRule="auto"/>
        <w:contextualSpacing/>
        <w:jc w:val="both"/>
        <w:rPr>
          <w:rFonts w:ascii="Arial" w:hAnsi="Arial" w:cs="Arial"/>
        </w:rPr>
      </w:pPr>
    </w:p>
    <w:p w14:paraId="643D675C" w14:textId="77777777" w:rsidR="00323ABF" w:rsidRPr="00B92499" w:rsidRDefault="00323ABF" w:rsidP="00323ABF">
      <w:pPr>
        <w:spacing w:before="100" w:beforeAutospacing="1" w:after="100" w:afterAutospacing="1" w:line="360" w:lineRule="auto"/>
        <w:contextualSpacing/>
        <w:jc w:val="both"/>
        <w:rPr>
          <w:rFonts w:ascii="Arial" w:hAnsi="Arial" w:cs="Arial"/>
        </w:rPr>
      </w:pPr>
      <w:r w:rsidRPr="00B92499">
        <w:rPr>
          <w:rFonts w:ascii="Arial" w:hAnsi="Arial" w:cs="Arial"/>
        </w:rPr>
        <w:t xml:space="preserve">No obstante, el grado de cumplimiento anteriormente señalado está conformado por el índice de cumplimiento respecto de la información que se encuentra pública y actualizada tanto en los Portales de Internet Institucionales como en la Plataforma Nacional de Transparencia y el índice de cumplimiento respecto de la atención a lo mandatado en las obligaciones de transparencia a través de la publicación de una nota fundada y motivada que aclara el por qué no se generó, publicó o actualizó la información. </w:t>
      </w:r>
    </w:p>
    <w:p w14:paraId="22B332C1" w14:textId="77777777" w:rsidR="00323ABF" w:rsidRPr="00B92499" w:rsidRDefault="00323ABF" w:rsidP="00323ABF">
      <w:pPr>
        <w:spacing w:before="100" w:beforeAutospacing="1" w:after="100" w:afterAutospacing="1" w:line="360" w:lineRule="auto"/>
        <w:contextualSpacing/>
        <w:jc w:val="both"/>
        <w:rPr>
          <w:rFonts w:ascii="Arial" w:hAnsi="Arial" w:cs="Arial"/>
        </w:rPr>
      </w:pPr>
    </w:p>
    <w:p w14:paraId="4FAED308" w14:textId="47D5F059" w:rsidR="00323ABF" w:rsidRPr="00B92499" w:rsidRDefault="00323ABF" w:rsidP="00323ABF">
      <w:pPr>
        <w:spacing w:before="100" w:beforeAutospacing="1" w:after="100" w:afterAutospacing="1" w:line="360" w:lineRule="auto"/>
        <w:contextualSpacing/>
        <w:jc w:val="both"/>
        <w:rPr>
          <w:rFonts w:ascii="Arial" w:hAnsi="Arial" w:cs="Arial"/>
        </w:rPr>
      </w:pPr>
      <w:r w:rsidRPr="00B92499">
        <w:rPr>
          <w:rFonts w:ascii="Arial" w:hAnsi="Arial" w:cs="Arial"/>
        </w:rPr>
        <w:t xml:space="preserve">El grado de cumplimiento de este ámbito, consistente en </w:t>
      </w:r>
      <w:r w:rsidR="003356CA" w:rsidRPr="00B92499">
        <w:rPr>
          <w:rFonts w:ascii="Arial" w:hAnsi="Arial" w:cs="Arial"/>
        </w:rPr>
        <w:t>95.03</w:t>
      </w:r>
      <w:r w:rsidRPr="00B92499">
        <w:rPr>
          <w:rFonts w:ascii="Arial" w:hAnsi="Arial" w:cs="Arial"/>
        </w:rPr>
        <w:t xml:space="preserve">%, está integrado por </w:t>
      </w:r>
      <w:r w:rsidR="003356CA" w:rsidRPr="00B92499">
        <w:rPr>
          <w:rFonts w:ascii="Arial" w:hAnsi="Arial" w:cs="Arial"/>
        </w:rPr>
        <w:t>93.42</w:t>
      </w:r>
      <w:r w:rsidRPr="00B92499">
        <w:rPr>
          <w:rFonts w:ascii="Arial" w:hAnsi="Arial" w:cs="Arial"/>
        </w:rPr>
        <w:t xml:space="preserve">% de información publicada y actualizada en atención a los principios mandatados en la Ley de Transparencia Local y un </w:t>
      </w:r>
      <w:r w:rsidR="003356CA" w:rsidRPr="00B92499">
        <w:rPr>
          <w:rFonts w:ascii="Arial" w:hAnsi="Arial" w:cs="Arial"/>
        </w:rPr>
        <w:t>1.61</w:t>
      </w:r>
      <w:r w:rsidRPr="00B92499">
        <w:rPr>
          <w:rFonts w:ascii="Arial" w:hAnsi="Arial" w:cs="Arial"/>
        </w:rPr>
        <w:t xml:space="preserve">% que corresponde a notas aclaratorias. </w:t>
      </w:r>
    </w:p>
    <w:p w14:paraId="00E2A73D" w14:textId="77777777" w:rsidR="00323ABF" w:rsidRPr="00B92499" w:rsidRDefault="00323ABF" w:rsidP="00323ABF">
      <w:pPr>
        <w:spacing w:before="100" w:beforeAutospacing="1" w:after="100" w:afterAutospacing="1" w:line="360" w:lineRule="auto"/>
        <w:contextualSpacing/>
        <w:jc w:val="both"/>
        <w:rPr>
          <w:rFonts w:ascii="Arial" w:hAnsi="Arial" w:cs="Arial"/>
        </w:rPr>
      </w:pPr>
    </w:p>
    <w:p w14:paraId="12366DA9" w14:textId="548F922C" w:rsidR="00323ABF" w:rsidRPr="00B92499" w:rsidRDefault="00323ABF" w:rsidP="00323ABF">
      <w:pPr>
        <w:spacing w:before="100" w:beforeAutospacing="1" w:after="100" w:afterAutospacing="1" w:line="360" w:lineRule="auto"/>
        <w:contextualSpacing/>
        <w:jc w:val="both"/>
        <w:rPr>
          <w:rFonts w:ascii="Arial" w:hAnsi="Arial" w:cs="Arial"/>
          <w:u w:val="single"/>
        </w:rPr>
      </w:pPr>
      <w:r w:rsidRPr="00B92499">
        <w:rPr>
          <w:rFonts w:ascii="Arial" w:hAnsi="Arial" w:cs="Arial"/>
          <w:u w:val="single"/>
        </w:rPr>
        <w:t xml:space="preserve">Cumplimiento diferenciado por </w:t>
      </w:r>
      <w:r w:rsidR="008F67E4" w:rsidRPr="00B92499">
        <w:rPr>
          <w:rFonts w:ascii="Arial" w:hAnsi="Arial" w:cs="Arial"/>
          <w:u w:val="single"/>
        </w:rPr>
        <w:t>artículo</w:t>
      </w:r>
      <w:r w:rsidRPr="00B92499">
        <w:rPr>
          <w:rFonts w:ascii="Arial" w:hAnsi="Arial" w:cs="Arial"/>
          <w:u w:val="single"/>
        </w:rPr>
        <w:t xml:space="preserve">s </w:t>
      </w:r>
    </w:p>
    <w:p w14:paraId="4D199D19" w14:textId="77777777" w:rsidR="00323ABF" w:rsidRPr="00B92499" w:rsidRDefault="00323ABF" w:rsidP="00323ABF">
      <w:pPr>
        <w:spacing w:before="100" w:beforeAutospacing="1" w:after="100" w:afterAutospacing="1" w:line="360" w:lineRule="auto"/>
        <w:contextualSpacing/>
        <w:jc w:val="both"/>
        <w:rPr>
          <w:rFonts w:ascii="Arial" w:hAnsi="Arial" w:cs="Arial"/>
          <w:u w:val="single"/>
        </w:rPr>
      </w:pPr>
    </w:p>
    <w:p w14:paraId="6AACAFF8" w14:textId="1350A6D6" w:rsidR="00323ABF" w:rsidRPr="00B92499" w:rsidRDefault="00323ABF" w:rsidP="00323ABF">
      <w:pPr>
        <w:spacing w:before="100" w:beforeAutospacing="1" w:after="100" w:afterAutospacing="1" w:line="360" w:lineRule="auto"/>
        <w:contextualSpacing/>
        <w:jc w:val="both"/>
        <w:rPr>
          <w:rFonts w:ascii="Arial" w:hAnsi="Arial" w:cs="Arial"/>
        </w:rPr>
      </w:pPr>
      <w:r w:rsidRPr="00B92499">
        <w:rPr>
          <w:rFonts w:ascii="Arial" w:hAnsi="Arial" w:cs="Arial"/>
        </w:rPr>
        <w:t xml:space="preserve">Con relación al tipo de obligaciones de transparencia, este </w:t>
      </w:r>
      <w:r w:rsidR="00A64325" w:rsidRPr="00B92499">
        <w:rPr>
          <w:rFonts w:ascii="Arial" w:hAnsi="Arial" w:cs="Arial"/>
        </w:rPr>
        <w:t xml:space="preserve">ámbito </w:t>
      </w:r>
      <w:r w:rsidRPr="00B92499">
        <w:rPr>
          <w:rFonts w:ascii="Arial" w:hAnsi="Arial" w:cs="Arial"/>
        </w:rPr>
        <w:t>ha cumplido parcialmente en la publicación y actualización de sus obligaciones comunes, específicas y disposiciones particulares; obteniendo en las</w:t>
      </w:r>
      <w:r w:rsidR="000D67A7" w:rsidRPr="00B92499">
        <w:rPr>
          <w:rFonts w:ascii="Arial" w:hAnsi="Arial" w:cs="Arial"/>
        </w:rPr>
        <w:t xml:space="preserve"> 3 </w:t>
      </w:r>
      <w:r w:rsidRPr="00B92499">
        <w:rPr>
          <w:rFonts w:ascii="Arial" w:hAnsi="Arial" w:cs="Arial"/>
        </w:rPr>
        <w:t xml:space="preserve">un promedio de cumplimiento </w:t>
      </w:r>
      <w:r w:rsidR="003356CA" w:rsidRPr="00B92499">
        <w:rPr>
          <w:rFonts w:ascii="Arial" w:hAnsi="Arial" w:cs="Arial"/>
        </w:rPr>
        <w:t xml:space="preserve">de 94.35%, 93.57% y 98.57% respectivamente. </w:t>
      </w:r>
    </w:p>
    <w:p w14:paraId="7DE7A431" w14:textId="77777777" w:rsidR="00323ABF" w:rsidRPr="00B92499" w:rsidRDefault="00323ABF" w:rsidP="00323ABF">
      <w:pPr>
        <w:spacing w:before="100" w:beforeAutospacing="1" w:after="100" w:afterAutospacing="1" w:line="360" w:lineRule="auto"/>
        <w:contextualSpacing/>
        <w:jc w:val="both"/>
        <w:rPr>
          <w:rFonts w:ascii="Arial" w:hAnsi="Arial" w:cs="Arial"/>
        </w:rPr>
      </w:pPr>
    </w:p>
    <w:p w14:paraId="3A92E99B" w14:textId="6E3CE684" w:rsidR="00323ABF" w:rsidRPr="00B92499" w:rsidRDefault="00323ABF" w:rsidP="00323ABF">
      <w:pPr>
        <w:spacing w:before="100" w:beforeAutospacing="1" w:after="100" w:afterAutospacing="1" w:line="360" w:lineRule="auto"/>
        <w:contextualSpacing/>
        <w:jc w:val="both"/>
        <w:rPr>
          <w:rFonts w:ascii="Arial" w:hAnsi="Arial" w:cs="Arial"/>
        </w:rPr>
      </w:pPr>
      <w:r w:rsidRPr="00B92499">
        <w:rPr>
          <w:rFonts w:ascii="Arial" w:hAnsi="Arial" w:cs="Arial"/>
        </w:rPr>
        <w:t xml:space="preserve">En esta misma línea, los artículos </w:t>
      </w:r>
      <w:r w:rsidR="003356CA" w:rsidRPr="00B92499">
        <w:rPr>
          <w:rFonts w:ascii="Arial" w:hAnsi="Arial" w:cs="Arial"/>
        </w:rPr>
        <w:t>145 y 146</w:t>
      </w:r>
      <w:r w:rsidRPr="00B92499">
        <w:rPr>
          <w:rFonts w:ascii="Arial" w:hAnsi="Arial" w:cs="Arial"/>
        </w:rPr>
        <w:t xml:space="preserve"> tuvieron un ICP de 100%, logrando un cumplimiento total, el artículo </w:t>
      </w:r>
      <w:r w:rsidR="003356CA" w:rsidRPr="00B92499">
        <w:rPr>
          <w:rFonts w:ascii="Arial" w:hAnsi="Arial" w:cs="Arial"/>
        </w:rPr>
        <w:t>121</w:t>
      </w:r>
      <w:r w:rsidRPr="00B92499">
        <w:rPr>
          <w:rFonts w:ascii="Arial" w:hAnsi="Arial" w:cs="Arial"/>
        </w:rPr>
        <w:t xml:space="preserve"> obtuvo un ICP de </w:t>
      </w:r>
      <w:r w:rsidR="003356CA" w:rsidRPr="00B92499">
        <w:rPr>
          <w:rFonts w:ascii="Arial" w:hAnsi="Arial" w:cs="Arial"/>
        </w:rPr>
        <w:t>94.35</w:t>
      </w:r>
      <w:r w:rsidRPr="00B92499">
        <w:rPr>
          <w:rFonts w:ascii="Arial" w:hAnsi="Arial" w:cs="Arial"/>
        </w:rPr>
        <w:t xml:space="preserve">%, el artículo </w:t>
      </w:r>
      <w:r w:rsidR="003356CA" w:rsidRPr="00B92499">
        <w:rPr>
          <w:rFonts w:ascii="Arial" w:hAnsi="Arial" w:cs="Arial"/>
        </w:rPr>
        <w:t>147</w:t>
      </w:r>
      <w:r w:rsidRPr="00B92499">
        <w:rPr>
          <w:rFonts w:ascii="Arial" w:hAnsi="Arial" w:cs="Arial"/>
        </w:rPr>
        <w:t xml:space="preserve"> alcanzó un ICP </w:t>
      </w:r>
      <w:r w:rsidR="003356CA" w:rsidRPr="00B92499">
        <w:rPr>
          <w:rFonts w:ascii="Arial" w:hAnsi="Arial" w:cs="Arial"/>
        </w:rPr>
        <w:t>94.28</w:t>
      </w:r>
      <w:r w:rsidRPr="00B92499">
        <w:rPr>
          <w:rFonts w:ascii="Arial" w:hAnsi="Arial" w:cs="Arial"/>
        </w:rPr>
        <w:t>%</w:t>
      </w:r>
      <w:r w:rsidR="003356CA" w:rsidRPr="00B92499">
        <w:rPr>
          <w:rFonts w:ascii="Arial" w:hAnsi="Arial" w:cs="Arial"/>
        </w:rPr>
        <w:t xml:space="preserve"> y el artículo 12</w:t>
      </w:r>
      <w:r w:rsidR="00FF3679" w:rsidRPr="00B92499">
        <w:rPr>
          <w:rFonts w:ascii="Arial" w:hAnsi="Arial" w:cs="Arial"/>
        </w:rPr>
        <w:t>5</w:t>
      </w:r>
      <w:r w:rsidR="003356CA" w:rsidRPr="00B92499">
        <w:rPr>
          <w:rFonts w:ascii="Arial" w:hAnsi="Arial" w:cs="Arial"/>
        </w:rPr>
        <w:t xml:space="preserve"> </w:t>
      </w:r>
      <w:r w:rsidRPr="00B92499">
        <w:rPr>
          <w:rFonts w:ascii="Arial" w:hAnsi="Arial" w:cs="Arial"/>
        </w:rPr>
        <w:t>tuvo un ICP de</w:t>
      </w:r>
      <w:r w:rsidR="003356CA" w:rsidRPr="00B92499">
        <w:rPr>
          <w:rFonts w:ascii="Arial" w:hAnsi="Arial" w:cs="Arial"/>
        </w:rPr>
        <w:t xml:space="preserve"> 93.50</w:t>
      </w:r>
      <w:r w:rsidRPr="00B92499">
        <w:rPr>
          <w:rFonts w:ascii="Arial" w:hAnsi="Arial" w:cs="Arial"/>
        </w:rPr>
        <w:t>%</w:t>
      </w:r>
      <w:r w:rsidR="003356CA" w:rsidRPr="00B92499">
        <w:rPr>
          <w:rFonts w:ascii="Arial" w:hAnsi="Arial" w:cs="Arial"/>
        </w:rPr>
        <w:t xml:space="preserve">. </w:t>
      </w:r>
    </w:p>
    <w:p w14:paraId="5823CFBB" w14:textId="70E50BE0" w:rsidR="003356CA" w:rsidRPr="00B92499" w:rsidRDefault="003356CA" w:rsidP="00323ABF">
      <w:pPr>
        <w:spacing w:before="100" w:beforeAutospacing="1" w:after="100" w:afterAutospacing="1" w:line="360" w:lineRule="auto"/>
        <w:contextualSpacing/>
        <w:jc w:val="both"/>
        <w:rPr>
          <w:rFonts w:ascii="Arial" w:hAnsi="Arial" w:cs="Arial"/>
        </w:rPr>
      </w:pPr>
    </w:p>
    <w:p w14:paraId="1E059380" w14:textId="08674132" w:rsidR="003356CA" w:rsidRPr="00B92499" w:rsidRDefault="003356CA" w:rsidP="00323ABF">
      <w:pPr>
        <w:spacing w:before="100" w:beforeAutospacing="1" w:after="100" w:afterAutospacing="1" w:line="360" w:lineRule="auto"/>
        <w:contextualSpacing/>
        <w:jc w:val="both"/>
        <w:rPr>
          <w:rFonts w:ascii="Arial" w:hAnsi="Arial" w:cs="Arial"/>
        </w:rPr>
      </w:pPr>
      <w:r w:rsidRPr="00B92499">
        <w:rPr>
          <w:rFonts w:ascii="Arial" w:hAnsi="Arial" w:cs="Arial"/>
        </w:rPr>
        <w:t>De igual forma, respecto de cada uno de los artículos que conforman el índice global, el ICP del artíc</w:t>
      </w:r>
      <w:r w:rsidR="00210D90" w:rsidRPr="00B92499">
        <w:rPr>
          <w:rFonts w:ascii="Arial" w:hAnsi="Arial" w:cs="Arial"/>
        </w:rPr>
        <w:t>ulo 121 está compuesto por 2.5%</w:t>
      </w:r>
      <w:r w:rsidRPr="00B92499">
        <w:rPr>
          <w:rFonts w:ascii="Arial" w:hAnsi="Arial" w:cs="Arial"/>
        </w:rPr>
        <w:t xml:space="preserve"> de notas aclaratorias, el ICP del artículo 125 por 0.28% de notas y los ICP de los artículos 145, 146 y 147 no tuvieron cambio alguno, debido a que no fueron utilizadas notas aclaratorias.  </w:t>
      </w:r>
    </w:p>
    <w:p w14:paraId="4C30D2FC" w14:textId="77777777" w:rsidR="003356CA" w:rsidRPr="00B92499" w:rsidRDefault="003356CA" w:rsidP="00323ABF">
      <w:pPr>
        <w:spacing w:before="100" w:beforeAutospacing="1" w:after="100" w:afterAutospacing="1" w:line="360" w:lineRule="auto"/>
        <w:contextualSpacing/>
        <w:jc w:val="both"/>
        <w:rPr>
          <w:rFonts w:ascii="Arial" w:hAnsi="Arial" w:cs="Arial"/>
        </w:rPr>
      </w:pPr>
    </w:p>
    <w:p w14:paraId="3118B840" w14:textId="280CE23A" w:rsidR="00323ABF" w:rsidRPr="00B92499" w:rsidRDefault="00323ABF" w:rsidP="009F64B5">
      <w:pPr>
        <w:pStyle w:val="Ttulo2"/>
        <w:numPr>
          <w:ilvl w:val="1"/>
          <w:numId w:val="13"/>
        </w:numPr>
        <w:contextualSpacing/>
        <w:jc w:val="both"/>
        <w:rPr>
          <w:rFonts w:ascii="Arial" w:hAnsi="Arial" w:cs="Arial"/>
          <w:b/>
          <w:color w:val="auto"/>
          <w:sz w:val="24"/>
          <w:szCs w:val="24"/>
        </w:rPr>
      </w:pPr>
      <w:bookmarkStart w:id="41" w:name="_Toc23252997"/>
      <w:r w:rsidRPr="00B92499">
        <w:rPr>
          <w:rFonts w:ascii="Arial" w:hAnsi="Arial" w:cs="Arial"/>
          <w:b/>
          <w:color w:val="auto"/>
          <w:sz w:val="24"/>
          <w:szCs w:val="24"/>
        </w:rPr>
        <w:t xml:space="preserve">Análisis del </w:t>
      </w:r>
      <w:r w:rsidR="008F67E4" w:rsidRPr="00B92499">
        <w:rPr>
          <w:rFonts w:ascii="Arial" w:hAnsi="Arial" w:cs="Arial"/>
          <w:b/>
          <w:color w:val="auto"/>
          <w:sz w:val="24"/>
          <w:szCs w:val="24"/>
        </w:rPr>
        <w:t>artículo</w:t>
      </w:r>
      <w:r w:rsidRPr="00B92499">
        <w:rPr>
          <w:rFonts w:ascii="Arial" w:hAnsi="Arial" w:cs="Arial"/>
          <w:b/>
          <w:color w:val="auto"/>
          <w:sz w:val="24"/>
          <w:szCs w:val="24"/>
        </w:rPr>
        <w:t xml:space="preserve"> 121 y sus respectivas fracciones</w:t>
      </w:r>
      <w:bookmarkEnd w:id="41"/>
    </w:p>
    <w:p w14:paraId="1C613A08" w14:textId="594682DC" w:rsidR="00323ABF" w:rsidRPr="00B92499" w:rsidRDefault="00323ABF" w:rsidP="00323ABF">
      <w:pPr>
        <w:spacing w:before="100" w:beforeAutospacing="1" w:after="100" w:afterAutospacing="1" w:line="360" w:lineRule="auto"/>
        <w:contextualSpacing/>
        <w:jc w:val="both"/>
        <w:rPr>
          <w:rFonts w:ascii="Arial" w:hAnsi="Arial" w:cs="Arial"/>
        </w:rPr>
      </w:pPr>
      <w:r w:rsidRPr="00B92499">
        <w:rPr>
          <w:rFonts w:ascii="Arial" w:hAnsi="Arial" w:cs="Arial"/>
        </w:rPr>
        <w:t xml:space="preserve">El </w:t>
      </w:r>
      <w:r w:rsidR="003356CA" w:rsidRPr="00B92499">
        <w:rPr>
          <w:rFonts w:ascii="Arial" w:hAnsi="Arial" w:cs="Arial"/>
        </w:rPr>
        <w:t>Congreso</w:t>
      </w:r>
      <w:r w:rsidRPr="00B92499">
        <w:rPr>
          <w:rFonts w:ascii="Arial" w:hAnsi="Arial" w:cs="Arial"/>
        </w:rPr>
        <w:t xml:space="preserve"> obtuvo un ICP en este artículo de </w:t>
      </w:r>
      <w:r w:rsidR="003356CA" w:rsidRPr="00B92499">
        <w:rPr>
          <w:rFonts w:ascii="Arial" w:hAnsi="Arial" w:cs="Arial"/>
        </w:rPr>
        <w:t>94.35</w:t>
      </w:r>
      <w:r w:rsidRPr="00B92499">
        <w:rPr>
          <w:rFonts w:ascii="Arial" w:hAnsi="Arial" w:cs="Arial"/>
        </w:rPr>
        <w:t xml:space="preserve">%; por lo que se encuentra dentro del área de cumplimiento parcial. Lo anterior se debió a que de las </w:t>
      </w:r>
      <w:r w:rsidR="00743C68" w:rsidRPr="00B92499">
        <w:rPr>
          <w:rFonts w:ascii="Arial" w:hAnsi="Arial" w:cs="Arial"/>
        </w:rPr>
        <w:t>54</w:t>
      </w:r>
      <w:r w:rsidRPr="00B92499">
        <w:rPr>
          <w:rFonts w:ascii="Arial" w:hAnsi="Arial" w:cs="Arial"/>
        </w:rPr>
        <w:t xml:space="preserve"> fracciones que les son aplicables, en </w:t>
      </w:r>
      <w:r w:rsidR="00743C68" w:rsidRPr="00B92499">
        <w:rPr>
          <w:rFonts w:ascii="Arial" w:hAnsi="Arial" w:cs="Arial"/>
        </w:rPr>
        <w:t>29</w:t>
      </w:r>
      <w:r w:rsidRPr="00B92499">
        <w:rPr>
          <w:rFonts w:ascii="Arial" w:hAnsi="Arial" w:cs="Arial"/>
        </w:rPr>
        <w:t xml:space="preserve"> alcanzó un cumplimiento total de 100%, en </w:t>
      </w:r>
      <w:r w:rsidR="00743C68" w:rsidRPr="00B92499">
        <w:rPr>
          <w:rFonts w:ascii="Arial" w:hAnsi="Arial" w:cs="Arial"/>
        </w:rPr>
        <w:t>24</w:t>
      </w:r>
      <w:r w:rsidRPr="00B92499">
        <w:rPr>
          <w:rFonts w:ascii="Arial" w:hAnsi="Arial" w:cs="Arial"/>
        </w:rPr>
        <w:t xml:space="preserve"> fracciones un cumplimiento parcial comprendido entre el </w:t>
      </w:r>
      <w:r w:rsidR="00743C68" w:rsidRPr="00B92499">
        <w:rPr>
          <w:rFonts w:ascii="Arial" w:hAnsi="Arial" w:cs="Arial"/>
        </w:rPr>
        <w:t>88.75</w:t>
      </w:r>
      <w:r w:rsidRPr="00B92499">
        <w:rPr>
          <w:rFonts w:ascii="Arial" w:hAnsi="Arial" w:cs="Arial"/>
        </w:rPr>
        <w:t>% y 9</w:t>
      </w:r>
      <w:r w:rsidR="00743C68" w:rsidRPr="00B92499">
        <w:rPr>
          <w:rFonts w:ascii="Arial" w:hAnsi="Arial" w:cs="Arial"/>
        </w:rPr>
        <w:t>9.40</w:t>
      </w:r>
      <w:r w:rsidRPr="00B92499">
        <w:rPr>
          <w:rFonts w:ascii="Arial" w:hAnsi="Arial" w:cs="Arial"/>
        </w:rPr>
        <w:t xml:space="preserve">% y en </w:t>
      </w:r>
      <w:r w:rsidR="00743C68" w:rsidRPr="00B92499">
        <w:rPr>
          <w:rFonts w:ascii="Arial" w:hAnsi="Arial" w:cs="Arial"/>
        </w:rPr>
        <w:t>una fracción</w:t>
      </w:r>
      <w:r w:rsidRPr="00B92499">
        <w:rPr>
          <w:rFonts w:ascii="Arial" w:hAnsi="Arial" w:cs="Arial"/>
        </w:rPr>
        <w:t xml:space="preserve"> alcanzó un incumplimiento parcial </w:t>
      </w:r>
      <w:r w:rsidR="00743C68" w:rsidRPr="00B92499">
        <w:rPr>
          <w:rFonts w:ascii="Arial" w:hAnsi="Arial" w:cs="Arial"/>
        </w:rPr>
        <w:t>de 50</w:t>
      </w:r>
      <w:r w:rsidRPr="00B92499">
        <w:rPr>
          <w:rFonts w:ascii="Arial" w:hAnsi="Arial" w:cs="Arial"/>
        </w:rPr>
        <w:t>%</w:t>
      </w:r>
      <w:r w:rsidR="00743C68" w:rsidRPr="00B92499">
        <w:rPr>
          <w:rFonts w:ascii="Arial" w:hAnsi="Arial" w:cs="Arial"/>
        </w:rPr>
        <w:t xml:space="preserve">. </w:t>
      </w:r>
    </w:p>
    <w:p w14:paraId="58FC0305" w14:textId="77777777" w:rsidR="00323ABF" w:rsidRPr="00B92499" w:rsidRDefault="00323ABF" w:rsidP="00323ABF">
      <w:pPr>
        <w:spacing w:before="100" w:beforeAutospacing="1" w:after="100" w:afterAutospacing="1" w:line="360" w:lineRule="auto"/>
        <w:contextualSpacing/>
        <w:jc w:val="both"/>
        <w:rPr>
          <w:rFonts w:ascii="Arial" w:hAnsi="Arial" w:cs="Arial"/>
        </w:rPr>
      </w:pPr>
    </w:p>
    <w:p w14:paraId="570CC6E8" w14:textId="7DF2B180" w:rsidR="00323ABF" w:rsidRPr="00B92499" w:rsidRDefault="00323ABF" w:rsidP="00323ABF">
      <w:pPr>
        <w:spacing w:before="100" w:beforeAutospacing="1" w:after="100" w:afterAutospacing="1" w:line="360" w:lineRule="auto"/>
        <w:contextualSpacing/>
        <w:jc w:val="both"/>
        <w:rPr>
          <w:rFonts w:ascii="Arial" w:hAnsi="Arial" w:cs="Arial"/>
        </w:rPr>
      </w:pPr>
      <w:r w:rsidRPr="00B92499">
        <w:rPr>
          <w:rFonts w:ascii="Arial" w:hAnsi="Arial" w:cs="Arial"/>
        </w:rPr>
        <w:t xml:space="preserve">En esta línea, de las </w:t>
      </w:r>
      <w:r w:rsidR="00743C68" w:rsidRPr="00B92499">
        <w:rPr>
          <w:rFonts w:ascii="Arial" w:hAnsi="Arial" w:cs="Arial"/>
        </w:rPr>
        <w:t>54</w:t>
      </w:r>
      <w:r w:rsidRPr="00B92499">
        <w:rPr>
          <w:rFonts w:ascii="Arial" w:hAnsi="Arial" w:cs="Arial"/>
        </w:rPr>
        <w:t xml:space="preserve"> fracciones que le son aplicables</w:t>
      </w:r>
      <w:r w:rsidR="00743C68" w:rsidRPr="00B92499">
        <w:rPr>
          <w:rFonts w:ascii="Arial" w:hAnsi="Arial" w:cs="Arial"/>
        </w:rPr>
        <w:t>,</w:t>
      </w:r>
      <w:r w:rsidRPr="00B92499">
        <w:rPr>
          <w:rFonts w:ascii="Arial" w:hAnsi="Arial" w:cs="Arial"/>
        </w:rPr>
        <w:t xml:space="preserve"> las </w:t>
      </w:r>
      <w:r w:rsidR="000D67A7" w:rsidRPr="00B92499">
        <w:rPr>
          <w:rFonts w:ascii="Arial" w:hAnsi="Arial" w:cs="Arial"/>
        </w:rPr>
        <w:t xml:space="preserve"> 5  </w:t>
      </w:r>
      <w:r w:rsidRPr="00B92499">
        <w:rPr>
          <w:rFonts w:ascii="Arial" w:hAnsi="Arial" w:cs="Arial"/>
        </w:rPr>
        <w:t xml:space="preserve"> que tienen mayor área de oportunidad son las siguientes: </w:t>
      </w:r>
    </w:p>
    <w:p w14:paraId="1240224F" w14:textId="114F9DF2" w:rsidR="00323ABF" w:rsidRPr="00B92499" w:rsidRDefault="00323ABF" w:rsidP="00743C68">
      <w:pPr>
        <w:pStyle w:val="Prrafodelista"/>
        <w:numPr>
          <w:ilvl w:val="0"/>
          <w:numId w:val="2"/>
        </w:numPr>
        <w:spacing w:before="100" w:beforeAutospacing="1" w:after="100" w:afterAutospacing="1" w:line="360" w:lineRule="auto"/>
        <w:jc w:val="both"/>
        <w:rPr>
          <w:rFonts w:ascii="Arial" w:hAnsi="Arial" w:cs="Arial"/>
          <w:sz w:val="24"/>
          <w:szCs w:val="24"/>
          <w:lang w:val="es-ES_tradnl"/>
        </w:rPr>
      </w:pPr>
      <w:r w:rsidRPr="00B92499">
        <w:rPr>
          <w:rFonts w:ascii="Arial" w:hAnsi="Arial" w:cs="Arial"/>
          <w:sz w:val="24"/>
          <w:szCs w:val="24"/>
          <w:lang w:val="es-ES_tradnl"/>
        </w:rPr>
        <w:t xml:space="preserve">Fracción </w:t>
      </w:r>
      <w:r w:rsidR="00743C68" w:rsidRPr="00B92499">
        <w:rPr>
          <w:rFonts w:ascii="Arial" w:hAnsi="Arial" w:cs="Arial"/>
          <w:sz w:val="24"/>
          <w:szCs w:val="24"/>
          <w:lang w:val="es-ES_tradnl"/>
        </w:rPr>
        <w:t>XVIII</w:t>
      </w:r>
      <w:r w:rsidRPr="00B92499">
        <w:rPr>
          <w:rFonts w:ascii="Arial" w:hAnsi="Arial" w:cs="Arial"/>
          <w:sz w:val="24"/>
          <w:szCs w:val="24"/>
          <w:lang w:val="es-ES_tradnl"/>
        </w:rPr>
        <w:t xml:space="preserve">, con un ICP de </w:t>
      </w:r>
      <w:r w:rsidR="00743C68" w:rsidRPr="00B92499">
        <w:rPr>
          <w:rFonts w:ascii="Arial" w:hAnsi="Arial" w:cs="Arial"/>
          <w:sz w:val="24"/>
          <w:szCs w:val="24"/>
          <w:lang w:val="es-ES_tradnl"/>
        </w:rPr>
        <w:t>50</w:t>
      </w:r>
      <w:r w:rsidRPr="00B92499">
        <w:rPr>
          <w:rFonts w:ascii="Arial" w:hAnsi="Arial" w:cs="Arial"/>
          <w:sz w:val="24"/>
          <w:szCs w:val="24"/>
          <w:lang w:val="es-ES_tradnl"/>
        </w:rPr>
        <w:t xml:space="preserve">% en la cual se solicita </w:t>
      </w:r>
      <w:r w:rsidR="00743C68" w:rsidRPr="00B92499">
        <w:rPr>
          <w:rFonts w:ascii="Arial" w:hAnsi="Arial" w:cs="Arial"/>
          <w:sz w:val="24"/>
          <w:szCs w:val="24"/>
          <w:lang w:val="es-ES_tradnl"/>
        </w:rPr>
        <w:t>publicar el listado de personas servidoras públicas con sanciones administrativas</w:t>
      </w:r>
      <w:r w:rsidRPr="00B92499">
        <w:rPr>
          <w:rFonts w:ascii="Arial" w:hAnsi="Arial" w:cs="Arial"/>
          <w:sz w:val="24"/>
          <w:szCs w:val="24"/>
          <w:lang w:val="es-ES_tradnl"/>
        </w:rPr>
        <w:t xml:space="preserve">. El área de oportunidad del </w:t>
      </w:r>
      <w:r w:rsidR="008710F6" w:rsidRPr="00B92499">
        <w:rPr>
          <w:rFonts w:ascii="Arial" w:hAnsi="Arial" w:cs="Arial"/>
          <w:sz w:val="24"/>
          <w:szCs w:val="24"/>
          <w:lang w:val="es-ES_tradnl"/>
        </w:rPr>
        <w:t>sujeto obligado</w:t>
      </w:r>
      <w:r w:rsidRPr="00B92499">
        <w:rPr>
          <w:rFonts w:ascii="Arial" w:hAnsi="Arial" w:cs="Arial"/>
          <w:sz w:val="24"/>
          <w:szCs w:val="24"/>
          <w:lang w:val="es-ES_tradnl"/>
        </w:rPr>
        <w:t xml:space="preserve"> consiste en</w:t>
      </w:r>
      <w:r w:rsidR="003D3231" w:rsidRPr="00B92499">
        <w:rPr>
          <w:rFonts w:ascii="Arial" w:hAnsi="Arial" w:cs="Arial"/>
          <w:sz w:val="24"/>
          <w:szCs w:val="24"/>
          <w:lang w:val="es-ES_tradnl"/>
        </w:rPr>
        <w:t xml:space="preserve"> publicar el formato correspondiente, ya que no se cuenta con el mismo, o en su caso, una leyenda indicando que se está en espera de que el </w:t>
      </w:r>
      <w:r w:rsidR="00C7683E" w:rsidRPr="00B92499">
        <w:rPr>
          <w:rFonts w:ascii="Arial" w:hAnsi="Arial" w:cs="Arial"/>
          <w:sz w:val="24"/>
          <w:szCs w:val="24"/>
          <w:lang w:val="es-ES_tradnl"/>
        </w:rPr>
        <w:t xml:space="preserve">INFO </w:t>
      </w:r>
      <w:r w:rsidR="003D3231" w:rsidRPr="00B92499">
        <w:rPr>
          <w:rFonts w:ascii="Arial" w:hAnsi="Arial" w:cs="Arial"/>
          <w:sz w:val="24"/>
          <w:szCs w:val="24"/>
          <w:lang w:val="es-ES_tradnl"/>
        </w:rPr>
        <w:t>CDMX firme los respectivos acuerdos con la Secretaría de la Contraloría General.</w:t>
      </w:r>
    </w:p>
    <w:p w14:paraId="753EAFFA" w14:textId="287EA01D" w:rsidR="00F95061" w:rsidRPr="00B92499" w:rsidRDefault="00323ABF" w:rsidP="00F95061">
      <w:pPr>
        <w:pStyle w:val="Prrafodelista"/>
        <w:numPr>
          <w:ilvl w:val="0"/>
          <w:numId w:val="2"/>
        </w:numPr>
        <w:spacing w:before="100" w:beforeAutospacing="1" w:after="100" w:afterAutospacing="1" w:line="360" w:lineRule="auto"/>
        <w:jc w:val="both"/>
        <w:rPr>
          <w:rFonts w:ascii="Arial" w:hAnsi="Arial" w:cs="Arial"/>
          <w:sz w:val="24"/>
          <w:szCs w:val="24"/>
          <w:lang w:val="es-ES_tradnl"/>
        </w:rPr>
      </w:pPr>
      <w:r w:rsidRPr="00B92499">
        <w:rPr>
          <w:rFonts w:ascii="Arial" w:hAnsi="Arial" w:cs="Arial"/>
          <w:sz w:val="24"/>
          <w:szCs w:val="24"/>
          <w:lang w:val="es-ES_tradnl"/>
        </w:rPr>
        <w:lastRenderedPageBreak/>
        <w:t xml:space="preserve">Fracción </w:t>
      </w:r>
      <w:r w:rsidR="00743C68" w:rsidRPr="00B92499">
        <w:rPr>
          <w:rFonts w:ascii="Arial" w:hAnsi="Arial" w:cs="Arial"/>
          <w:sz w:val="24"/>
          <w:szCs w:val="24"/>
          <w:lang w:val="es-ES_tradnl"/>
        </w:rPr>
        <w:t>XXXII</w:t>
      </w:r>
      <w:r w:rsidRPr="00B92499">
        <w:rPr>
          <w:rFonts w:ascii="Arial" w:hAnsi="Arial" w:cs="Arial"/>
          <w:sz w:val="24"/>
          <w:szCs w:val="24"/>
          <w:lang w:val="es-ES_tradnl"/>
        </w:rPr>
        <w:t xml:space="preserve"> con un ICP de </w:t>
      </w:r>
      <w:r w:rsidR="00743C68" w:rsidRPr="00B92499">
        <w:rPr>
          <w:rFonts w:ascii="Arial" w:hAnsi="Arial" w:cs="Arial"/>
          <w:sz w:val="24"/>
          <w:szCs w:val="24"/>
          <w:lang w:val="es-ES_tradnl"/>
        </w:rPr>
        <w:t>88.75</w:t>
      </w:r>
      <w:r w:rsidRPr="00B92499">
        <w:rPr>
          <w:rFonts w:ascii="Arial" w:hAnsi="Arial" w:cs="Arial"/>
          <w:sz w:val="24"/>
          <w:szCs w:val="24"/>
          <w:lang w:val="es-ES_tradnl"/>
        </w:rPr>
        <w:t xml:space="preserve">% que hace referencia a la publicación de </w:t>
      </w:r>
      <w:r w:rsidR="00743C68" w:rsidRPr="00B92499">
        <w:rPr>
          <w:rFonts w:ascii="Arial" w:hAnsi="Arial" w:cs="Arial"/>
          <w:sz w:val="24"/>
          <w:szCs w:val="24"/>
          <w:lang w:val="es-ES_tradnl"/>
        </w:rPr>
        <w:t xml:space="preserve">estadísticas en general del </w:t>
      </w:r>
      <w:r w:rsidR="008710F6" w:rsidRPr="00B92499">
        <w:rPr>
          <w:rFonts w:ascii="Arial" w:hAnsi="Arial" w:cs="Arial"/>
          <w:sz w:val="24"/>
          <w:szCs w:val="24"/>
          <w:lang w:val="es-ES_tradnl"/>
        </w:rPr>
        <w:t>sujeto obligado</w:t>
      </w:r>
      <w:r w:rsidRPr="00B92499">
        <w:rPr>
          <w:rFonts w:ascii="Arial" w:hAnsi="Arial" w:cs="Arial"/>
          <w:sz w:val="24"/>
          <w:szCs w:val="24"/>
          <w:lang w:val="es-ES_tradnl"/>
        </w:rPr>
        <w:t xml:space="preserve">. El área de oportunidad del </w:t>
      </w:r>
      <w:r w:rsidR="008710F6" w:rsidRPr="00B92499">
        <w:rPr>
          <w:rFonts w:ascii="Arial" w:hAnsi="Arial" w:cs="Arial"/>
          <w:sz w:val="24"/>
          <w:szCs w:val="24"/>
          <w:lang w:val="es-ES_tradnl"/>
        </w:rPr>
        <w:t>sujeto obligado</w:t>
      </w:r>
      <w:r w:rsidRPr="00B92499">
        <w:rPr>
          <w:rFonts w:ascii="Arial" w:hAnsi="Arial" w:cs="Arial"/>
          <w:sz w:val="24"/>
          <w:szCs w:val="24"/>
          <w:lang w:val="es-ES_tradnl"/>
        </w:rPr>
        <w:t xml:space="preserve"> consiste e</w:t>
      </w:r>
      <w:r w:rsidR="00F95061" w:rsidRPr="00B92499">
        <w:rPr>
          <w:rFonts w:ascii="Arial" w:hAnsi="Arial" w:cs="Arial"/>
          <w:sz w:val="24"/>
          <w:szCs w:val="24"/>
          <w:lang w:val="es-ES_tradnl"/>
        </w:rPr>
        <w:t>n publicar la información en forma completa y correcta, verificando el adecuado funcionamiento de los hipervínculos a la información relativa.</w:t>
      </w:r>
    </w:p>
    <w:p w14:paraId="253A3606" w14:textId="45BF19FE" w:rsidR="00F95061" w:rsidRPr="00B92499" w:rsidRDefault="00323ABF" w:rsidP="00F95061">
      <w:pPr>
        <w:pStyle w:val="Prrafodelista"/>
        <w:numPr>
          <w:ilvl w:val="0"/>
          <w:numId w:val="2"/>
        </w:numPr>
        <w:spacing w:before="100" w:beforeAutospacing="1" w:after="100" w:afterAutospacing="1" w:line="360" w:lineRule="auto"/>
        <w:jc w:val="both"/>
        <w:rPr>
          <w:rFonts w:ascii="Arial" w:hAnsi="Arial" w:cs="Arial"/>
          <w:sz w:val="24"/>
          <w:szCs w:val="24"/>
          <w:lang w:val="es-ES_tradnl"/>
        </w:rPr>
      </w:pPr>
      <w:r w:rsidRPr="00B92499">
        <w:rPr>
          <w:rFonts w:ascii="Arial" w:hAnsi="Arial" w:cs="Arial"/>
          <w:sz w:val="24"/>
          <w:szCs w:val="24"/>
          <w:lang w:val="es-ES_tradnl"/>
        </w:rPr>
        <w:t xml:space="preserve">Fracción </w:t>
      </w:r>
      <w:r w:rsidR="00743C68" w:rsidRPr="00B92499">
        <w:rPr>
          <w:rFonts w:ascii="Arial" w:hAnsi="Arial" w:cs="Arial"/>
          <w:sz w:val="24"/>
          <w:szCs w:val="24"/>
          <w:lang w:val="es-ES_tradnl"/>
        </w:rPr>
        <w:t>VII</w:t>
      </w:r>
      <w:r w:rsidRPr="00B92499">
        <w:rPr>
          <w:rFonts w:ascii="Arial" w:hAnsi="Arial" w:cs="Arial"/>
          <w:sz w:val="24"/>
          <w:szCs w:val="24"/>
          <w:lang w:val="es-ES_tradnl"/>
        </w:rPr>
        <w:t xml:space="preserve">, con un ICP de </w:t>
      </w:r>
      <w:r w:rsidR="00743C68" w:rsidRPr="00B92499">
        <w:rPr>
          <w:rFonts w:ascii="Arial" w:hAnsi="Arial" w:cs="Arial"/>
          <w:sz w:val="24"/>
          <w:szCs w:val="24"/>
          <w:lang w:val="es-ES_tradnl"/>
        </w:rPr>
        <w:t>90.83</w:t>
      </w:r>
      <w:r w:rsidRPr="00B92499">
        <w:rPr>
          <w:rFonts w:ascii="Arial" w:hAnsi="Arial" w:cs="Arial"/>
          <w:sz w:val="24"/>
          <w:szCs w:val="24"/>
          <w:lang w:val="es-ES_tradnl"/>
        </w:rPr>
        <w:t xml:space="preserve">%, que establece la </w:t>
      </w:r>
      <w:r w:rsidR="00743C68" w:rsidRPr="00B92499">
        <w:rPr>
          <w:rFonts w:ascii="Arial" w:hAnsi="Arial" w:cs="Arial"/>
          <w:sz w:val="24"/>
          <w:szCs w:val="24"/>
          <w:lang w:val="es-ES_tradnl"/>
        </w:rPr>
        <w:t xml:space="preserve">publicación los indicadores de gestión del </w:t>
      </w:r>
      <w:r w:rsidR="008710F6" w:rsidRPr="00B92499">
        <w:rPr>
          <w:rFonts w:ascii="Arial" w:hAnsi="Arial" w:cs="Arial"/>
          <w:sz w:val="24"/>
          <w:szCs w:val="24"/>
          <w:lang w:val="es-ES_tradnl"/>
        </w:rPr>
        <w:t>sujeto obligado</w:t>
      </w:r>
      <w:r w:rsidRPr="00B92499">
        <w:rPr>
          <w:rFonts w:ascii="Arial" w:hAnsi="Arial" w:cs="Arial"/>
          <w:sz w:val="24"/>
          <w:szCs w:val="24"/>
          <w:lang w:val="es-ES_tradnl"/>
        </w:rPr>
        <w:t xml:space="preserve">. El área de oportunidad del </w:t>
      </w:r>
      <w:r w:rsidR="00743C68" w:rsidRPr="00B92499">
        <w:rPr>
          <w:rFonts w:ascii="Arial" w:hAnsi="Arial" w:cs="Arial"/>
          <w:sz w:val="24"/>
          <w:szCs w:val="24"/>
          <w:lang w:val="es-ES_tradnl"/>
        </w:rPr>
        <w:t>Congreso</w:t>
      </w:r>
      <w:r w:rsidRPr="00B92499">
        <w:rPr>
          <w:rFonts w:ascii="Arial" w:hAnsi="Arial" w:cs="Arial"/>
          <w:sz w:val="24"/>
          <w:szCs w:val="24"/>
          <w:lang w:val="es-ES_tradnl"/>
        </w:rPr>
        <w:t xml:space="preserve"> consiste </w:t>
      </w:r>
      <w:r w:rsidR="00743C68" w:rsidRPr="00B92499">
        <w:rPr>
          <w:rFonts w:ascii="Arial" w:hAnsi="Arial" w:cs="Arial"/>
          <w:sz w:val="24"/>
          <w:szCs w:val="24"/>
          <w:lang w:val="es-ES_tradnl"/>
        </w:rPr>
        <w:t>en</w:t>
      </w:r>
      <w:r w:rsidR="00F95061" w:rsidRPr="00B92499">
        <w:rPr>
          <w:rFonts w:ascii="Arial" w:hAnsi="Arial" w:cs="Arial"/>
          <w:sz w:val="24"/>
          <w:szCs w:val="24"/>
          <w:lang w:val="es-ES_tradnl"/>
        </w:rPr>
        <w:t xml:space="preserve"> publicar la información correspondiente de manera completa y actualizada, o en su defecto, señalar de manera fundada y motivada las razones por las que no cuenta con la información respectiva.</w:t>
      </w:r>
    </w:p>
    <w:p w14:paraId="41B51107" w14:textId="0B3EC80A" w:rsidR="00743C68" w:rsidRPr="00B92499" w:rsidRDefault="00743C68" w:rsidP="00F95061">
      <w:pPr>
        <w:pStyle w:val="Prrafodelista"/>
        <w:numPr>
          <w:ilvl w:val="0"/>
          <w:numId w:val="2"/>
        </w:numPr>
        <w:spacing w:before="100" w:beforeAutospacing="1" w:after="100" w:afterAutospacing="1" w:line="360" w:lineRule="auto"/>
        <w:jc w:val="both"/>
        <w:rPr>
          <w:rFonts w:ascii="Arial" w:hAnsi="Arial" w:cs="Arial"/>
          <w:sz w:val="24"/>
          <w:szCs w:val="24"/>
          <w:lang w:val="es-ES_tradnl"/>
        </w:rPr>
      </w:pPr>
      <w:r w:rsidRPr="00B92499">
        <w:rPr>
          <w:rFonts w:ascii="Arial" w:hAnsi="Arial" w:cs="Arial"/>
          <w:sz w:val="24"/>
          <w:szCs w:val="24"/>
          <w:lang w:val="es-ES_tradnl"/>
        </w:rPr>
        <w:t xml:space="preserve">Fracción XXXVIII, con un ICP de 90.83%, que establece la publicación de la relación del número de recomendaciones emitidas por el Instituto de Transparencia al </w:t>
      </w:r>
      <w:r w:rsidR="008710F6" w:rsidRPr="00B92499">
        <w:rPr>
          <w:rFonts w:ascii="Arial" w:hAnsi="Arial" w:cs="Arial"/>
          <w:sz w:val="24"/>
          <w:szCs w:val="24"/>
          <w:lang w:val="es-ES_tradnl"/>
        </w:rPr>
        <w:t>sujeto obligado</w:t>
      </w:r>
      <w:r w:rsidRPr="00B92499">
        <w:rPr>
          <w:rFonts w:ascii="Arial" w:hAnsi="Arial" w:cs="Arial"/>
          <w:sz w:val="24"/>
          <w:szCs w:val="24"/>
          <w:lang w:val="es-ES_tradnl"/>
        </w:rPr>
        <w:t>. El área de oportunidad del Congreso consiste en</w:t>
      </w:r>
      <w:r w:rsidR="00F95061" w:rsidRPr="00B92499">
        <w:rPr>
          <w:rFonts w:ascii="Arial" w:hAnsi="Arial" w:cs="Arial"/>
          <w:sz w:val="24"/>
          <w:szCs w:val="24"/>
          <w:lang w:val="es-ES_tradnl"/>
        </w:rPr>
        <w:t xml:space="preserve"> publicar la información relativa en forma correcta y completa, o en su caso, explicar de manera fundada y motiva por qué no se cuenta con la información no publicada.</w:t>
      </w:r>
    </w:p>
    <w:p w14:paraId="6DF7423D" w14:textId="6EF86746" w:rsidR="00743C68" w:rsidRPr="00B92499" w:rsidRDefault="00743C68" w:rsidP="00743C68">
      <w:pPr>
        <w:pStyle w:val="Prrafodelista"/>
        <w:numPr>
          <w:ilvl w:val="0"/>
          <w:numId w:val="2"/>
        </w:numPr>
        <w:spacing w:before="100" w:beforeAutospacing="1" w:after="100" w:afterAutospacing="1" w:line="360" w:lineRule="auto"/>
        <w:jc w:val="both"/>
        <w:rPr>
          <w:rFonts w:ascii="Arial" w:hAnsi="Arial" w:cs="Arial"/>
          <w:sz w:val="24"/>
          <w:szCs w:val="24"/>
          <w:lang w:val="es-ES_tradnl"/>
        </w:rPr>
      </w:pPr>
      <w:r w:rsidRPr="00B92499">
        <w:rPr>
          <w:rFonts w:ascii="Arial" w:hAnsi="Arial" w:cs="Arial"/>
          <w:sz w:val="24"/>
          <w:szCs w:val="24"/>
          <w:lang w:val="es-ES_tradnl"/>
        </w:rPr>
        <w:t xml:space="preserve">Fracción XVII con un ICP de 91.66%, que establece la publicación de los currículos de jefe de departamento hasta el Titular del </w:t>
      </w:r>
      <w:r w:rsidR="008710F6" w:rsidRPr="00B92499">
        <w:rPr>
          <w:rFonts w:ascii="Arial" w:hAnsi="Arial" w:cs="Arial"/>
          <w:sz w:val="24"/>
          <w:szCs w:val="24"/>
          <w:lang w:val="es-ES_tradnl"/>
        </w:rPr>
        <w:t>sujeto obligado</w:t>
      </w:r>
      <w:r w:rsidRPr="00B92499">
        <w:rPr>
          <w:rFonts w:ascii="Arial" w:hAnsi="Arial" w:cs="Arial"/>
          <w:sz w:val="24"/>
          <w:szCs w:val="24"/>
          <w:lang w:val="es-ES_tradnl"/>
        </w:rPr>
        <w:t>. El área de oportunidad del Congreso consiste en</w:t>
      </w:r>
      <w:r w:rsidR="00F95061" w:rsidRPr="00B92499">
        <w:rPr>
          <w:rFonts w:ascii="Arial" w:hAnsi="Arial" w:cs="Arial"/>
          <w:sz w:val="24"/>
          <w:szCs w:val="24"/>
          <w:lang w:val="es-ES_tradnl"/>
        </w:rPr>
        <w:t xml:space="preserve"> publicar la información respectiva en forma completa, como lo venía haciendo su antecesor, la Asamblea Legislativa del Distrito Federal.</w:t>
      </w:r>
      <w:r w:rsidRPr="00B92499">
        <w:rPr>
          <w:rFonts w:ascii="Arial" w:hAnsi="Arial" w:cs="Arial"/>
          <w:sz w:val="24"/>
          <w:szCs w:val="24"/>
          <w:lang w:val="es-ES_tradnl"/>
        </w:rPr>
        <w:t xml:space="preserve"> </w:t>
      </w:r>
    </w:p>
    <w:p w14:paraId="39AE2180" w14:textId="5F1601F8" w:rsidR="00323ABF" w:rsidRPr="00B92499" w:rsidRDefault="00323ABF" w:rsidP="00323ABF">
      <w:pPr>
        <w:spacing w:before="100" w:beforeAutospacing="1" w:after="100" w:afterAutospacing="1" w:line="360" w:lineRule="auto"/>
        <w:contextualSpacing/>
        <w:jc w:val="both"/>
        <w:rPr>
          <w:rFonts w:ascii="Arial" w:hAnsi="Arial" w:cs="Arial"/>
        </w:rPr>
      </w:pPr>
      <w:r w:rsidRPr="00B92499">
        <w:rPr>
          <w:rFonts w:ascii="Arial" w:hAnsi="Arial" w:cs="Arial"/>
        </w:rPr>
        <w:t xml:space="preserve">De igual forma, en </w:t>
      </w:r>
      <w:r w:rsidR="00743C68" w:rsidRPr="00B92499">
        <w:rPr>
          <w:rFonts w:ascii="Arial" w:hAnsi="Arial" w:cs="Arial"/>
        </w:rPr>
        <w:t>29</w:t>
      </w:r>
      <w:r w:rsidRPr="00B92499">
        <w:rPr>
          <w:rFonts w:ascii="Arial" w:hAnsi="Arial" w:cs="Arial"/>
        </w:rPr>
        <w:t xml:space="preserve"> fracciones del artículo 121, </w:t>
      </w:r>
      <w:r w:rsidR="0020458B" w:rsidRPr="00B92499">
        <w:rPr>
          <w:rFonts w:ascii="Arial" w:hAnsi="Arial" w:cs="Arial"/>
        </w:rPr>
        <w:t>el Congreso</w:t>
      </w:r>
      <w:r w:rsidRPr="00B92499">
        <w:rPr>
          <w:rFonts w:ascii="Arial" w:hAnsi="Arial" w:cs="Arial"/>
        </w:rPr>
        <w:t xml:space="preserve"> alcanzó un ICP de 100%.</w:t>
      </w:r>
    </w:p>
    <w:p w14:paraId="6847F7DA" w14:textId="77777777" w:rsidR="00323ABF" w:rsidRPr="00B92499" w:rsidRDefault="00323ABF" w:rsidP="00323ABF">
      <w:pPr>
        <w:spacing w:before="100" w:beforeAutospacing="1" w:after="100" w:afterAutospacing="1" w:line="360" w:lineRule="auto"/>
        <w:contextualSpacing/>
        <w:jc w:val="both"/>
        <w:rPr>
          <w:rFonts w:ascii="Arial" w:hAnsi="Arial" w:cs="Arial"/>
        </w:rPr>
      </w:pPr>
    </w:p>
    <w:p w14:paraId="2BFC438F" w14:textId="3E4A5354" w:rsidR="00323ABF" w:rsidRPr="00B92499" w:rsidRDefault="00323ABF" w:rsidP="00323ABF">
      <w:pPr>
        <w:spacing w:before="100" w:beforeAutospacing="1" w:after="100" w:afterAutospacing="1" w:line="360" w:lineRule="auto"/>
        <w:jc w:val="both"/>
        <w:rPr>
          <w:rFonts w:ascii="Arial" w:hAnsi="Arial" w:cs="Arial"/>
        </w:rPr>
      </w:pPr>
      <w:r w:rsidRPr="00B92499">
        <w:rPr>
          <w:rFonts w:ascii="Arial" w:hAnsi="Arial" w:cs="Arial"/>
        </w:rPr>
        <w:t>Con el objetivo de mostrar con mayor detalle el ICP de cada fracción del artículo 121</w:t>
      </w:r>
      <w:r w:rsidR="00490622" w:rsidRPr="00B92499">
        <w:rPr>
          <w:rFonts w:ascii="Arial" w:hAnsi="Arial" w:cs="Arial"/>
        </w:rPr>
        <w:t>,</w:t>
      </w:r>
      <w:r w:rsidRPr="00B92499">
        <w:rPr>
          <w:rFonts w:ascii="Arial" w:hAnsi="Arial" w:cs="Arial"/>
        </w:rPr>
        <w:t xml:space="preserve"> es presentada la siguiente tabla ordenada de forma descendente. </w:t>
      </w:r>
    </w:p>
    <w:tbl>
      <w:tblPr>
        <w:tblW w:w="8927" w:type="dxa"/>
        <w:tblCellMar>
          <w:left w:w="70" w:type="dxa"/>
          <w:right w:w="70" w:type="dxa"/>
        </w:tblCellMar>
        <w:tblLook w:val="04A0" w:firstRow="1" w:lastRow="0" w:firstColumn="1" w:lastColumn="0" w:noHBand="0" w:noVBand="1"/>
      </w:tblPr>
      <w:tblGrid>
        <w:gridCol w:w="974"/>
        <w:gridCol w:w="7106"/>
        <w:gridCol w:w="848"/>
      </w:tblGrid>
      <w:tr w:rsidR="00323ABF" w:rsidRPr="00B92499" w14:paraId="4CCDE9CD" w14:textId="77777777" w:rsidTr="00EE3F6D">
        <w:trPr>
          <w:trHeight w:val="20"/>
          <w:tblHeader/>
        </w:trPr>
        <w:tc>
          <w:tcPr>
            <w:tcW w:w="8927" w:type="dxa"/>
            <w:gridSpan w:val="3"/>
            <w:tcBorders>
              <w:top w:val="single" w:sz="4" w:space="0" w:color="auto"/>
              <w:left w:val="single" w:sz="4" w:space="0" w:color="auto"/>
              <w:bottom w:val="single" w:sz="4" w:space="0" w:color="auto"/>
              <w:right w:val="single" w:sz="4" w:space="0" w:color="auto"/>
            </w:tcBorders>
            <w:shd w:val="clear" w:color="auto" w:fill="00B0F0"/>
            <w:noWrap/>
            <w:vAlign w:val="center"/>
            <w:hideMark/>
          </w:tcPr>
          <w:p w14:paraId="07B884DE" w14:textId="6DDE949E" w:rsidR="00323ABF" w:rsidRPr="00B92499" w:rsidRDefault="00323ABF" w:rsidP="00EE3F6D">
            <w:pPr>
              <w:jc w:val="center"/>
              <w:rPr>
                <w:rFonts w:ascii="Arial" w:hAnsi="Arial" w:cs="Arial"/>
                <w:b/>
                <w:bCs/>
                <w:color w:val="000000"/>
                <w:sz w:val="20"/>
                <w:szCs w:val="20"/>
              </w:rPr>
            </w:pPr>
            <w:r w:rsidRPr="00B92499">
              <w:rPr>
                <w:rFonts w:ascii="Arial" w:hAnsi="Arial" w:cs="Arial"/>
                <w:b/>
                <w:bCs/>
                <w:color w:val="000000"/>
                <w:sz w:val="20"/>
                <w:szCs w:val="20"/>
              </w:rPr>
              <w:t xml:space="preserve">Artículo 121 de las </w:t>
            </w:r>
            <w:r w:rsidR="008710F6" w:rsidRPr="00B92499">
              <w:rPr>
                <w:rFonts w:ascii="Arial" w:hAnsi="Arial" w:cs="Arial"/>
                <w:b/>
                <w:bCs/>
                <w:color w:val="000000"/>
                <w:sz w:val="20"/>
                <w:szCs w:val="20"/>
              </w:rPr>
              <w:t>obligaciones de transparencia</w:t>
            </w:r>
            <w:r w:rsidRPr="00B92499">
              <w:rPr>
                <w:rFonts w:ascii="Arial" w:hAnsi="Arial" w:cs="Arial"/>
                <w:b/>
                <w:bCs/>
                <w:color w:val="000000"/>
                <w:sz w:val="20"/>
                <w:szCs w:val="20"/>
              </w:rPr>
              <w:t xml:space="preserve"> comunes</w:t>
            </w:r>
          </w:p>
        </w:tc>
      </w:tr>
      <w:tr w:rsidR="00323ABF" w:rsidRPr="00B92499" w14:paraId="74F8E062" w14:textId="77777777" w:rsidTr="00743C68">
        <w:trPr>
          <w:trHeight w:val="20"/>
          <w:tblHeader/>
        </w:trPr>
        <w:tc>
          <w:tcPr>
            <w:tcW w:w="0" w:type="auto"/>
            <w:tcBorders>
              <w:top w:val="nil"/>
              <w:left w:val="single" w:sz="4" w:space="0" w:color="auto"/>
              <w:bottom w:val="single" w:sz="4" w:space="0" w:color="auto"/>
              <w:right w:val="single" w:sz="4" w:space="0" w:color="auto"/>
            </w:tcBorders>
            <w:shd w:val="clear" w:color="auto" w:fill="00B0F0"/>
            <w:noWrap/>
            <w:vAlign w:val="center"/>
            <w:hideMark/>
          </w:tcPr>
          <w:p w14:paraId="128F3D4F" w14:textId="77777777" w:rsidR="00323ABF" w:rsidRPr="00B92499" w:rsidRDefault="00323ABF" w:rsidP="00EE3F6D">
            <w:pPr>
              <w:jc w:val="center"/>
              <w:rPr>
                <w:rFonts w:ascii="Arial" w:hAnsi="Arial" w:cs="Arial"/>
                <w:b/>
                <w:bCs/>
                <w:color w:val="000000"/>
                <w:sz w:val="20"/>
                <w:szCs w:val="20"/>
              </w:rPr>
            </w:pPr>
            <w:r w:rsidRPr="00B92499">
              <w:rPr>
                <w:rFonts w:ascii="Arial" w:hAnsi="Arial" w:cs="Arial"/>
                <w:b/>
                <w:bCs/>
                <w:color w:val="000000"/>
                <w:sz w:val="20"/>
                <w:szCs w:val="20"/>
              </w:rPr>
              <w:t>Fracción</w:t>
            </w:r>
          </w:p>
        </w:tc>
        <w:tc>
          <w:tcPr>
            <w:tcW w:w="0" w:type="auto"/>
            <w:tcBorders>
              <w:top w:val="nil"/>
              <w:left w:val="nil"/>
              <w:bottom w:val="single" w:sz="4" w:space="0" w:color="auto"/>
              <w:right w:val="single" w:sz="4" w:space="0" w:color="auto"/>
            </w:tcBorders>
            <w:shd w:val="clear" w:color="auto" w:fill="00B0F0"/>
            <w:noWrap/>
            <w:vAlign w:val="center"/>
            <w:hideMark/>
          </w:tcPr>
          <w:p w14:paraId="1C2FBF64" w14:textId="77777777" w:rsidR="00323ABF" w:rsidRPr="00B92499" w:rsidRDefault="00323ABF" w:rsidP="00EE3F6D">
            <w:pPr>
              <w:jc w:val="center"/>
              <w:rPr>
                <w:rFonts w:ascii="Arial" w:hAnsi="Arial" w:cs="Arial"/>
                <w:b/>
                <w:bCs/>
                <w:color w:val="000000"/>
                <w:sz w:val="20"/>
                <w:szCs w:val="20"/>
              </w:rPr>
            </w:pPr>
            <w:r w:rsidRPr="00B92499">
              <w:rPr>
                <w:rFonts w:ascii="Arial" w:hAnsi="Arial" w:cs="Arial"/>
                <w:b/>
                <w:bCs/>
                <w:color w:val="000000"/>
                <w:sz w:val="20"/>
                <w:szCs w:val="20"/>
              </w:rPr>
              <w:t>Resumen de la Fracción</w:t>
            </w:r>
          </w:p>
        </w:tc>
        <w:tc>
          <w:tcPr>
            <w:tcW w:w="1197" w:type="dxa"/>
            <w:tcBorders>
              <w:top w:val="nil"/>
              <w:left w:val="nil"/>
              <w:bottom w:val="single" w:sz="4" w:space="0" w:color="auto"/>
              <w:right w:val="single" w:sz="4" w:space="0" w:color="auto"/>
            </w:tcBorders>
            <w:shd w:val="clear" w:color="auto" w:fill="00B0F0"/>
            <w:vAlign w:val="center"/>
            <w:hideMark/>
          </w:tcPr>
          <w:p w14:paraId="6ECE21F0" w14:textId="77777777" w:rsidR="00323ABF" w:rsidRPr="00B92499" w:rsidRDefault="00323ABF" w:rsidP="00EE3F6D">
            <w:pPr>
              <w:jc w:val="center"/>
              <w:rPr>
                <w:rFonts w:ascii="Arial" w:hAnsi="Arial" w:cs="Arial"/>
                <w:b/>
                <w:bCs/>
                <w:color w:val="000000"/>
                <w:sz w:val="20"/>
                <w:szCs w:val="20"/>
              </w:rPr>
            </w:pPr>
            <w:r w:rsidRPr="00B92499">
              <w:rPr>
                <w:rFonts w:ascii="Arial" w:hAnsi="Arial" w:cs="Arial"/>
                <w:b/>
                <w:bCs/>
                <w:color w:val="000000"/>
                <w:sz w:val="20"/>
                <w:szCs w:val="20"/>
              </w:rPr>
              <w:t>ICP</w:t>
            </w:r>
          </w:p>
        </w:tc>
      </w:tr>
      <w:tr w:rsidR="00743C68" w:rsidRPr="00B92499" w14:paraId="09B906F2" w14:textId="77777777" w:rsidTr="00743C68">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5B0365F" w14:textId="77777777" w:rsidR="00743C68" w:rsidRPr="00B92499" w:rsidRDefault="00743C68">
            <w:pPr>
              <w:jc w:val="center"/>
              <w:rPr>
                <w:rFonts w:ascii="Arial" w:hAnsi="Arial" w:cs="Arial"/>
                <w:color w:val="000000"/>
                <w:sz w:val="20"/>
                <w:szCs w:val="20"/>
              </w:rPr>
            </w:pPr>
            <w:r w:rsidRPr="00B92499">
              <w:rPr>
                <w:rFonts w:ascii="Arial" w:hAnsi="Arial" w:cs="Arial"/>
                <w:color w:val="000000"/>
                <w:sz w:val="20"/>
                <w:szCs w:val="20"/>
              </w:rPr>
              <w:t>XLI</w:t>
            </w:r>
          </w:p>
        </w:tc>
        <w:tc>
          <w:tcPr>
            <w:tcW w:w="0" w:type="auto"/>
            <w:tcBorders>
              <w:top w:val="nil"/>
              <w:left w:val="nil"/>
              <w:bottom w:val="single" w:sz="4" w:space="0" w:color="auto"/>
              <w:right w:val="single" w:sz="4" w:space="0" w:color="auto"/>
            </w:tcBorders>
            <w:shd w:val="clear" w:color="auto" w:fill="auto"/>
            <w:vAlign w:val="center"/>
            <w:hideMark/>
          </w:tcPr>
          <w:p w14:paraId="1422ADE9" w14:textId="2529C05C" w:rsidR="00743C68" w:rsidRPr="00B92499" w:rsidRDefault="00743C68" w:rsidP="00EE3F6D">
            <w:pPr>
              <w:jc w:val="both"/>
              <w:rPr>
                <w:rFonts w:ascii="Arial" w:hAnsi="Arial" w:cs="Arial"/>
                <w:color w:val="000000"/>
                <w:sz w:val="20"/>
                <w:szCs w:val="20"/>
              </w:rPr>
            </w:pPr>
            <w:r w:rsidRPr="00B92499">
              <w:rPr>
                <w:rFonts w:ascii="Arial" w:hAnsi="Arial" w:cs="Arial"/>
                <w:color w:val="000000"/>
                <w:sz w:val="20"/>
                <w:szCs w:val="20"/>
              </w:rPr>
              <w:t xml:space="preserve">Programas que ofrece el </w:t>
            </w:r>
            <w:r w:rsidR="008710F6" w:rsidRPr="00B92499">
              <w:rPr>
                <w:rFonts w:ascii="Arial" w:hAnsi="Arial" w:cs="Arial"/>
                <w:color w:val="000000"/>
                <w:sz w:val="20"/>
                <w:szCs w:val="20"/>
              </w:rPr>
              <w:t>sujeto obligado</w:t>
            </w:r>
            <w:r w:rsidRPr="00B92499">
              <w:rPr>
                <w:rFonts w:ascii="Arial" w:hAnsi="Arial" w:cs="Arial"/>
                <w:color w:val="000000"/>
                <w:sz w:val="20"/>
                <w:szCs w:val="20"/>
              </w:rPr>
              <w:t>, así como trámites, requisitos y formatos.</w:t>
            </w:r>
          </w:p>
        </w:tc>
        <w:tc>
          <w:tcPr>
            <w:tcW w:w="1197" w:type="dxa"/>
            <w:tcBorders>
              <w:top w:val="nil"/>
              <w:left w:val="nil"/>
              <w:bottom w:val="single" w:sz="4" w:space="0" w:color="auto"/>
              <w:right w:val="single" w:sz="4" w:space="0" w:color="auto"/>
            </w:tcBorders>
            <w:shd w:val="clear" w:color="auto" w:fill="auto"/>
            <w:vAlign w:val="center"/>
            <w:hideMark/>
          </w:tcPr>
          <w:p w14:paraId="11767D7E" w14:textId="77777777" w:rsidR="00743C68" w:rsidRPr="00B92499" w:rsidRDefault="00743C68" w:rsidP="00743C68">
            <w:pPr>
              <w:jc w:val="center"/>
              <w:rPr>
                <w:rFonts w:ascii="Arial" w:hAnsi="Arial" w:cs="Arial"/>
                <w:color w:val="000000"/>
                <w:sz w:val="20"/>
                <w:szCs w:val="20"/>
              </w:rPr>
            </w:pPr>
            <w:r w:rsidRPr="00B92499">
              <w:rPr>
                <w:rFonts w:ascii="Arial" w:hAnsi="Arial" w:cs="Arial"/>
                <w:color w:val="000000"/>
                <w:sz w:val="20"/>
                <w:szCs w:val="20"/>
              </w:rPr>
              <w:t>100</w:t>
            </w:r>
          </w:p>
        </w:tc>
      </w:tr>
      <w:tr w:rsidR="00743C68" w:rsidRPr="00B92499" w14:paraId="678937C0" w14:textId="77777777" w:rsidTr="00743C68">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A4C1FEC" w14:textId="77777777" w:rsidR="00743C68" w:rsidRPr="00B92499" w:rsidRDefault="00743C68">
            <w:pPr>
              <w:jc w:val="center"/>
              <w:rPr>
                <w:rFonts w:ascii="Arial" w:hAnsi="Arial" w:cs="Arial"/>
                <w:color w:val="000000"/>
                <w:sz w:val="20"/>
                <w:szCs w:val="20"/>
              </w:rPr>
            </w:pPr>
            <w:r w:rsidRPr="00B92499">
              <w:rPr>
                <w:rFonts w:ascii="Arial" w:hAnsi="Arial" w:cs="Arial"/>
                <w:color w:val="000000"/>
                <w:sz w:val="20"/>
                <w:szCs w:val="20"/>
              </w:rPr>
              <w:t>XLV</w:t>
            </w:r>
          </w:p>
        </w:tc>
        <w:tc>
          <w:tcPr>
            <w:tcW w:w="0" w:type="auto"/>
            <w:tcBorders>
              <w:top w:val="nil"/>
              <w:left w:val="nil"/>
              <w:bottom w:val="single" w:sz="4" w:space="0" w:color="auto"/>
              <w:right w:val="single" w:sz="4" w:space="0" w:color="auto"/>
            </w:tcBorders>
            <w:shd w:val="clear" w:color="auto" w:fill="auto"/>
            <w:vAlign w:val="center"/>
            <w:hideMark/>
          </w:tcPr>
          <w:p w14:paraId="75716870" w14:textId="77777777" w:rsidR="00743C68" w:rsidRPr="00B92499" w:rsidRDefault="00743C68" w:rsidP="00EE3F6D">
            <w:pPr>
              <w:jc w:val="both"/>
              <w:rPr>
                <w:rFonts w:ascii="Arial" w:hAnsi="Arial" w:cs="Arial"/>
                <w:color w:val="000000"/>
                <w:sz w:val="20"/>
                <w:szCs w:val="20"/>
              </w:rPr>
            </w:pPr>
            <w:r w:rsidRPr="00B92499">
              <w:rPr>
                <w:rFonts w:ascii="Arial" w:hAnsi="Arial" w:cs="Arial"/>
                <w:color w:val="000000"/>
                <w:sz w:val="20"/>
                <w:szCs w:val="20"/>
              </w:rPr>
              <w:t>Estudios financiados con recursos públicos.</w:t>
            </w:r>
          </w:p>
        </w:tc>
        <w:tc>
          <w:tcPr>
            <w:tcW w:w="1197" w:type="dxa"/>
            <w:tcBorders>
              <w:top w:val="nil"/>
              <w:left w:val="nil"/>
              <w:bottom w:val="single" w:sz="4" w:space="0" w:color="auto"/>
              <w:right w:val="single" w:sz="4" w:space="0" w:color="auto"/>
            </w:tcBorders>
            <w:shd w:val="clear" w:color="auto" w:fill="auto"/>
            <w:vAlign w:val="center"/>
            <w:hideMark/>
          </w:tcPr>
          <w:p w14:paraId="1AC08A60" w14:textId="77777777" w:rsidR="00743C68" w:rsidRPr="00B92499" w:rsidRDefault="00743C68" w:rsidP="00743C68">
            <w:pPr>
              <w:jc w:val="center"/>
              <w:rPr>
                <w:rFonts w:ascii="Arial" w:hAnsi="Arial" w:cs="Arial"/>
                <w:color w:val="000000"/>
                <w:sz w:val="20"/>
                <w:szCs w:val="20"/>
              </w:rPr>
            </w:pPr>
            <w:r w:rsidRPr="00B92499">
              <w:rPr>
                <w:rFonts w:ascii="Arial" w:hAnsi="Arial" w:cs="Arial"/>
                <w:color w:val="000000"/>
                <w:sz w:val="20"/>
                <w:szCs w:val="20"/>
              </w:rPr>
              <w:t>100</w:t>
            </w:r>
          </w:p>
        </w:tc>
      </w:tr>
      <w:tr w:rsidR="00743C68" w:rsidRPr="00B92499" w14:paraId="5040CB39" w14:textId="77777777" w:rsidTr="00743C68">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62CA768" w14:textId="77777777" w:rsidR="00743C68" w:rsidRPr="00B92499" w:rsidRDefault="00743C68">
            <w:pPr>
              <w:jc w:val="center"/>
              <w:rPr>
                <w:rFonts w:ascii="Arial" w:hAnsi="Arial" w:cs="Arial"/>
                <w:color w:val="000000"/>
                <w:sz w:val="20"/>
                <w:szCs w:val="20"/>
              </w:rPr>
            </w:pPr>
            <w:r w:rsidRPr="00B92499">
              <w:rPr>
                <w:rFonts w:ascii="Arial" w:hAnsi="Arial" w:cs="Arial"/>
                <w:color w:val="000000"/>
                <w:sz w:val="20"/>
                <w:szCs w:val="20"/>
              </w:rPr>
              <w:t>X</w:t>
            </w:r>
          </w:p>
        </w:tc>
        <w:tc>
          <w:tcPr>
            <w:tcW w:w="0" w:type="auto"/>
            <w:tcBorders>
              <w:top w:val="nil"/>
              <w:left w:val="nil"/>
              <w:bottom w:val="single" w:sz="4" w:space="0" w:color="auto"/>
              <w:right w:val="single" w:sz="4" w:space="0" w:color="auto"/>
            </w:tcBorders>
            <w:shd w:val="clear" w:color="auto" w:fill="auto"/>
            <w:vAlign w:val="center"/>
            <w:hideMark/>
          </w:tcPr>
          <w:p w14:paraId="4A1EEE6A" w14:textId="77777777" w:rsidR="00743C68" w:rsidRPr="00B92499" w:rsidRDefault="00743C68" w:rsidP="00EE3F6D">
            <w:pPr>
              <w:jc w:val="both"/>
              <w:rPr>
                <w:rFonts w:ascii="Arial" w:hAnsi="Arial" w:cs="Arial"/>
                <w:color w:val="000000"/>
                <w:sz w:val="20"/>
                <w:szCs w:val="20"/>
              </w:rPr>
            </w:pPr>
            <w:r w:rsidRPr="00B92499">
              <w:rPr>
                <w:rFonts w:ascii="Arial" w:hAnsi="Arial" w:cs="Arial"/>
                <w:color w:val="000000"/>
                <w:sz w:val="20"/>
                <w:szCs w:val="20"/>
              </w:rPr>
              <w:t>Lista con el importe con el concepto de viáticos.</w:t>
            </w:r>
          </w:p>
        </w:tc>
        <w:tc>
          <w:tcPr>
            <w:tcW w:w="1197" w:type="dxa"/>
            <w:tcBorders>
              <w:top w:val="nil"/>
              <w:left w:val="nil"/>
              <w:bottom w:val="single" w:sz="4" w:space="0" w:color="auto"/>
              <w:right w:val="single" w:sz="4" w:space="0" w:color="auto"/>
            </w:tcBorders>
            <w:shd w:val="clear" w:color="auto" w:fill="auto"/>
            <w:vAlign w:val="center"/>
            <w:hideMark/>
          </w:tcPr>
          <w:p w14:paraId="1FAD23BD" w14:textId="77777777" w:rsidR="00743C68" w:rsidRPr="00B92499" w:rsidRDefault="00743C68" w:rsidP="00743C68">
            <w:pPr>
              <w:jc w:val="center"/>
              <w:rPr>
                <w:rFonts w:ascii="Arial" w:hAnsi="Arial" w:cs="Arial"/>
                <w:color w:val="000000"/>
                <w:sz w:val="20"/>
                <w:szCs w:val="20"/>
              </w:rPr>
            </w:pPr>
            <w:r w:rsidRPr="00B92499">
              <w:rPr>
                <w:rFonts w:ascii="Arial" w:hAnsi="Arial" w:cs="Arial"/>
                <w:color w:val="000000"/>
                <w:sz w:val="20"/>
                <w:szCs w:val="20"/>
              </w:rPr>
              <w:t>100</w:t>
            </w:r>
          </w:p>
        </w:tc>
      </w:tr>
      <w:tr w:rsidR="00743C68" w:rsidRPr="00B92499" w14:paraId="0D45F6A6" w14:textId="77777777" w:rsidTr="00743C68">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0C12112" w14:textId="77777777" w:rsidR="00743C68" w:rsidRPr="00B92499" w:rsidRDefault="00743C68">
            <w:pPr>
              <w:jc w:val="center"/>
              <w:rPr>
                <w:rFonts w:ascii="Arial" w:hAnsi="Arial" w:cs="Arial"/>
                <w:color w:val="000000"/>
                <w:sz w:val="20"/>
                <w:szCs w:val="20"/>
              </w:rPr>
            </w:pPr>
            <w:r w:rsidRPr="00B92499">
              <w:rPr>
                <w:rFonts w:ascii="Arial" w:hAnsi="Arial" w:cs="Arial"/>
                <w:color w:val="000000"/>
                <w:sz w:val="20"/>
                <w:szCs w:val="20"/>
              </w:rPr>
              <w:t>XXIII</w:t>
            </w:r>
          </w:p>
        </w:tc>
        <w:tc>
          <w:tcPr>
            <w:tcW w:w="0" w:type="auto"/>
            <w:tcBorders>
              <w:top w:val="nil"/>
              <w:left w:val="nil"/>
              <w:bottom w:val="single" w:sz="4" w:space="0" w:color="auto"/>
              <w:right w:val="single" w:sz="4" w:space="0" w:color="auto"/>
            </w:tcBorders>
            <w:shd w:val="clear" w:color="auto" w:fill="auto"/>
            <w:vAlign w:val="center"/>
            <w:hideMark/>
          </w:tcPr>
          <w:p w14:paraId="6C1EA7CC" w14:textId="77777777" w:rsidR="00743C68" w:rsidRPr="00B92499" w:rsidRDefault="00743C68" w:rsidP="00EE3F6D">
            <w:pPr>
              <w:jc w:val="both"/>
              <w:rPr>
                <w:rFonts w:ascii="Arial" w:hAnsi="Arial" w:cs="Arial"/>
                <w:color w:val="000000"/>
                <w:sz w:val="20"/>
                <w:szCs w:val="20"/>
              </w:rPr>
            </w:pPr>
            <w:r w:rsidRPr="00B92499">
              <w:rPr>
                <w:rFonts w:ascii="Arial" w:hAnsi="Arial" w:cs="Arial"/>
                <w:color w:val="000000"/>
                <w:sz w:val="20"/>
                <w:szCs w:val="20"/>
              </w:rPr>
              <w:t>Metas y objetivos de la Dirección conforme al POA.</w:t>
            </w:r>
          </w:p>
        </w:tc>
        <w:tc>
          <w:tcPr>
            <w:tcW w:w="1197" w:type="dxa"/>
            <w:tcBorders>
              <w:top w:val="nil"/>
              <w:left w:val="nil"/>
              <w:bottom w:val="single" w:sz="4" w:space="0" w:color="auto"/>
              <w:right w:val="single" w:sz="4" w:space="0" w:color="auto"/>
            </w:tcBorders>
            <w:shd w:val="clear" w:color="auto" w:fill="auto"/>
            <w:vAlign w:val="center"/>
            <w:hideMark/>
          </w:tcPr>
          <w:p w14:paraId="6F182B67" w14:textId="77777777" w:rsidR="00743C68" w:rsidRPr="00B92499" w:rsidRDefault="00743C68" w:rsidP="00743C68">
            <w:pPr>
              <w:jc w:val="center"/>
              <w:rPr>
                <w:rFonts w:ascii="Arial" w:hAnsi="Arial" w:cs="Arial"/>
                <w:color w:val="000000"/>
                <w:sz w:val="20"/>
                <w:szCs w:val="20"/>
              </w:rPr>
            </w:pPr>
            <w:r w:rsidRPr="00B92499">
              <w:rPr>
                <w:rFonts w:ascii="Arial" w:hAnsi="Arial" w:cs="Arial"/>
                <w:color w:val="000000"/>
                <w:sz w:val="20"/>
                <w:szCs w:val="20"/>
              </w:rPr>
              <w:t>100</w:t>
            </w:r>
          </w:p>
        </w:tc>
      </w:tr>
      <w:tr w:rsidR="00743C68" w:rsidRPr="00B92499" w14:paraId="6C0751A1" w14:textId="77777777" w:rsidTr="00743C68">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013E4E4" w14:textId="77777777" w:rsidR="00743C68" w:rsidRPr="00B92499" w:rsidRDefault="00743C68">
            <w:pPr>
              <w:jc w:val="center"/>
              <w:rPr>
                <w:rFonts w:ascii="Arial" w:hAnsi="Arial" w:cs="Arial"/>
                <w:color w:val="000000"/>
                <w:sz w:val="20"/>
                <w:szCs w:val="20"/>
              </w:rPr>
            </w:pPr>
            <w:r w:rsidRPr="00B92499">
              <w:rPr>
                <w:rFonts w:ascii="Arial" w:hAnsi="Arial" w:cs="Arial"/>
                <w:color w:val="000000"/>
                <w:sz w:val="20"/>
                <w:szCs w:val="20"/>
              </w:rPr>
              <w:lastRenderedPageBreak/>
              <w:t>XXXV</w:t>
            </w:r>
          </w:p>
        </w:tc>
        <w:tc>
          <w:tcPr>
            <w:tcW w:w="0" w:type="auto"/>
            <w:tcBorders>
              <w:top w:val="nil"/>
              <w:left w:val="nil"/>
              <w:bottom w:val="single" w:sz="4" w:space="0" w:color="auto"/>
              <w:right w:val="single" w:sz="4" w:space="0" w:color="auto"/>
            </w:tcBorders>
            <w:shd w:val="clear" w:color="auto" w:fill="auto"/>
            <w:vAlign w:val="center"/>
            <w:hideMark/>
          </w:tcPr>
          <w:p w14:paraId="2640ED93" w14:textId="77777777" w:rsidR="00743C68" w:rsidRPr="00B92499" w:rsidRDefault="00743C68" w:rsidP="00EE3F6D">
            <w:pPr>
              <w:jc w:val="both"/>
              <w:rPr>
                <w:rFonts w:ascii="Arial" w:hAnsi="Arial" w:cs="Arial"/>
                <w:color w:val="000000"/>
                <w:sz w:val="20"/>
                <w:szCs w:val="20"/>
              </w:rPr>
            </w:pPr>
            <w:r w:rsidRPr="00B92499">
              <w:rPr>
                <w:rFonts w:ascii="Arial" w:hAnsi="Arial" w:cs="Arial"/>
                <w:color w:val="000000"/>
                <w:sz w:val="20"/>
                <w:szCs w:val="20"/>
              </w:rPr>
              <w:t>Convenios de coordinación de concertación con los sectores sociales y privado.</w:t>
            </w:r>
          </w:p>
        </w:tc>
        <w:tc>
          <w:tcPr>
            <w:tcW w:w="1197" w:type="dxa"/>
            <w:tcBorders>
              <w:top w:val="nil"/>
              <w:left w:val="nil"/>
              <w:bottom w:val="single" w:sz="4" w:space="0" w:color="auto"/>
              <w:right w:val="single" w:sz="4" w:space="0" w:color="auto"/>
            </w:tcBorders>
            <w:shd w:val="clear" w:color="auto" w:fill="auto"/>
            <w:vAlign w:val="center"/>
            <w:hideMark/>
          </w:tcPr>
          <w:p w14:paraId="23E6E5B7" w14:textId="77777777" w:rsidR="00743C68" w:rsidRPr="00B92499" w:rsidRDefault="00743C68" w:rsidP="00743C68">
            <w:pPr>
              <w:jc w:val="center"/>
              <w:rPr>
                <w:rFonts w:ascii="Arial" w:hAnsi="Arial" w:cs="Arial"/>
                <w:color w:val="000000"/>
                <w:sz w:val="20"/>
                <w:szCs w:val="20"/>
              </w:rPr>
            </w:pPr>
            <w:r w:rsidRPr="00B92499">
              <w:rPr>
                <w:rFonts w:ascii="Arial" w:hAnsi="Arial" w:cs="Arial"/>
                <w:color w:val="000000"/>
                <w:sz w:val="20"/>
                <w:szCs w:val="20"/>
              </w:rPr>
              <w:t>100</w:t>
            </w:r>
          </w:p>
        </w:tc>
      </w:tr>
      <w:tr w:rsidR="00743C68" w:rsidRPr="00B92499" w14:paraId="7EF0D5CC" w14:textId="77777777" w:rsidTr="00743C68">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FD37782" w14:textId="77777777" w:rsidR="00743C68" w:rsidRPr="00B92499" w:rsidRDefault="00743C68">
            <w:pPr>
              <w:jc w:val="center"/>
              <w:rPr>
                <w:rFonts w:ascii="Arial" w:hAnsi="Arial" w:cs="Arial"/>
                <w:color w:val="000000"/>
                <w:sz w:val="20"/>
                <w:szCs w:val="20"/>
              </w:rPr>
            </w:pPr>
            <w:r w:rsidRPr="00B92499">
              <w:rPr>
                <w:rFonts w:ascii="Arial" w:hAnsi="Arial" w:cs="Arial"/>
                <w:color w:val="000000"/>
                <w:sz w:val="20"/>
                <w:szCs w:val="20"/>
              </w:rPr>
              <w:t>XLII</w:t>
            </w:r>
          </w:p>
        </w:tc>
        <w:tc>
          <w:tcPr>
            <w:tcW w:w="0" w:type="auto"/>
            <w:tcBorders>
              <w:top w:val="nil"/>
              <w:left w:val="nil"/>
              <w:bottom w:val="single" w:sz="4" w:space="0" w:color="auto"/>
              <w:right w:val="single" w:sz="4" w:space="0" w:color="auto"/>
            </w:tcBorders>
            <w:shd w:val="clear" w:color="auto" w:fill="auto"/>
            <w:vAlign w:val="center"/>
            <w:hideMark/>
          </w:tcPr>
          <w:p w14:paraId="1E9CB755" w14:textId="638D8E2B" w:rsidR="00743C68" w:rsidRPr="00B92499" w:rsidRDefault="00743C68" w:rsidP="00EE3F6D">
            <w:pPr>
              <w:jc w:val="both"/>
              <w:rPr>
                <w:rFonts w:ascii="Arial" w:hAnsi="Arial" w:cs="Arial"/>
                <w:color w:val="000000"/>
                <w:sz w:val="20"/>
                <w:szCs w:val="20"/>
              </w:rPr>
            </w:pPr>
            <w:r w:rsidRPr="00B92499">
              <w:rPr>
                <w:rFonts w:ascii="Arial" w:hAnsi="Arial" w:cs="Arial"/>
                <w:color w:val="000000"/>
                <w:sz w:val="20"/>
                <w:szCs w:val="20"/>
              </w:rPr>
              <w:t>Información relacionada con los programas y centros destinados a la práctica de actividad física, ejer</w:t>
            </w:r>
            <w:r w:rsidR="00FF3679" w:rsidRPr="00B92499">
              <w:rPr>
                <w:rFonts w:ascii="Arial" w:hAnsi="Arial" w:cs="Arial"/>
                <w:color w:val="000000"/>
                <w:sz w:val="20"/>
                <w:szCs w:val="20"/>
              </w:rPr>
              <w:t>ci</w:t>
            </w:r>
            <w:r w:rsidRPr="00B92499">
              <w:rPr>
                <w:rFonts w:ascii="Arial" w:hAnsi="Arial" w:cs="Arial"/>
                <w:color w:val="000000"/>
                <w:sz w:val="20"/>
                <w:szCs w:val="20"/>
              </w:rPr>
              <w:t xml:space="preserve">cio y deporte. </w:t>
            </w:r>
          </w:p>
        </w:tc>
        <w:tc>
          <w:tcPr>
            <w:tcW w:w="1197" w:type="dxa"/>
            <w:tcBorders>
              <w:top w:val="nil"/>
              <w:left w:val="nil"/>
              <w:bottom w:val="single" w:sz="4" w:space="0" w:color="auto"/>
              <w:right w:val="single" w:sz="4" w:space="0" w:color="auto"/>
            </w:tcBorders>
            <w:shd w:val="clear" w:color="auto" w:fill="auto"/>
            <w:vAlign w:val="center"/>
            <w:hideMark/>
          </w:tcPr>
          <w:p w14:paraId="7D31EA27" w14:textId="77777777" w:rsidR="00743C68" w:rsidRPr="00B92499" w:rsidRDefault="00743C68" w:rsidP="00743C68">
            <w:pPr>
              <w:jc w:val="center"/>
              <w:rPr>
                <w:rFonts w:ascii="Arial" w:hAnsi="Arial" w:cs="Arial"/>
                <w:color w:val="000000"/>
                <w:sz w:val="20"/>
                <w:szCs w:val="20"/>
              </w:rPr>
            </w:pPr>
            <w:r w:rsidRPr="00B92499">
              <w:rPr>
                <w:rFonts w:ascii="Arial" w:hAnsi="Arial" w:cs="Arial"/>
                <w:color w:val="000000"/>
                <w:sz w:val="20"/>
                <w:szCs w:val="20"/>
              </w:rPr>
              <w:t>100</w:t>
            </w:r>
          </w:p>
        </w:tc>
      </w:tr>
      <w:tr w:rsidR="00743C68" w:rsidRPr="00B92499" w14:paraId="6EC167E9" w14:textId="77777777" w:rsidTr="00743C68">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846E838" w14:textId="77777777" w:rsidR="00743C68" w:rsidRPr="00B92499" w:rsidRDefault="00743C68">
            <w:pPr>
              <w:jc w:val="center"/>
              <w:rPr>
                <w:rFonts w:ascii="Arial" w:hAnsi="Arial" w:cs="Arial"/>
                <w:color w:val="000000"/>
                <w:sz w:val="20"/>
                <w:szCs w:val="20"/>
              </w:rPr>
            </w:pPr>
            <w:r w:rsidRPr="00B92499">
              <w:rPr>
                <w:rFonts w:ascii="Arial" w:hAnsi="Arial" w:cs="Arial"/>
                <w:color w:val="000000"/>
                <w:sz w:val="20"/>
                <w:szCs w:val="20"/>
              </w:rPr>
              <w:t>XLIV</w:t>
            </w:r>
          </w:p>
        </w:tc>
        <w:tc>
          <w:tcPr>
            <w:tcW w:w="0" w:type="auto"/>
            <w:tcBorders>
              <w:top w:val="nil"/>
              <w:left w:val="nil"/>
              <w:bottom w:val="single" w:sz="4" w:space="0" w:color="auto"/>
              <w:right w:val="single" w:sz="4" w:space="0" w:color="auto"/>
            </w:tcBorders>
            <w:shd w:val="clear" w:color="auto" w:fill="auto"/>
            <w:vAlign w:val="center"/>
            <w:hideMark/>
          </w:tcPr>
          <w:p w14:paraId="5347A8F3" w14:textId="77777777" w:rsidR="00743C68" w:rsidRPr="00B92499" w:rsidRDefault="00743C68" w:rsidP="00EE3F6D">
            <w:pPr>
              <w:jc w:val="both"/>
              <w:rPr>
                <w:rFonts w:ascii="Arial" w:hAnsi="Arial" w:cs="Arial"/>
                <w:color w:val="000000"/>
                <w:sz w:val="20"/>
                <w:szCs w:val="20"/>
              </w:rPr>
            </w:pPr>
            <w:r w:rsidRPr="00B92499">
              <w:rPr>
                <w:rFonts w:ascii="Arial" w:hAnsi="Arial" w:cs="Arial"/>
                <w:color w:val="000000"/>
                <w:sz w:val="20"/>
                <w:szCs w:val="20"/>
              </w:rPr>
              <w:t xml:space="preserve">Evaluaciones y encuestas a programas financiados con recursos públicos. </w:t>
            </w:r>
          </w:p>
        </w:tc>
        <w:tc>
          <w:tcPr>
            <w:tcW w:w="1197" w:type="dxa"/>
            <w:tcBorders>
              <w:top w:val="nil"/>
              <w:left w:val="nil"/>
              <w:bottom w:val="single" w:sz="4" w:space="0" w:color="auto"/>
              <w:right w:val="single" w:sz="4" w:space="0" w:color="auto"/>
            </w:tcBorders>
            <w:shd w:val="clear" w:color="auto" w:fill="auto"/>
            <w:vAlign w:val="center"/>
            <w:hideMark/>
          </w:tcPr>
          <w:p w14:paraId="7F294ECF" w14:textId="77777777" w:rsidR="00743C68" w:rsidRPr="00B92499" w:rsidRDefault="00743C68" w:rsidP="00743C68">
            <w:pPr>
              <w:jc w:val="center"/>
              <w:rPr>
                <w:rFonts w:ascii="Arial" w:hAnsi="Arial" w:cs="Arial"/>
                <w:color w:val="000000"/>
                <w:sz w:val="20"/>
                <w:szCs w:val="20"/>
              </w:rPr>
            </w:pPr>
            <w:r w:rsidRPr="00B92499">
              <w:rPr>
                <w:rFonts w:ascii="Arial" w:hAnsi="Arial" w:cs="Arial"/>
                <w:color w:val="000000"/>
                <w:sz w:val="20"/>
                <w:szCs w:val="20"/>
              </w:rPr>
              <w:t>100</w:t>
            </w:r>
          </w:p>
        </w:tc>
      </w:tr>
      <w:tr w:rsidR="00743C68" w:rsidRPr="00B92499" w14:paraId="6821E7B4" w14:textId="77777777" w:rsidTr="00743C68">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CBC5AA5" w14:textId="77777777" w:rsidR="00743C68" w:rsidRPr="00B92499" w:rsidRDefault="00743C68">
            <w:pPr>
              <w:jc w:val="center"/>
              <w:rPr>
                <w:rFonts w:ascii="Arial" w:hAnsi="Arial" w:cs="Arial"/>
                <w:color w:val="000000"/>
                <w:sz w:val="20"/>
                <w:szCs w:val="20"/>
              </w:rPr>
            </w:pPr>
            <w:r w:rsidRPr="00B92499">
              <w:rPr>
                <w:rFonts w:ascii="Arial" w:hAnsi="Arial" w:cs="Arial"/>
                <w:color w:val="000000"/>
                <w:sz w:val="20"/>
                <w:szCs w:val="20"/>
              </w:rPr>
              <w:t>XLVI</w:t>
            </w:r>
          </w:p>
        </w:tc>
        <w:tc>
          <w:tcPr>
            <w:tcW w:w="0" w:type="auto"/>
            <w:tcBorders>
              <w:top w:val="nil"/>
              <w:left w:val="nil"/>
              <w:bottom w:val="single" w:sz="4" w:space="0" w:color="auto"/>
              <w:right w:val="single" w:sz="4" w:space="0" w:color="auto"/>
            </w:tcBorders>
            <w:shd w:val="clear" w:color="auto" w:fill="auto"/>
            <w:vAlign w:val="center"/>
            <w:hideMark/>
          </w:tcPr>
          <w:p w14:paraId="30EE2F4E" w14:textId="77777777" w:rsidR="00743C68" w:rsidRPr="00B92499" w:rsidRDefault="00743C68" w:rsidP="00EE3F6D">
            <w:pPr>
              <w:jc w:val="both"/>
              <w:rPr>
                <w:rFonts w:ascii="Arial" w:hAnsi="Arial" w:cs="Arial"/>
                <w:color w:val="000000"/>
                <w:sz w:val="20"/>
                <w:szCs w:val="20"/>
              </w:rPr>
            </w:pPr>
            <w:r w:rsidRPr="00B92499">
              <w:rPr>
                <w:rFonts w:ascii="Arial" w:hAnsi="Arial" w:cs="Arial"/>
                <w:color w:val="000000"/>
                <w:sz w:val="20"/>
                <w:szCs w:val="20"/>
              </w:rPr>
              <w:t>Listado de jubilados y pensionados y monto que reciben.</w:t>
            </w:r>
          </w:p>
        </w:tc>
        <w:tc>
          <w:tcPr>
            <w:tcW w:w="1197" w:type="dxa"/>
            <w:tcBorders>
              <w:top w:val="nil"/>
              <w:left w:val="nil"/>
              <w:bottom w:val="single" w:sz="4" w:space="0" w:color="auto"/>
              <w:right w:val="single" w:sz="4" w:space="0" w:color="auto"/>
            </w:tcBorders>
            <w:shd w:val="clear" w:color="auto" w:fill="auto"/>
            <w:vAlign w:val="center"/>
            <w:hideMark/>
          </w:tcPr>
          <w:p w14:paraId="3C998220" w14:textId="77777777" w:rsidR="00743C68" w:rsidRPr="00B92499" w:rsidRDefault="00743C68" w:rsidP="00743C68">
            <w:pPr>
              <w:jc w:val="center"/>
              <w:rPr>
                <w:rFonts w:ascii="Arial" w:hAnsi="Arial" w:cs="Arial"/>
                <w:color w:val="000000"/>
                <w:sz w:val="20"/>
                <w:szCs w:val="20"/>
              </w:rPr>
            </w:pPr>
            <w:r w:rsidRPr="00B92499">
              <w:rPr>
                <w:rFonts w:ascii="Arial" w:hAnsi="Arial" w:cs="Arial"/>
                <w:color w:val="000000"/>
                <w:sz w:val="20"/>
                <w:szCs w:val="20"/>
              </w:rPr>
              <w:t>100</w:t>
            </w:r>
          </w:p>
        </w:tc>
      </w:tr>
      <w:tr w:rsidR="00743C68" w:rsidRPr="00B92499" w14:paraId="70640A4F" w14:textId="77777777" w:rsidTr="00743C68">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7C2DBAC" w14:textId="77777777" w:rsidR="00743C68" w:rsidRPr="00B92499" w:rsidRDefault="00743C68">
            <w:pPr>
              <w:jc w:val="center"/>
              <w:rPr>
                <w:rFonts w:ascii="Arial" w:hAnsi="Arial" w:cs="Arial"/>
                <w:color w:val="000000"/>
                <w:sz w:val="20"/>
                <w:szCs w:val="20"/>
              </w:rPr>
            </w:pPr>
            <w:r w:rsidRPr="00B92499">
              <w:rPr>
                <w:rFonts w:ascii="Arial" w:hAnsi="Arial" w:cs="Arial"/>
                <w:color w:val="000000"/>
                <w:sz w:val="20"/>
                <w:szCs w:val="20"/>
              </w:rPr>
              <w:t>XLVII</w:t>
            </w:r>
          </w:p>
        </w:tc>
        <w:tc>
          <w:tcPr>
            <w:tcW w:w="0" w:type="auto"/>
            <w:tcBorders>
              <w:top w:val="nil"/>
              <w:left w:val="nil"/>
              <w:bottom w:val="single" w:sz="4" w:space="0" w:color="auto"/>
              <w:right w:val="single" w:sz="4" w:space="0" w:color="auto"/>
            </w:tcBorders>
            <w:shd w:val="clear" w:color="auto" w:fill="auto"/>
            <w:vAlign w:val="center"/>
            <w:hideMark/>
          </w:tcPr>
          <w:p w14:paraId="09725C49" w14:textId="77777777" w:rsidR="00743C68" w:rsidRPr="00B92499" w:rsidRDefault="00743C68" w:rsidP="00EE3F6D">
            <w:pPr>
              <w:jc w:val="both"/>
              <w:rPr>
                <w:rFonts w:ascii="Arial" w:hAnsi="Arial" w:cs="Arial"/>
                <w:color w:val="000000"/>
                <w:sz w:val="20"/>
                <w:szCs w:val="20"/>
              </w:rPr>
            </w:pPr>
            <w:r w:rsidRPr="00B92499">
              <w:rPr>
                <w:rFonts w:ascii="Arial" w:hAnsi="Arial" w:cs="Arial"/>
                <w:color w:val="000000"/>
                <w:sz w:val="20"/>
                <w:szCs w:val="20"/>
              </w:rPr>
              <w:t>Los ingresos recibidos por cualquier concepto.</w:t>
            </w:r>
          </w:p>
        </w:tc>
        <w:tc>
          <w:tcPr>
            <w:tcW w:w="1197" w:type="dxa"/>
            <w:tcBorders>
              <w:top w:val="nil"/>
              <w:left w:val="nil"/>
              <w:bottom w:val="single" w:sz="4" w:space="0" w:color="auto"/>
              <w:right w:val="single" w:sz="4" w:space="0" w:color="auto"/>
            </w:tcBorders>
            <w:shd w:val="clear" w:color="auto" w:fill="auto"/>
            <w:vAlign w:val="center"/>
            <w:hideMark/>
          </w:tcPr>
          <w:p w14:paraId="034B074F" w14:textId="77777777" w:rsidR="00743C68" w:rsidRPr="00B92499" w:rsidRDefault="00743C68" w:rsidP="00743C68">
            <w:pPr>
              <w:jc w:val="center"/>
              <w:rPr>
                <w:rFonts w:ascii="Arial" w:hAnsi="Arial" w:cs="Arial"/>
                <w:color w:val="000000"/>
                <w:sz w:val="20"/>
                <w:szCs w:val="20"/>
              </w:rPr>
            </w:pPr>
            <w:r w:rsidRPr="00B92499">
              <w:rPr>
                <w:rFonts w:ascii="Arial" w:hAnsi="Arial" w:cs="Arial"/>
                <w:color w:val="000000"/>
                <w:sz w:val="20"/>
                <w:szCs w:val="20"/>
              </w:rPr>
              <w:t>100</w:t>
            </w:r>
          </w:p>
        </w:tc>
      </w:tr>
      <w:tr w:rsidR="00743C68" w:rsidRPr="00B92499" w14:paraId="1805B35E" w14:textId="77777777" w:rsidTr="00743C68">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8EC63C6" w14:textId="77777777" w:rsidR="00743C68" w:rsidRPr="00B92499" w:rsidRDefault="00743C68">
            <w:pPr>
              <w:jc w:val="center"/>
              <w:rPr>
                <w:rFonts w:ascii="Arial" w:hAnsi="Arial" w:cs="Arial"/>
                <w:color w:val="000000"/>
                <w:sz w:val="20"/>
                <w:szCs w:val="20"/>
              </w:rPr>
            </w:pPr>
            <w:r w:rsidRPr="00B92499">
              <w:rPr>
                <w:rFonts w:ascii="Arial" w:hAnsi="Arial" w:cs="Arial"/>
                <w:color w:val="000000"/>
                <w:sz w:val="20"/>
                <w:szCs w:val="20"/>
              </w:rPr>
              <w:t>XLVIII</w:t>
            </w:r>
          </w:p>
        </w:tc>
        <w:tc>
          <w:tcPr>
            <w:tcW w:w="0" w:type="auto"/>
            <w:tcBorders>
              <w:top w:val="nil"/>
              <w:left w:val="nil"/>
              <w:bottom w:val="single" w:sz="4" w:space="0" w:color="auto"/>
              <w:right w:val="single" w:sz="4" w:space="0" w:color="auto"/>
            </w:tcBorders>
            <w:shd w:val="clear" w:color="auto" w:fill="auto"/>
            <w:vAlign w:val="center"/>
            <w:hideMark/>
          </w:tcPr>
          <w:p w14:paraId="2FBC8310" w14:textId="77777777" w:rsidR="00743C68" w:rsidRPr="00B92499" w:rsidRDefault="00743C68" w:rsidP="00EE3F6D">
            <w:pPr>
              <w:jc w:val="both"/>
              <w:rPr>
                <w:rFonts w:ascii="Arial" w:hAnsi="Arial" w:cs="Arial"/>
                <w:color w:val="000000"/>
                <w:sz w:val="20"/>
                <w:szCs w:val="20"/>
              </w:rPr>
            </w:pPr>
            <w:r w:rsidRPr="00B92499">
              <w:rPr>
                <w:rFonts w:ascii="Arial" w:hAnsi="Arial" w:cs="Arial"/>
                <w:color w:val="000000"/>
                <w:sz w:val="20"/>
                <w:szCs w:val="20"/>
              </w:rPr>
              <w:t xml:space="preserve">Donaciones en dinero o especie hechas por terceros. </w:t>
            </w:r>
          </w:p>
        </w:tc>
        <w:tc>
          <w:tcPr>
            <w:tcW w:w="1197" w:type="dxa"/>
            <w:tcBorders>
              <w:top w:val="nil"/>
              <w:left w:val="nil"/>
              <w:bottom w:val="single" w:sz="4" w:space="0" w:color="auto"/>
              <w:right w:val="single" w:sz="4" w:space="0" w:color="auto"/>
            </w:tcBorders>
            <w:shd w:val="clear" w:color="auto" w:fill="auto"/>
            <w:vAlign w:val="center"/>
            <w:hideMark/>
          </w:tcPr>
          <w:p w14:paraId="6DFCD85F" w14:textId="77777777" w:rsidR="00743C68" w:rsidRPr="00B92499" w:rsidRDefault="00743C68" w:rsidP="00743C68">
            <w:pPr>
              <w:jc w:val="center"/>
              <w:rPr>
                <w:rFonts w:ascii="Arial" w:hAnsi="Arial" w:cs="Arial"/>
                <w:color w:val="000000"/>
                <w:sz w:val="20"/>
                <w:szCs w:val="20"/>
              </w:rPr>
            </w:pPr>
            <w:r w:rsidRPr="00B92499">
              <w:rPr>
                <w:rFonts w:ascii="Arial" w:hAnsi="Arial" w:cs="Arial"/>
                <w:color w:val="000000"/>
                <w:sz w:val="20"/>
                <w:szCs w:val="20"/>
              </w:rPr>
              <w:t>100</w:t>
            </w:r>
          </w:p>
        </w:tc>
      </w:tr>
      <w:tr w:rsidR="00743C68" w:rsidRPr="00B92499" w14:paraId="2F0FA4AA" w14:textId="77777777" w:rsidTr="00743C68">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DBEE48E" w14:textId="77777777" w:rsidR="00743C68" w:rsidRPr="00B92499" w:rsidRDefault="00743C68">
            <w:pPr>
              <w:jc w:val="center"/>
              <w:rPr>
                <w:rFonts w:ascii="Arial" w:hAnsi="Arial" w:cs="Arial"/>
                <w:color w:val="000000"/>
                <w:sz w:val="20"/>
                <w:szCs w:val="20"/>
              </w:rPr>
            </w:pPr>
            <w:r w:rsidRPr="00B92499">
              <w:rPr>
                <w:rFonts w:ascii="Arial" w:hAnsi="Arial" w:cs="Arial"/>
                <w:color w:val="000000"/>
                <w:sz w:val="20"/>
                <w:szCs w:val="20"/>
              </w:rPr>
              <w:t>XLIX</w:t>
            </w:r>
          </w:p>
        </w:tc>
        <w:tc>
          <w:tcPr>
            <w:tcW w:w="0" w:type="auto"/>
            <w:tcBorders>
              <w:top w:val="nil"/>
              <w:left w:val="nil"/>
              <w:bottom w:val="single" w:sz="4" w:space="0" w:color="auto"/>
              <w:right w:val="single" w:sz="4" w:space="0" w:color="auto"/>
            </w:tcBorders>
            <w:shd w:val="clear" w:color="auto" w:fill="auto"/>
            <w:vAlign w:val="center"/>
            <w:hideMark/>
          </w:tcPr>
          <w:p w14:paraId="0F52F966" w14:textId="77777777" w:rsidR="00743C68" w:rsidRPr="00B92499" w:rsidRDefault="00743C68" w:rsidP="00EE3F6D">
            <w:pPr>
              <w:jc w:val="both"/>
              <w:rPr>
                <w:rFonts w:ascii="Arial" w:hAnsi="Arial" w:cs="Arial"/>
                <w:color w:val="000000"/>
                <w:sz w:val="20"/>
                <w:szCs w:val="20"/>
              </w:rPr>
            </w:pPr>
            <w:r w:rsidRPr="00B92499">
              <w:rPr>
                <w:rFonts w:ascii="Arial" w:hAnsi="Arial" w:cs="Arial"/>
                <w:color w:val="000000"/>
                <w:sz w:val="20"/>
                <w:szCs w:val="20"/>
              </w:rPr>
              <w:t xml:space="preserve">El catálogo de disposición y guía de archivo documental. </w:t>
            </w:r>
          </w:p>
        </w:tc>
        <w:tc>
          <w:tcPr>
            <w:tcW w:w="1197" w:type="dxa"/>
            <w:tcBorders>
              <w:top w:val="nil"/>
              <w:left w:val="nil"/>
              <w:bottom w:val="single" w:sz="4" w:space="0" w:color="auto"/>
              <w:right w:val="single" w:sz="4" w:space="0" w:color="auto"/>
            </w:tcBorders>
            <w:shd w:val="clear" w:color="auto" w:fill="auto"/>
            <w:vAlign w:val="center"/>
            <w:hideMark/>
          </w:tcPr>
          <w:p w14:paraId="7D368169" w14:textId="77777777" w:rsidR="00743C68" w:rsidRPr="00B92499" w:rsidRDefault="00743C68" w:rsidP="00743C68">
            <w:pPr>
              <w:jc w:val="center"/>
              <w:rPr>
                <w:rFonts w:ascii="Arial" w:hAnsi="Arial" w:cs="Arial"/>
                <w:color w:val="000000"/>
                <w:sz w:val="20"/>
                <w:szCs w:val="20"/>
              </w:rPr>
            </w:pPr>
            <w:r w:rsidRPr="00B92499">
              <w:rPr>
                <w:rFonts w:ascii="Arial" w:hAnsi="Arial" w:cs="Arial"/>
                <w:color w:val="000000"/>
                <w:sz w:val="20"/>
                <w:szCs w:val="20"/>
              </w:rPr>
              <w:t>100</w:t>
            </w:r>
          </w:p>
        </w:tc>
      </w:tr>
      <w:tr w:rsidR="00743C68" w:rsidRPr="00B92499" w14:paraId="71DAF88E" w14:textId="77777777" w:rsidTr="00743C68">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62CC9A1" w14:textId="77777777" w:rsidR="00743C68" w:rsidRPr="00B92499" w:rsidRDefault="00743C68">
            <w:pPr>
              <w:jc w:val="center"/>
              <w:rPr>
                <w:rFonts w:ascii="Arial" w:hAnsi="Arial" w:cs="Arial"/>
                <w:color w:val="000000"/>
                <w:sz w:val="20"/>
                <w:szCs w:val="20"/>
              </w:rPr>
            </w:pPr>
            <w:r w:rsidRPr="00B92499">
              <w:rPr>
                <w:rFonts w:ascii="Arial" w:hAnsi="Arial" w:cs="Arial"/>
                <w:color w:val="000000"/>
                <w:sz w:val="20"/>
                <w:szCs w:val="20"/>
              </w:rPr>
              <w:t>LI</w:t>
            </w:r>
          </w:p>
        </w:tc>
        <w:tc>
          <w:tcPr>
            <w:tcW w:w="0" w:type="auto"/>
            <w:tcBorders>
              <w:top w:val="nil"/>
              <w:left w:val="nil"/>
              <w:bottom w:val="single" w:sz="4" w:space="0" w:color="auto"/>
              <w:right w:val="single" w:sz="4" w:space="0" w:color="auto"/>
            </w:tcBorders>
            <w:shd w:val="clear" w:color="auto" w:fill="auto"/>
            <w:vAlign w:val="center"/>
            <w:hideMark/>
          </w:tcPr>
          <w:p w14:paraId="7F3FDDFB" w14:textId="77777777" w:rsidR="00743C68" w:rsidRPr="00B92499" w:rsidRDefault="00743C68" w:rsidP="00EE3F6D">
            <w:pPr>
              <w:jc w:val="both"/>
              <w:rPr>
                <w:rFonts w:ascii="Arial" w:hAnsi="Arial" w:cs="Arial"/>
                <w:color w:val="000000"/>
                <w:sz w:val="20"/>
                <w:szCs w:val="20"/>
              </w:rPr>
            </w:pPr>
            <w:r w:rsidRPr="00B92499">
              <w:rPr>
                <w:rFonts w:ascii="Arial" w:hAnsi="Arial" w:cs="Arial"/>
                <w:color w:val="000000"/>
                <w:sz w:val="20"/>
                <w:szCs w:val="20"/>
              </w:rPr>
              <w:t xml:space="preserve">Listado de solicitudes a las empresas concesionarias de telecomunicaciones y proveedores de servicios de internet para la intervención de comunicaciones y la geolocalización. </w:t>
            </w:r>
          </w:p>
        </w:tc>
        <w:tc>
          <w:tcPr>
            <w:tcW w:w="1197" w:type="dxa"/>
            <w:tcBorders>
              <w:top w:val="nil"/>
              <w:left w:val="nil"/>
              <w:bottom w:val="single" w:sz="4" w:space="0" w:color="auto"/>
              <w:right w:val="single" w:sz="4" w:space="0" w:color="auto"/>
            </w:tcBorders>
            <w:shd w:val="clear" w:color="auto" w:fill="auto"/>
            <w:vAlign w:val="center"/>
            <w:hideMark/>
          </w:tcPr>
          <w:p w14:paraId="5033E4BD" w14:textId="77777777" w:rsidR="00743C68" w:rsidRPr="00B92499" w:rsidRDefault="00743C68" w:rsidP="00743C68">
            <w:pPr>
              <w:jc w:val="center"/>
              <w:rPr>
                <w:rFonts w:ascii="Arial" w:hAnsi="Arial" w:cs="Arial"/>
                <w:color w:val="000000"/>
                <w:sz w:val="20"/>
                <w:szCs w:val="20"/>
              </w:rPr>
            </w:pPr>
            <w:r w:rsidRPr="00B92499">
              <w:rPr>
                <w:rFonts w:ascii="Arial" w:hAnsi="Arial" w:cs="Arial"/>
                <w:color w:val="000000"/>
                <w:sz w:val="20"/>
                <w:szCs w:val="20"/>
              </w:rPr>
              <w:t>100</w:t>
            </w:r>
          </w:p>
        </w:tc>
      </w:tr>
      <w:tr w:rsidR="00743C68" w:rsidRPr="00B92499" w14:paraId="42BCE9F5" w14:textId="77777777" w:rsidTr="00743C68">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87E4DE1" w14:textId="77777777" w:rsidR="00743C68" w:rsidRPr="00B92499" w:rsidRDefault="00743C68">
            <w:pPr>
              <w:jc w:val="center"/>
              <w:rPr>
                <w:rFonts w:ascii="Arial" w:hAnsi="Arial" w:cs="Arial"/>
                <w:color w:val="000000"/>
                <w:sz w:val="20"/>
                <w:szCs w:val="20"/>
              </w:rPr>
            </w:pPr>
            <w:r w:rsidRPr="00B92499">
              <w:rPr>
                <w:rFonts w:ascii="Arial" w:hAnsi="Arial" w:cs="Arial"/>
                <w:color w:val="000000"/>
                <w:sz w:val="20"/>
                <w:szCs w:val="20"/>
              </w:rPr>
              <w:t>LIII</w:t>
            </w:r>
          </w:p>
        </w:tc>
        <w:tc>
          <w:tcPr>
            <w:tcW w:w="0" w:type="auto"/>
            <w:tcBorders>
              <w:top w:val="nil"/>
              <w:left w:val="nil"/>
              <w:bottom w:val="single" w:sz="4" w:space="0" w:color="auto"/>
              <w:right w:val="single" w:sz="4" w:space="0" w:color="auto"/>
            </w:tcBorders>
            <w:shd w:val="clear" w:color="auto" w:fill="auto"/>
            <w:vAlign w:val="center"/>
            <w:hideMark/>
          </w:tcPr>
          <w:p w14:paraId="207E98F7" w14:textId="77777777" w:rsidR="00743C68" w:rsidRPr="00B92499" w:rsidRDefault="00743C68" w:rsidP="00EE3F6D">
            <w:pPr>
              <w:jc w:val="both"/>
              <w:rPr>
                <w:rFonts w:ascii="Arial" w:hAnsi="Arial" w:cs="Arial"/>
                <w:color w:val="000000"/>
                <w:sz w:val="20"/>
                <w:szCs w:val="20"/>
              </w:rPr>
            </w:pPr>
            <w:r w:rsidRPr="00B92499">
              <w:rPr>
                <w:rFonts w:ascii="Arial" w:hAnsi="Arial" w:cs="Arial"/>
                <w:color w:val="000000"/>
                <w:sz w:val="20"/>
                <w:szCs w:val="20"/>
              </w:rPr>
              <w:t xml:space="preserve">La ubicación de todas las obras públicas. </w:t>
            </w:r>
          </w:p>
        </w:tc>
        <w:tc>
          <w:tcPr>
            <w:tcW w:w="1197" w:type="dxa"/>
            <w:tcBorders>
              <w:top w:val="nil"/>
              <w:left w:val="nil"/>
              <w:bottom w:val="single" w:sz="4" w:space="0" w:color="auto"/>
              <w:right w:val="single" w:sz="4" w:space="0" w:color="auto"/>
            </w:tcBorders>
            <w:shd w:val="clear" w:color="auto" w:fill="auto"/>
            <w:vAlign w:val="center"/>
            <w:hideMark/>
          </w:tcPr>
          <w:p w14:paraId="33BF08AF" w14:textId="77777777" w:rsidR="00743C68" w:rsidRPr="00B92499" w:rsidRDefault="00743C68" w:rsidP="00743C68">
            <w:pPr>
              <w:jc w:val="center"/>
              <w:rPr>
                <w:rFonts w:ascii="Arial" w:hAnsi="Arial" w:cs="Arial"/>
                <w:color w:val="000000"/>
                <w:sz w:val="20"/>
                <w:szCs w:val="20"/>
              </w:rPr>
            </w:pPr>
            <w:r w:rsidRPr="00B92499">
              <w:rPr>
                <w:rFonts w:ascii="Arial" w:hAnsi="Arial" w:cs="Arial"/>
                <w:color w:val="000000"/>
                <w:sz w:val="20"/>
                <w:szCs w:val="20"/>
              </w:rPr>
              <w:t>100</w:t>
            </w:r>
          </w:p>
        </w:tc>
      </w:tr>
      <w:tr w:rsidR="00743C68" w:rsidRPr="00B92499" w14:paraId="2FA13143" w14:textId="77777777" w:rsidTr="00743C68">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4682150" w14:textId="77777777" w:rsidR="00743C68" w:rsidRPr="00B92499" w:rsidRDefault="00743C68">
            <w:pPr>
              <w:jc w:val="center"/>
              <w:rPr>
                <w:rFonts w:ascii="Arial" w:hAnsi="Arial" w:cs="Arial"/>
                <w:color w:val="000000"/>
                <w:sz w:val="20"/>
                <w:szCs w:val="20"/>
              </w:rPr>
            </w:pPr>
            <w:r w:rsidRPr="00B92499">
              <w:rPr>
                <w:rFonts w:ascii="Arial" w:hAnsi="Arial" w:cs="Arial"/>
                <w:color w:val="000000"/>
                <w:sz w:val="20"/>
                <w:szCs w:val="20"/>
              </w:rPr>
              <w:t>LIV</w:t>
            </w:r>
          </w:p>
        </w:tc>
        <w:tc>
          <w:tcPr>
            <w:tcW w:w="0" w:type="auto"/>
            <w:tcBorders>
              <w:top w:val="nil"/>
              <w:left w:val="nil"/>
              <w:bottom w:val="single" w:sz="4" w:space="0" w:color="auto"/>
              <w:right w:val="single" w:sz="4" w:space="0" w:color="auto"/>
            </w:tcBorders>
            <w:shd w:val="clear" w:color="auto" w:fill="auto"/>
            <w:vAlign w:val="center"/>
            <w:hideMark/>
          </w:tcPr>
          <w:p w14:paraId="09D2D494" w14:textId="77777777" w:rsidR="00743C68" w:rsidRPr="00B92499" w:rsidRDefault="00743C68" w:rsidP="00EE3F6D">
            <w:pPr>
              <w:jc w:val="both"/>
              <w:rPr>
                <w:rFonts w:ascii="Arial" w:hAnsi="Arial" w:cs="Arial"/>
                <w:color w:val="000000"/>
                <w:sz w:val="20"/>
                <w:szCs w:val="20"/>
              </w:rPr>
            </w:pPr>
            <w:r w:rsidRPr="00B92499">
              <w:rPr>
                <w:rFonts w:ascii="Arial" w:hAnsi="Arial" w:cs="Arial"/>
                <w:color w:val="000000"/>
                <w:sz w:val="20"/>
                <w:szCs w:val="20"/>
              </w:rPr>
              <w:t xml:space="preserve">Personas beneficiadas, la temporalidad, los montos y todo aquello relacionado con el acto administrativo de los incentivos, condonaciones, reducciones fiscales, concesiones, permisos o licencias, entre otros actos. </w:t>
            </w:r>
          </w:p>
        </w:tc>
        <w:tc>
          <w:tcPr>
            <w:tcW w:w="1197" w:type="dxa"/>
            <w:tcBorders>
              <w:top w:val="nil"/>
              <w:left w:val="nil"/>
              <w:bottom w:val="single" w:sz="4" w:space="0" w:color="auto"/>
              <w:right w:val="single" w:sz="4" w:space="0" w:color="auto"/>
            </w:tcBorders>
            <w:shd w:val="clear" w:color="auto" w:fill="auto"/>
            <w:vAlign w:val="center"/>
            <w:hideMark/>
          </w:tcPr>
          <w:p w14:paraId="7831F56C" w14:textId="77777777" w:rsidR="00743C68" w:rsidRPr="00B92499" w:rsidRDefault="00743C68" w:rsidP="00743C68">
            <w:pPr>
              <w:jc w:val="center"/>
              <w:rPr>
                <w:rFonts w:ascii="Arial" w:hAnsi="Arial" w:cs="Arial"/>
                <w:color w:val="000000"/>
                <w:sz w:val="20"/>
                <w:szCs w:val="20"/>
              </w:rPr>
            </w:pPr>
            <w:r w:rsidRPr="00B92499">
              <w:rPr>
                <w:rFonts w:ascii="Arial" w:hAnsi="Arial" w:cs="Arial"/>
                <w:color w:val="000000"/>
                <w:sz w:val="20"/>
                <w:szCs w:val="20"/>
              </w:rPr>
              <w:t>100</w:t>
            </w:r>
          </w:p>
        </w:tc>
      </w:tr>
      <w:tr w:rsidR="00743C68" w:rsidRPr="00B92499" w14:paraId="72EBCB99" w14:textId="77777777" w:rsidTr="00743C68">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5EBA916" w14:textId="77777777" w:rsidR="00743C68" w:rsidRPr="00B92499" w:rsidRDefault="00743C68">
            <w:pPr>
              <w:jc w:val="center"/>
              <w:rPr>
                <w:rFonts w:ascii="Arial" w:hAnsi="Arial" w:cs="Arial"/>
                <w:color w:val="000000"/>
                <w:sz w:val="20"/>
                <w:szCs w:val="20"/>
              </w:rPr>
            </w:pPr>
            <w:r w:rsidRPr="00B92499">
              <w:rPr>
                <w:rFonts w:ascii="Arial" w:hAnsi="Arial" w:cs="Arial"/>
                <w:color w:val="000000"/>
                <w:sz w:val="20"/>
                <w:szCs w:val="20"/>
              </w:rPr>
              <w:t>IV</w:t>
            </w:r>
          </w:p>
        </w:tc>
        <w:tc>
          <w:tcPr>
            <w:tcW w:w="0" w:type="auto"/>
            <w:tcBorders>
              <w:top w:val="nil"/>
              <w:left w:val="nil"/>
              <w:bottom w:val="single" w:sz="4" w:space="0" w:color="auto"/>
              <w:right w:val="single" w:sz="4" w:space="0" w:color="auto"/>
            </w:tcBorders>
            <w:shd w:val="clear" w:color="auto" w:fill="auto"/>
            <w:vAlign w:val="center"/>
            <w:hideMark/>
          </w:tcPr>
          <w:p w14:paraId="4CC29159" w14:textId="77777777" w:rsidR="00743C68" w:rsidRPr="00B92499" w:rsidRDefault="00743C68" w:rsidP="00EE3F6D">
            <w:pPr>
              <w:jc w:val="both"/>
              <w:rPr>
                <w:rFonts w:ascii="Arial" w:hAnsi="Arial" w:cs="Arial"/>
                <w:color w:val="000000"/>
                <w:sz w:val="20"/>
                <w:szCs w:val="20"/>
              </w:rPr>
            </w:pPr>
            <w:r w:rsidRPr="00B92499">
              <w:rPr>
                <w:rFonts w:ascii="Arial" w:hAnsi="Arial" w:cs="Arial"/>
                <w:color w:val="000000"/>
                <w:sz w:val="20"/>
                <w:szCs w:val="20"/>
              </w:rPr>
              <w:t xml:space="preserve">Metas y objetivos de la Dirección. </w:t>
            </w:r>
          </w:p>
        </w:tc>
        <w:tc>
          <w:tcPr>
            <w:tcW w:w="1197" w:type="dxa"/>
            <w:tcBorders>
              <w:top w:val="nil"/>
              <w:left w:val="nil"/>
              <w:bottom w:val="single" w:sz="4" w:space="0" w:color="auto"/>
              <w:right w:val="single" w:sz="4" w:space="0" w:color="auto"/>
            </w:tcBorders>
            <w:shd w:val="clear" w:color="auto" w:fill="auto"/>
            <w:vAlign w:val="center"/>
            <w:hideMark/>
          </w:tcPr>
          <w:p w14:paraId="5F4EF3CC" w14:textId="77777777" w:rsidR="00743C68" w:rsidRPr="00B92499" w:rsidRDefault="00743C68" w:rsidP="00743C68">
            <w:pPr>
              <w:jc w:val="center"/>
              <w:rPr>
                <w:rFonts w:ascii="Arial" w:hAnsi="Arial" w:cs="Arial"/>
                <w:color w:val="000000"/>
                <w:sz w:val="20"/>
                <w:szCs w:val="20"/>
              </w:rPr>
            </w:pPr>
            <w:r w:rsidRPr="00B92499">
              <w:rPr>
                <w:rFonts w:ascii="Arial" w:hAnsi="Arial" w:cs="Arial"/>
                <w:color w:val="000000"/>
                <w:sz w:val="20"/>
                <w:szCs w:val="20"/>
              </w:rPr>
              <w:t>100</w:t>
            </w:r>
          </w:p>
        </w:tc>
      </w:tr>
      <w:tr w:rsidR="00743C68" w:rsidRPr="00B92499" w14:paraId="5A9C5E60" w14:textId="77777777" w:rsidTr="00743C68">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AEE9B66" w14:textId="77777777" w:rsidR="00743C68" w:rsidRPr="00B92499" w:rsidRDefault="00743C68">
            <w:pPr>
              <w:jc w:val="center"/>
              <w:rPr>
                <w:rFonts w:ascii="Arial" w:hAnsi="Arial" w:cs="Arial"/>
                <w:color w:val="000000"/>
                <w:sz w:val="20"/>
                <w:szCs w:val="20"/>
              </w:rPr>
            </w:pPr>
            <w:r w:rsidRPr="00B92499">
              <w:rPr>
                <w:rFonts w:ascii="Arial" w:hAnsi="Arial" w:cs="Arial"/>
                <w:color w:val="000000"/>
                <w:sz w:val="20"/>
                <w:szCs w:val="20"/>
              </w:rPr>
              <w:t>VI</w:t>
            </w:r>
          </w:p>
        </w:tc>
        <w:tc>
          <w:tcPr>
            <w:tcW w:w="0" w:type="auto"/>
            <w:tcBorders>
              <w:top w:val="nil"/>
              <w:left w:val="nil"/>
              <w:bottom w:val="single" w:sz="4" w:space="0" w:color="auto"/>
              <w:right w:val="single" w:sz="4" w:space="0" w:color="auto"/>
            </w:tcBorders>
            <w:shd w:val="clear" w:color="auto" w:fill="auto"/>
            <w:vAlign w:val="center"/>
            <w:hideMark/>
          </w:tcPr>
          <w:p w14:paraId="0ECC8AC6" w14:textId="77777777" w:rsidR="00743C68" w:rsidRPr="00B92499" w:rsidRDefault="00743C68" w:rsidP="00EE3F6D">
            <w:pPr>
              <w:jc w:val="both"/>
              <w:rPr>
                <w:rFonts w:ascii="Arial" w:hAnsi="Arial" w:cs="Arial"/>
                <w:color w:val="000000"/>
                <w:sz w:val="20"/>
                <w:szCs w:val="20"/>
              </w:rPr>
            </w:pPr>
            <w:r w:rsidRPr="00B92499">
              <w:rPr>
                <w:rFonts w:ascii="Arial" w:hAnsi="Arial" w:cs="Arial"/>
                <w:color w:val="000000"/>
                <w:sz w:val="20"/>
                <w:szCs w:val="20"/>
              </w:rPr>
              <w:t>Indicadores que permitan rendir cuentas.</w:t>
            </w:r>
          </w:p>
        </w:tc>
        <w:tc>
          <w:tcPr>
            <w:tcW w:w="1197" w:type="dxa"/>
            <w:tcBorders>
              <w:top w:val="nil"/>
              <w:left w:val="nil"/>
              <w:bottom w:val="single" w:sz="4" w:space="0" w:color="auto"/>
              <w:right w:val="single" w:sz="4" w:space="0" w:color="auto"/>
            </w:tcBorders>
            <w:shd w:val="clear" w:color="auto" w:fill="auto"/>
            <w:vAlign w:val="center"/>
            <w:hideMark/>
          </w:tcPr>
          <w:p w14:paraId="57F484ED" w14:textId="77777777" w:rsidR="00743C68" w:rsidRPr="00B92499" w:rsidRDefault="00743C68" w:rsidP="00743C68">
            <w:pPr>
              <w:jc w:val="center"/>
              <w:rPr>
                <w:rFonts w:ascii="Arial" w:hAnsi="Arial" w:cs="Arial"/>
                <w:color w:val="000000"/>
                <w:sz w:val="20"/>
                <w:szCs w:val="20"/>
              </w:rPr>
            </w:pPr>
            <w:r w:rsidRPr="00B92499">
              <w:rPr>
                <w:rFonts w:ascii="Arial" w:hAnsi="Arial" w:cs="Arial"/>
                <w:color w:val="000000"/>
                <w:sz w:val="20"/>
                <w:szCs w:val="20"/>
              </w:rPr>
              <w:t>100</w:t>
            </w:r>
          </w:p>
        </w:tc>
      </w:tr>
      <w:tr w:rsidR="00743C68" w:rsidRPr="00B92499" w14:paraId="01366AE5" w14:textId="77777777" w:rsidTr="00743C68">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BDD6064" w14:textId="77777777" w:rsidR="00743C68" w:rsidRPr="00B92499" w:rsidRDefault="00743C68">
            <w:pPr>
              <w:jc w:val="center"/>
              <w:rPr>
                <w:rFonts w:ascii="Arial" w:hAnsi="Arial" w:cs="Arial"/>
                <w:color w:val="000000"/>
                <w:sz w:val="20"/>
                <w:szCs w:val="20"/>
              </w:rPr>
            </w:pPr>
            <w:r w:rsidRPr="00B92499">
              <w:rPr>
                <w:rFonts w:ascii="Arial" w:hAnsi="Arial" w:cs="Arial"/>
                <w:color w:val="000000"/>
                <w:sz w:val="20"/>
                <w:szCs w:val="20"/>
              </w:rPr>
              <w:t>IX</w:t>
            </w:r>
          </w:p>
        </w:tc>
        <w:tc>
          <w:tcPr>
            <w:tcW w:w="0" w:type="auto"/>
            <w:tcBorders>
              <w:top w:val="nil"/>
              <w:left w:val="nil"/>
              <w:bottom w:val="single" w:sz="4" w:space="0" w:color="auto"/>
              <w:right w:val="single" w:sz="4" w:space="0" w:color="auto"/>
            </w:tcBorders>
            <w:shd w:val="clear" w:color="auto" w:fill="auto"/>
            <w:vAlign w:val="center"/>
            <w:hideMark/>
          </w:tcPr>
          <w:p w14:paraId="36C7BC2A" w14:textId="2917C7DB" w:rsidR="00743C68" w:rsidRPr="00B92499" w:rsidRDefault="00743C68" w:rsidP="00EE3F6D">
            <w:pPr>
              <w:jc w:val="both"/>
              <w:rPr>
                <w:rFonts w:ascii="Arial" w:hAnsi="Arial" w:cs="Arial"/>
                <w:color w:val="000000"/>
                <w:sz w:val="20"/>
                <w:szCs w:val="20"/>
              </w:rPr>
            </w:pPr>
            <w:r w:rsidRPr="00B92499">
              <w:rPr>
                <w:rFonts w:ascii="Arial" w:hAnsi="Arial" w:cs="Arial"/>
                <w:color w:val="000000"/>
                <w:sz w:val="20"/>
                <w:szCs w:val="20"/>
              </w:rPr>
              <w:t>Remuneraciones mensual</w:t>
            </w:r>
            <w:r w:rsidR="00490622" w:rsidRPr="00B92499">
              <w:rPr>
                <w:rFonts w:ascii="Arial" w:hAnsi="Arial" w:cs="Arial"/>
                <w:color w:val="000000"/>
                <w:sz w:val="20"/>
                <w:szCs w:val="20"/>
              </w:rPr>
              <w:t xml:space="preserve">, </w:t>
            </w:r>
            <w:r w:rsidRPr="00B92499">
              <w:rPr>
                <w:rFonts w:ascii="Arial" w:hAnsi="Arial" w:cs="Arial"/>
                <w:color w:val="000000"/>
                <w:sz w:val="20"/>
                <w:szCs w:val="20"/>
              </w:rPr>
              <w:t>bruta y neta</w:t>
            </w:r>
            <w:r w:rsidR="00FF3679" w:rsidRPr="00B92499">
              <w:rPr>
                <w:rFonts w:ascii="Arial" w:hAnsi="Arial" w:cs="Arial"/>
                <w:color w:val="000000"/>
                <w:sz w:val="20"/>
                <w:szCs w:val="20"/>
              </w:rPr>
              <w:t>.</w:t>
            </w:r>
          </w:p>
        </w:tc>
        <w:tc>
          <w:tcPr>
            <w:tcW w:w="1197" w:type="dxa"/>
            <w:tcBorders>
              <w:top w:val="nil"/>
              <w:left w:val="nil"/>
              <w:bottom w:val="single" w:sz="4" w:space="0" w:color="auto"/>
              <w:right w:val="single" w:sz="4" w:space="0" w:color="auto"/>
            </w:tcBorders>
            <w:shd w:val="clear" w:color="auto" w:fill="auto"/>
            <w:vAlign w:val="center"/>
            <w:hideMark/>
          </w:tcPr>
          <w:p w14:paraId="278A56F3" w14:textId="77777777" w:rsidR="00743C68" w:rsidRPr="00B92499" w:rsidRDefault="00743C68" w:rsidP="00743C68">
            <w:pPr>
              <w:jc w:val="center"/>
              <w:rPr>
                <w:rFonts w:ascii="Arial" w:hAnsi="Arial" w:cs="Arial"/>
                <w:color w:val="000000"/>
                <w:sz w:val="20"/>
                <w:szCs w:val="20"/>
              </w:rPr>
            </w:pPr>
            <w:r w:rsidRPr="00B92499">
              <w:rPr>
                <w:rFonts w:ascii="Arial" w:hAnsi="Arial" w:cs="Arial"/>
                <w:color w:val="000000"/>
                <w:sz w:val="20"/>
                <w:szCs w:val="20"/>
              </w:rPr>
              <w:t>100</w:t>
            </w:r>
          </w:p>
        </w:tc>
      </w:tr>
      <w:tr w:rsidR="00743C68" w:rsidRPr="00B92499" w14:paraId="29E30AF4" w14:textId="77777777" w:rsidTr="00743C68">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FAF72AA" w14:textId="77777777" w:rsidR="00743C68" w:rsidRPr="00B92499" w:rsidRDefault="00743C68">
            <w:pPr>
              <w:jc w:val="center"/>
              <w:rPr>
                <w:rFonts w:ascii="Arial" w:hAnsi="Arial" w:cs="Arial"/>
                <w:color w:val="000000"/>
                <w:sz w:val="20"/>
                <w:szCs w:val="20"/>
              </w:rPr>
            </w:pPr>
            <w:r w:rsidRPr="00B92499">
              <w:rPr>
                <w:rFonts w:ascii="Arial" w:hAnsi="Arial" w:cs="Arial"/>
                <w:color w:val="000000"/>
                <w:sz w:val="20"/>
                <w:szCs w:val="20"/>
              </w:rPr>
              <w:t>XIV</w:t>
            </w:r>
          </w:p>
        </w:tc>
        <w:tc>
          <w:tcPr>
            <w:tcW w:w="0" w:type="auto"/>
            <w:tcBorders>
              <w:top w:val="nil"/>
              <w:left w:val="nil"/>
              <w:bottom w:val="single" w:sz="4" w:space="0" w:color="auto"/>
              <w:right w:val="single" w:sz="4" w:space="0" w:color="auto"/>
            </w:tcBorders>
            <w:shd w:val="clear" w:color="auto" w:fill="auto"/>
            <w:vAlign w:val="center"/>
            <w:hideMark/>
          </w:tcPr>
          <w:p w14:paraId="28CEA253" w14:textId="77777777" w:rsidR="00743C68" w:rsidRPr="00B92499" w:rsidRDefault="00743C68" w:rsidP="00EE3F6D">
            <w:pPr>
              <w:jc w:val="both"/>
              <w:rPr>
                <w:rFonts w:ascii="Arial" w:hAnsi="Arial" w:cs="Arial"/>
                <w:color w:val="000000"/>
                <w:sz w:val="20"/>
                <w:szCs w:val="20"/>
              </w:rPr>
            </w:pPr>
            <w:r w:rsidRPr="00B92499">
              <w:rPr>
                <w:rFonts w:ascii="Arial" w:hAnsi="Arial" w:cs="Arial"/>
                <w:color w:val="000000"/>
                <w:sz w:val="20"/>
                <w:szCs w:val="20"/>
              </w:rPr>
              <w:t>Domicilio de la Unidad de Transparencia.</w:t>
            </w:r>
          </w:p>
        </w:tc>
        <w:tc>
          <w:tcPr>
            <w:tcW w:w="1197" w:type="dxa"/>
            <w:tcBorders>
              <w:top w:val="nil"/>
              <w:left w:val="nil"/>
              <w:bottom w:val="single" w:sz="4" w:space="0" w:color="auto"/>
              <w:right w:val="single" w:sz="4" w:space="0" w:color="auto"/>
            </w:tcBorders>
            <w:shd w:val="clear" w:color="auto" w:fill="auto"/>
            <w:vAlign w:val="center"/>
            <w:hideMark/>
          </w:tcPr>
          <w:p w14:paraId="1A3622D5" w14:textId="77777777" w:rsidR="00743C68" w:rsidRPr="00B92499" w:rsidRDefault="00743C68" w:rsidP="00743C68">
            <w:pPr>
              <w:jc w:val="center"/>
              <w:rPr>
                <w:rFonts w:ascii="Arial" w:hAnsi="Arial" w:cs="Arial"/>
                <w:color w:val="000000"/>
                <w:sz w:val="20"/>
                <w:szCs w:val="20"/>
              </w:rPr>
            </w:pPr>
            <w:r w:rsidRPr="00B92499">
              <w:rPr>
                <w:rFonts w:ascii="Arial" w:hAnsi="Arial" w:cs="Arial"/>
                <w:color w:val="000000"/>
                <w:sz w:val="20"/>
                <w:szCs w:val="20"/>
              </w:rPr>
              <w:t>100</w:t>
            </w:r>
          </w:p>
        </w:tc>
      </w:tr>
      <w:tr w:rsidR="00743C68" w:rsidRPr="00B92499" w14:paraId="765CC210" w14:textId="77777777" w:rsidTr="00743C68">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627EC01" w14:textId="77777777" w:rsidR="00743C68" w:rsidRPr="00B92499" w:rsidRDefault="00743C68">
            <w:pPr>
              <w:jc w:val="center"/>
              <w:rPr>
                <w:rFonts w:ascii="Arial" w:hAnsi="Arial" w:cs="Arial"/>
                <w:color w:val="000000"/>
                <w:sz w:val="20"/>
                <w:szCs w:val="20"/>
              </w:rPr>
            </w:pPr>
            <w:r w:rsidRPr="00B92499">
              <w:rPr>
                <w:rFonts w:ascii="Arial" w:hAnsi="Arial" w:cs="Arial"/>
                <w:color w:val="000000"/>
                <w:sz w:val="20"/>
                <w:szCs w:val="20"/>
              </w:rPr>
              <w:t>XV</w:t>
            </w:r>
          </w:p>
        </w:tc>
        <w:tc>
          <w:tcPr>
            <w:tcW w:w="0" w:type="auto"/>
            <w:tcBorders>
              <w:top w:val="nil"/>
              <w:left w:val="nil"/>
              <w:bottom w:val="single" w:sz="4" w:space="0" w:color="auto"/>
              <w:right w:val="single" w:sz="4" w:space="0" w:color="auto"/>
            </w:tcBorders>
            <w:shd w:val="clear" w:color="auto" w:fill="auto"/>
            <w:vAlign w:val="center"/>
            <w:hideMark/>
          </w:tcPr>
          <w:p w14:paraId="4495846B" w14:textId="77777777" w:rsidR="00743C68" w:rsidRPr="00B92499" w:rsidRDefault="00743C68" w:rsidP="00EE3F6D">
            <w:pPr>
              <w:jc w:val="both"/>
              <w:rPr>
                <w:rFonts w:ascii="Arial" w:hAnsi="Arial" w:cs="Arial"/>
                <w:color w:val="000000"/>
                <w:sz w:val="20"/>
                <w:szCs w:val="20"/>
              </w:rPr>
            </w:pPr>
            <w:r w:rsidRPr="00B92499">
              <w:rPr>
                <w:rFonts w:ascii="Arial" w:hAnsi="Arial" w:cs="Arial"/>
                <w:color w:val="000000"/>
                <w:sz w:val="20"/>
                <w:szCs w:val="20"/>
              </w:rPr>
              <w:t>Información curricular y perfil de puestos.</w:t>
            </w:r>
          </w:p>
        </w:tc>
        <w:tc>
          <w:tcPr>
            <w:tcW w:w="1197" w:type="dxa"/>
            <w:tcBorders>
              <w:top w:val="nil"/>
              <w:left w:val="nil"/>
              <w:bottom w:val="single" w:sz="4" w:space="0" w:color="auto"/>
              <w:right w:val="single" w:sz="4" w:space="0" w:color="auto"/>
            </w:tcBorders>
            <w:shd w:val="clear" w:color="auto" w:fill="auto"/>
            <w:vAlign w:val="center"/>
            <w:hideMark/>
          </w:tcPr>
          <w:p w14:paraId="3705D8D9" w14:textId="77777777" w:rsidR="00743C68" w:rsidRPr="00B92499" w:rsidRDefault="00743C68" w:rsidP="00743C68">
            <w:pPr>
              <w:jc w:val="center"/>
              <w:rPr>
                <w:rFonts w:ascii="Arial" w:hAnsi="Arial" w:cs="Arial"/>
                <w:color w:val="000000"/>
                <w:sz w:val="20"/>
                <w:szCs w:val="20"/>
              </w:rPr>
            </w:pPr>
            <w:r w:rsidRPr="00B92499">
              <w:rPr>
                <w:rFonts w:ascii="Arial" w:hAnsi="Arial" w:cs="Arial"/>
                <w:color w:val="000000"/>
                <w:sz w:val="20"/>
                <w:szCs w:val="20"/>
              </w:rPr>
              <w:t>100</w:t>
            </w:r>
          </w:p>
        </w:tc>
      </w:tr>
      <w:tr w:rsidR="00743C68" w:rsidRPr="00B92499" w14:paraId="377DD48A" w14:textId="77777777" w:rsidTr="00743C68">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F8DD9B8" w14:textId="77777777" w:rsidR="00743C68" w:rsidRPr="00B92499" w:rsidRDefault="00743C68">
            <w:pPr>
              <w:jc w:val="center"/>
              <w:rPr>
                <w:rFonts w:ascii="Arial" w:hAnsi="Arial" w:cs="Arial"/>
                <w:color w:val="000000"/>
                <w:sz w:val="20"/>
                <w:szCs w:val="20"/>
              </w:rPr>
            </w:pPr>
            <w:r w:rsidRPr="00B92499">
              <w:rPr>
                <w:rFonts w:ascii="Arial" w:hAnsi="Arial" w:cs="Arial"/>
                <w:color w:val="000000"/>
                <w:sz w:val="20"/>
                <w:szCs w:val="20"/>
              </w:rPr>
              <w:t>XIX</w:t>
            </w:r>
          </w:p>
        </w:tc>
        <w:tc>
          <w:tcPr>
            <w:tcW w:w="0" w:type="auto"/>
            <w:tcBorders>
              <w:top w:val="nil"/>
              <w:left w:val="nil"/>
              <w:bottom w:val="single" w:sz="4" w:space="0" w:color="auto"/>
              <w:right w:val="single" w:sz="4" w:space="0" w:color="auto"/>
            </w:tcBorders>
            <w:shd w:val="clear" w:color="auto" w:fill="auto"/>
            <w:vAlign w:val="center"/>
            <w:hideMark/>
          </w:tcPr>
          <w:p w14:paraId="5FE65610" w14:textId="77777777" w:rsidR="00743C68" w:rsidRPr="00B92499" w:rsidRDefault="00743C68" w:rsidP="00EE3F6D">
            <w:pPr>
              <w:jc w:val="both"/>
              <w:rPr>
                <w:rFonts w:ascii="Arial" w:hAnsi="Arial" w:cs="Arial"/>
                <w:color w:val="000000"/>
                <w:sz w:val="20"/>
                <w:szCs w:val="20"/>
              </w:rPr>
            </w:pPr>
            <w:r w:rsidRPr="00B92499">
              <w:rPr>
                <w:rFonts w:ascii="Arial" w:hAnsi="Arial" w:cs="Arial"/>
                <w:color w:val="000000"/>
                <w:sz w:val="20"/>
                <w:szCs w:val="20"/>
              </w:rPr>
              <w:t>Servicios que ofrecen y requisitos para acceder a ellos.</w:t>
            </w:r>
          </w:p>
        </w:tc>
        <w:tc>
          <w:tcPr>
            <w:tcW w:w="1197" w:type="dxa"/>
            <w:tcBorders>
              <w:top w:val="nil"/>
              <w:left w:val="nil"/>
              <w:bottom w:val="single" w:sz="4" w:space="0" w:color="auto"/>
              <w:right w:val="single" w:sz="4" w:space="0" w:color="auto"/>
            </w:tcBorders>
            <w:shd w:val="clear" w:color="auto" w:fill="auto"/>
            <w:vAlign w:val="center"/>
            <w:hideMark/>
          </w:tcPr>
          <w:p w14:paraId="22808512" w14:textId="77777777" w:rsidR="00743C68" w:rsidRPr="00B92499" w:rsidRDefault="00743C68" w:rsidP="00743C68">
            <w:pPr>
              <w:jc w:val="center"/>
              <w:rPr>
                <w:rFonts w:ascii="Arial" w:hAnsi="Arial" w:cs="Arial"/>
                <w:color w:val="000000"/>
                <w:sz w:val="20"/>
                <w:szCs w:val="20"/>
              </w:rPr>
            </w:pPr>
            <w:r w:rsidRPr="00B92499">
              <w:rPr>
                <w:rFonts w:ascii="Arial" w:hAnsi="Arial" w:cs="Arial"/>
                <w:color w:val="000000"/>
                <w:sz w:val="20"/>
                <w:szCs w:val="20"/>
              </w:rPr>
              <w:t>100</w:t>
            </w:r>
          </w:p>
        </w:tc>
      </w:tr>
      <w:tr w:rsidR="00743C68" w:rsidRPr="00B92499" w14:paraId="78A7AC37" w14:textId="77777777" w:rsidTr="00743C68">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14F732B" w14:textId="77777777" w:rsidR="00743C68" w:rsidRPr="00B92499" w:rsidRDefault="00743C68">
            <w:pPr>
              <w:jc w:val="center"/>
              <w:rPr>
                <w:rFonts w:ascii="Arial" w:hAnsi="Arial" w:cs="Arial"/>
                <w:color w:val="000000"/>
                <w:sz w:val="20"/>
                <w:szCs w:val="20"/>
              </w:rPr>
            </w:pPr>
            <w:r w:rsidRPr="00B92499">
              <w:rPr>
                <w:rFonts w:ascii="Arial" w:hAnsi="Arial" w:cs="Arial"/>
                <w:color w:val="000000"/>
                <w:sz w:val="20"/>
                <w:szCs w:val="20"/>
              </w:rPr>
              <w:t>XXIV</w:t>
            </w:r>
          </w:p>
        </w:tc>
        <w:tc>
          <w:tcPr>
            <w:tcW w:w="0" w:type="auto"/>
            <w:tcBorders>
              <w:top w:val="nil"/>
              <w:left w:val="nil"/>
              <w:bottom w:val="single" w:sz="4" w:space="0" w:color="auto"/>
              <w:right w:val="single" w:sz="4" w:space="0" w:color="auto"/>
            </w:tcBorders>
            <w:shd w:val="clear" w:color="auto" w:fill="auto"/>
            <w:vAlign w:val="center"/>
            <w:hideMark/>
          </w:tcPr>
          <w:p w14:paraId="10022BF0" w14:textId="77777777" w:rsidR="00743C68" w:rsidRPr="00B92499" w:rsidRDefault="00743C68" w:rsidP="00EE3F6D">
            <w:pPr>
              <w:jc w:val="both"/>
              <w:rPr>
                <w:rFonts w:ascii="Arial" w:hAnsi="Arial" w:cs="Arial"/>
                <w:color w:val="000000"/>
                <w:sz w:val="20"/>
                <w:szCs w:val="20"/>
              </w:rPr>
            </w:pPr>
            <w:r w:rsidRPr="00B92499">
              <w:rPr>
                <w:rFonts w:ascii="Arial" w:hAnsi="Arial" w:cs="Arial"/>
                <w:color w:val="000000"/>
                <w:sz w:val="20"/>
                <w:szCs w:val="20"/>
              </w:rPr>
              <w:t>Información relativa a la cuenta y deuda públicas.</w:t>
            </w:r>
          </w:p>
        </w:tc>
        <w:tc>
          <w:tcPr>
            <w:tcW w:w="1197" w:type="dxa"/>
            <w:tcBorders>
              <w:top w:val="nil"/>
              <w:left w:val="nil"/>
              <w:bottom w:val="single" w:sz="4" w:space="0" w:color="auto"/>
              <w:right w:val="single" w:sz="4" w:space="0" w:color="auto"/>
            </w:tcBorders>
            <w:shd w:val="clear" w:color="auto" w:fill="auto"/>
            <w:vAlign w:val="center"/>
            <w:hideMark/>
          </w:tcPr>
          <w:p w14:paraId="3E5C5EA5" w14:textId="77777777" w:rsidR="00743C68" w:rsidRPr="00B92499" w:rsidRDefault="00743C68" w:rsidP="00743C68">
            <w:pPr>
              <w:jc w:val="center"/>
              <w:rPr>
                <w:rFonts w:ascii="Arial" w:hAnsi="Arial" w:cs="Arial"/>
                <w:color w:val="000000"/>
                <w:sz w:val="20"/>
                <w:szCs w:val="20"/>
              </w:rPr>
            </w:pPr>
            <w:r w:rsidRPr="00B92499">
              <w:rPr>
                <w:rFonts w:ascii="Arial" w:hAnsi="Arial" w:cs="Arial"/>
                <w:color w:val="000000"/>
                <w:sz w:val="20"/>
                <w:szCs w:val="20"/>
              </w:rPr>
              <w:t>100</w:t>
            </w:r>
          </w:p>
        </w:tc>
      </w:tr>
      <w:tr w:rsidR="00743C68" w:rsidRPr="00B92499" w14:paraId="38909715" w14:textId="77777777" w:rsidTr="00743C68">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386B6BC" w14:textId="77777777" w:rsidR="00743C68" w:rsidRPr="00B92499" w:rsidRDefault="00743C68">
            <w:pPr>
              <w:jc w:val="center"/>
              <w:rPr>
                <w:rFonts w:ascii="Arial" w:hAnsi="Arial" w:cs="Arial"/>
                <w:color w:val="000000"/>
                <w:sz w:val="20"/>
                <w:szCs w:val="20"/>
              </w:rPr>
            </w:pPr>
            <w:r w:rsidRPr="00B92499">
              <w:rPr>
                <w:rFonts w:ascii="Arial" w:hAnsi="Arial" w:cs="Arial"/>
                <w:color w:val="000000"/>
                <w:sz w:val="20"/>
                <w:szCs w:val="20"/>
              </w:rPr>
              <w:t>XXVI</w:t>
            </w:r>
          </w:p>
        </w:tc>
        <w:tc>
          <w:tcPr>
            <w:tcW w:w="0" w:type="auto"/>
            <w:tcBorders>
              <w:top w:val="nil"/>
              <w:left w:val="nil"/>
              <w:bottom w:val="single" w:sz="4" w:space="0" w:color="auto"/>
              <w:right w:val="single" w:sz="4" w:space="0" w:color="auto"/>
            </w:tcBorders>
            <w:shd w:val="clear" w:color="auto" w:fill="auto"/>
            <w:vAlign w:val="center"/>
            <w:hideMark/>
          </w:tcPr>
          <w:p w14:paraId="721D34C4" w14:textId="366AFC58" w:rsidR="00743C68" w:rsidRPr="00B92499" w:rsidRDefault="00743C68" w:rsidP="00EE3F6D">
            <w:pPr>
              <w:jc w:val="both"/>
              <w:rPr>
                <w:rFonts w:ascii="Arial" w:hAnsi="Arial" w:cs="Arial"/>
                <w:color w:val="000000"/>
                <w:sz w:val="20"/>
                <w:szCs w:val="20"/>
              </w:rPr>
            </w:pPr>
            <w:r w:rsidRPr="00B92499">
              <w:rPr>
                <w:rFonts w:ascii="Arial" w:hAnsi="Arial" w:cs="Arial"/>
                <w:color w:val="000000"/>
                <w:sz w:val="20"/>
                <w:szCs w:val="20"/>
              </w:rPr>
              <w:t xml:space="preserve">Informes de resultados de </w:t>
            </w:r>
            <w:r w:rsidR="00C7683E" w:rsidRPr="00B92499">
              <w:rPr>
                <w:rFonts w:ascii="Arial" w:hAnsi="Arial" w:cs="Arial"/>
                <w:color w:val="000000"/>
                <w:sz w:val="20"/>
                <w:szCs w:val="20"/>
              </w:rPr>
              <w:t>auditorías</w:t>
            </w:r>
            <w:r w:rsidRPr="00B92499">
              <w:rPr>
                <w:rFonts w:ascii="Arial" w:hAnsi="Arial" w:cs="Arial"/>
                <w:color w:val="000000"/>
                <w:sz w:val="20"/>
                <w:szCs w:val="20"/>
              </w:rPr>
              <w:t>.</w:t>
            </w:r>
          </w:p>
        </w:tc>
        <w:tc>
          <w:tcPr>
            <w:tcW w:w="1197" w:type="dxa"/>
            <w:tcBorders>
              <w:top w:val="nil"/>
              <w:left w:val="nil"/>
              <w:bottom w:val="single" w:sz="4" w:space="0" w:color="auto"/>
              <w:right w:val="single" w:sz="4" w:space="0" w:color="auto"/>
            </w:tcBorders>
            <w:shd w:val="clear" w:color="auto" w:fill="auto"/>
            <w:vAlign w:val="center"/>
            <w:hideMark/>
          </w:tcPr>
          <w:p w14:paraId="657E47AD" w14:textId="77777777" w:rsidR="00743C68" w:rsidRPr="00B92499" w:rsidRDefault="00743C68" w:rsidP="00743C68">
            <w:pPr>
              <w:jc w:val="center"/>
              <w:rPr>
                <w:rFonts w:ascii="Arial" w:hAnsi="Arial" w:cs="Arial"/>
                <w:color w:val="000000"/>
                <w:sz w:val="20"/>
                <w:szCs w:val="20"/>
              </w:rPr>
            </w:pPr>
            <w:r w:rsidRPr="00B92499">
              <w:rPr>
                <w:rFonts w:ascii="Arial" w:hAnsi="Arial" w:cs="Arial"/>
                <w:color w:val="000000"/>
                <w:sz w:val="20"/>
                <w:szCs w:val="20"/>
              </w:rPr>
              <w:t>100</w:t>
            </w:r>
          </w:p>
        </w:tc>
      </w:tr>
      <w:tr w:rsidR="00743C68" w:rsidRPr="00B92499" w14:paraId="6435A1F3" w14:textId="77777777" w:rsidTr="00743C68">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E00D54D" w14:textId="77777777" w:rsidR="00743C68" w:rsidRPr="00B92499" w:rsidRDefault="00743C68">
            <w:pPr>
              <w:jc w:val="center"/>
              <w:rPr>
                <w:rFonts w:ascii="Arial" w:hAnsi="Arial" w:cs="Arial"/>
                <w:color w:val="000000"/>
                <w:sz w:val="20"/>
                <w:szCs w:val="20"/>
              </w:rPr>
            </w:pPr>
            <w:r w:rsidRPr="00B92499">
              <w:rPr>
                <w:rFonts w:ascii="Arial" w:hAnsi="Arial" w:cs="Arial"/>
                <w:color w:val="000000"/>
                <w:sz w:val="20"/>
                <w:szCs w:val="20"/>
              </w:rPr>
              <w:t>XXIX</w:t>
            </w:r>
          </w:p>
        </w:tc>
        <w:tc>
          <w:tcPr>
            <w:tcW w:w="0" w:type="auto"/>
            <w:tcBorders>
              <w:top w:val="nil"/>
              <w:left w:val="nil"/>
              <w:bottom w:val="single" w:sz="4" w:space="0" w:color="auto"/>
              <w:right w:val="single" w:sz="4" w:space="0" w:color="auto"/>
            </w:tcBorders>
            <w:shd w:val="clear" w:color="auto" w:fill="auto"/>
            <w:vAlign w:val="center"/>
            <w:hideMark/>
          </w:tcPr>
          <w:p w14:paraId="2103A831" w14:textId="77777777" w:rsidR="00743C68" w:rsidRPr="00B92499" w:rsidRDefault="00743C68" w:rsidP="00EE3F6D">
            <w:pPr>
              <w:jc w:val="both"/>
              <w:rPr>
                <w:rFonts w:ascii="Arial" w:hAnsi="Arial" w:cs="Arial"/>
                <w:color w:val="000000"/>
                <w:sz w:val="20"/>
                <w:szCs w:val="20"/>
              </w:rPr>
            </w:pPr>
            <w:r w:rsidRPr="00B92499">
              <w:rPr>
                <w:rFonts w:ascii="Arial" w:hAnsi="Arial" w:cs="Arial"/>
                <w:color w:val="000000"/>
                <w:sz w:val="20"/>
                <w:szCs w:val="20"/>
              </w:rPr>
              <w:t>Concesiones, contratos, convenios, permisos, licencias o autorizaciones otorgados.</w:t>
            </w:r>
          </w:p>
        </w:tc>
        <w:tc>
          <w:tcPr>
            <w:tcW w:w="1197" w:type="dxa"/>
            <w:tcBorders>
              <w:top w:val="nil"/>
              <w:left w:val="nil"/>
              <w:bottom w:val="single" w:sz="4" w:space="0" w:color="auto"/>
              <w:right w:val="single" w:sz="4" w:space="0" w:color="auto"/>
            </w:tcBorders>
            <w:shd w:val="clear" w:color="auto" w:fill="auto"/>
            <w:vAlign w:val="center"/>
            <w:hideMark/>
          </w:tcPr>
          <w:p w14:paraId="245822A4" w14:textId="77777777" w:rsidR="00743C68" w:rsidRPr="00B92499" w:rsidRDefault="00743C68" w:rsidP="00743C68">
            <w:pPr>
              <w:jc w:val="center"/>
              <w:rPr>
                <w:rFonts w:ascii="Arial" w:hAnsi="Arial" w:cs="Arial"/>
                <w:color w:val="000000"/>
                <w:sz w:val="20"/>
                <w:szCs w:val="20"/>
              </w:rPr>
            </w:pPr>
            <w:r w:rsidRPr="00B92499">
              <w:rPr>
                <w:rFonts w:ascii="Arial" w:hAnsi="Arial" w:cs="Arial"/>
                <w:color w:val="000000"/>
                <w:sz w:val="20"/>
                <w:szCs w:val="20"/>
              </w:rPr>
              <w:t>100</w:t>
            </w:r>
          </w:p>
        </w:tc>
      </w:tr>
      <w:tr w:rsidR="00743C68" w:rsidRPr="00B92499" w14:paraId="4C36656D" w14:textId="77777777" w:rsidTr="00743C68">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892E634" w14:textId="77777777" w:rsidR="00743C68" w:rsidRPr="00B92499" w:rsidRDefault="00743C68">
            <w:pPr>
              <w:jc w:val="center"/>
              <w:rPr>
                <w:rFonts w:ascii="Arial" w:hAnsi="Arial" w:cs="Arial"/>
                <w:color w:val="000000"/>
                <w:sz w:val="20"/>
                <w:szCs w:val="20"/>
              </w:rPr>
            </w:pPr>
            <w:r w:rsidRPr="00B92499">
              <w:rPr>
                <w:rFonts w:ascii="Arial" w:hAnsi="Arial" w:cs="Arial"/>
                <w:color w:val="000000"/>
                <w:sz w:val="20"/>
                <w:szCs w:val="20"/>
              </w:rPr>
              <w:t>XXXIII</w:t>
            </w:r>
          </w:p>
        </w:tc>
        <w:tc>
          <w:tcPr>
            <w:tcW w:w="0" w:type="auto"/>
            <w:tcBorders>
              <w:top w:val="nil"/>
              <w:left w:val="nil"/>
              <w:bottom w:val="single" w:sz="4" w:space="0" w:color="auto"/>
              <w:right w:val="single" w:sz="4" w:space="0" w:color="auto"/>
            </w:tcBorders>
            <w:shd w:val="clear" w:color="auto" w:fill="auto"/>
            <w:vAlign w:val="center"/>
            <w:hideMark/>
          </w:tcPr>
          <w:p w14:paraId="36964D8E" w14:textId="77777777" w:rsidR="00743C68" w:rsidRPr="00B92499" w:rsidRDefault="00743C68" w:rsidP="00EE3F6D">
            <w:pPr>
              <w:jc w:val="both"/>
              <w:rPr>
                <w:rFonts w:ascii="Arial" w:hAnsi="Arial" w:cs="Arial"/>
                <w:color w:val="000000"/>
                <w:sz w:val="20"/>
                <w:szCs w:val="20"/>
              </w:rPr>
            </w:pPr>
            <w:r w:rsidRPr="00B92499">
              <w:rPr>
                <w:rFonts w:ascii="Arial" w:hAnsi="Arial" w:cs="Arial"/>
                <w:color w:val="000000"/>
                <w:sz w:val="20"/>
                <w:szCs w:val="20"/>
              </w:rPr>
              <w:t xml:space="preserve">Informe de avances programáticos o presupuestales. </w:t>
            </w:r>
          </w:p>
        </w:tc>
        <w:tc>
          <w:tcPr>
            <w:tcW w:w="1197" w:type="dxa"/>
            <w:tcBorders>
              <w:top w:val="nil"/>
              <w:left w:val="nil"/>
              <w:bottom w:val="single" w:sz="4" w:space="0" w:color="auto"/>
              <w:right w:val="single" w:sz="4" w:space="0" w:color="auto"/>
            </w:tcBorders>
            <w:shd w:val="clear" w:color="auto" w:fill="auto"/>
            <w:vAlign w:val="center"/>
            <w:hideMark/>
          </w:tcPr>
          <w:p w14:paraId="3F2A1362" w14:textId="77777777" w:rsidR="00743C68" w:rsidRPr="00B92499" w:rsidRDefault="00743C68" w:rsidP="00743C68">
            <w:pPr>
              <w:jc w:val="center"/>
              <w:rPr>
                <w:rFonts w:ascii="Arial" w:hAnsi="Arial" w:cs="Arial"/>
                <w:color w:val="000000"/>
                <w:sz w:val="20"/>
                <w:szCs w:val="20"/>
              </w:rPr>
            </w:pPr>
            <w:r w:rsidRPr="00B92499">
              <w:rPr>
                <w:rFonts w:ascii="Arial" w:hAnsi="Arial" w:cs="Arial"/>
                <w:color w:val="000000"/>
                <w:sz w:val="20"/>
                <w:szCs w:val="20"/>
              </w:rPr>
              <w:t>100</w:t>
            </w:r>
          </w:p>
        </w:tc>
      </w:tr>
      <w:tr w:rsidR="00743C68" w:rsidRPr="00B92499" w14:paraId="5047E6B5" w14:textId="77777777" w:rsidTr="00743C68">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DDDE3BB" w14:textId="77777777" w:rsidR="00743C68" w:rsidRPr="00B92499" w:rsidRDefault="00743C68">
            <w:pPr>
              <w:jc w:val="center"/>
              <w:rPr>
                <w:rFonts w:ascii="Arial" w:hAnsi="Arial" w:cs="Arial"/>
                <w:color w:val="000000"/>
                <w:sz w:val="20"/>
                <w:szCs w:val="20"/>
              </w:rPr>
            </w:pPr>
            <w:r w:rsidRPr="00B92499">
              <w:rPr>
                <w:rFonts w:ascii="Arial" w:hAnsi="Arial" w:cs="Arial"/>
                <w:color w:val="000000"/>
                <w:sz w:val="20"/>
                <w:szCs w:val="20"/>
              </w:rPr>
              <w:t>XXXIX</w:t>
            </w:r>
          </w:p>
        </w:tc>
        <w:tc>
          <w:tcPr>
            <w:tcW w:w="0" w:type="auto"/>
            <w:tcBorders>
              <w:top w:val="nil"/>
              <w:left w:val="nil"/>
              <w:bottom w:val="single" w:sz="4" w:space="0" w:color="auto"/>
              <w:right w:val="single" w:sz="4" w:space="0" w:color="auto"/>
            </w:tcBorders>
            <w:shd w:val="clear" w:color="auto" w:fill="auto"/>
            <w:vAlign w:val="center"/>
            <w:hideMark/>
          </w:tcPr>
          <w:p w14:paraId="247674AC" w14:textId="77777777" w:rsidR="00743C68" w:rsidRPr="00B92499" w:rsidRDefault="00743C68" w:rsidP="00EE3F6D">
            <w:pPr>
              <w:jc w:val="both"/>
              <w:rPr>
                <w:rFonts w:ascii="Arial" w:hAnsi="Arial" w:cs="Arial"/>
                <w:color w:val="000000"/>
                <w:sz w:val="20"/>
                <w:szCs w:val="20"/>
              </w:rPr>
            </w:pPr>
            <w:r w:rsidRPr="00B92499">
              <w:rPr>
                <w:rFonts w:ascii="Arial" w:hAnsi="Arial" w:cs="Arial"/>
                <w:color w:val="000000"/>
                <w:sz w:val="20"/>
                <w:szCs w:val="20"/>
              </w:rPr>
              <w:t>Resoluciones y laudos que se emitan en procesos seguidos en forma de juicio.</w:t>
            </w:r>
          </w:p>
        </w:tc>
        <w:tc>
          <w:tcPr>
            <w:tcW w:w="1197" w:type="dxa"/>
            <w:tcBorders>
              <w:top w:val="nil"/>
              <w:left w:val="nil"/>
              <w:bottom w:val="single" w:sz="4" w:space="0" w:color="auto"/>
              <w:right w:val="single" w:sz="4" w:space="0" w:color="auto"/>
            </w:tcBorders>
            <w:shd w:val="clear" w:color="auto" w:fill="auto"/>
            <w:vAlign w:val="center"/>
            <w:hideMark/>
          </w:tcPr>
          <w:p w14:paraId="6F66A7FF" w14:textId="77777777" w:rsidR="00743C68" w:rsidRPr="00B92499" w:rsidRDefault="00743C68" w:rsidP="00743C68">
            <w:pPr>
              <w:jc w:val="center"/>
              <w:rPr>
                <w:rFonts w:ascii="Arial" w:hAnsi="Arial" w:cs="Arial"/>
                <w:color w:val="000000"/>
                <w:sz w:val="20"/>
                <w:szCs w:val="20"/>
              </w:rPr>
            </w:pPr>
            <w:r w:rsidRPr="00B92499">
              <w:rPr>
                <w:rFonts w:ascii="Arial" w:hAnsi="Arial" w:cs="Arial"/>
                <w:color w:val="000000"/>
                <w:sz w:val="20"/>
                <w:szCs w:val="20"/>
              </w:rPr>
              <w:t>100</w:t>
            </w:r>
          </w:p>
        </w:tc>
      </w:tr>
      <w:tr w:rsidR="00743C68" w:rsidRPr="00B92499" w14:paraId="141D9EF4" w14:textId="77777777" w:rsidTr="00743C68">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16A9E5E" w14:textId="77777777" w:rsidR="00743C68" w:rsidRPr="00B92499" w:rsidRDefault="00743C68">
            <w:pPr>
              <w:jc w:val="center"/>
              <w:rPr>
                <w:rFonts w:ascii="Arial" w:hAnsi="Arial" w:cs="Arial"/>
                <w:color w:val="000000"/>
                <w:sz w:val="20"/>
                <w:szCs w:val="20"/>
              </w:rPr>
            </w:pPr>
            <w:r w:rsidRPr="00B92499">
              <w:rPr>
                <w:rFonts w:ascii="Arial" w:hAnsi="Arial" w:cs="Arial"/>
                <w:color w:val="000000"/>
                <w:sz w:val="20"/>
                <w:szCs w:val="20"/>
              </w:rPr>
              <w:t>XL</w:t>
            </w:r>
          </w:p>
        </w:tc>
        <w:tc>
          <w:tcPr>
            <w:tcW w:w="0" w:type="auto"/>
            <w:tcBorders>
              <w:top w:val="nil"/>
              <w:left w:val="nil"/>
              <w:bottom w:val="single" w:sz="4" w:space="0" w:color="auto"/>
              <w:right w:val="single" w:sz="4" w:space="0" w:color="auto"/>
            </w:tcBorders>
            <w:shd w:val="clear" w:color="auto" w:fill="auto"/>
            <w:vAlign w:val="center"/>
            <w:hideMark/>
          </w:tcPr>
          <w:p w14:paraId="224A7C94" w14:textId="77777777" w:rsidR="00743C68" w:rsidRPr="00B92499" w:rsidRDefault="00743C68" w:rsidP="00EE3F6D">
            <w:pPr>
              <w:jc w:val="both"/>
              <w:rPr>
                <w:rFonts w:ascii="Arial" w:hAnsi="Arial" w:cs="Arial"/>
                <w:color w:val="000000"/>
                <w:sz w:val="20"/>
                <w:szCs w:val="20"/>
              </w:rPr>
            </w:pPr>
            <w:r w:rsidRPr="00B92499">
              <w:rPr>
                <w:rFonts w:ascii="Arial" w:hAnsi="Arial" w:cs="Arial"/>
                <w:color w:val="000000"/>
                <w:sz w:val="20"/>
                <w:szCs w:val="20"/>
              </w:rPr>
              <w:t>Mecanismos de participación ciudadana.</w:t>
            </w:r>
          </w:p>
        </w:tc>
        <w:tc>
          <w:tcPr>
            <w:tcW w:w="1197" w:type="dxa"/>
            <w:tcBorders>
              <w:top w:val="nil"/>
              <w:left w:val="nil"/>
              <w:bottom w:val="single" w:sz="4" w:space="0" w:color="auto"/>
              <w:right w:val="single" w:sz="4" w:space="0" w:color="auto"/>
            </w:tcBorders>
            <w:shd w:val="clear" w:color="auto" w:fill="auto"/>
            <w:vAlign w:val="center"/>
            <w:hideMark/>
          </w:tcPr>
          <w:p w14:paraId="1E99FA22" w14:textId="77777777" w:rsidR="00743C68" w:rsidRPr="00B92499" w:rsidRDefault="00743C68" w:rsidP="00743C68">
            <w:pPr>
              <w:jc w:val="center"/>
              <w:rPr>
                <w:rFonts w:ascii="Arial" w:hAnsi="Arial" w:cs="Arial"/>
                <w:color w:val="000000"/>
                <w:sz w:val="20"/>
                <w:szCs w:val="20"/>
              </w:rPr>
            </w:pPr>
            <w:r w:rsidRPr="00B92499">
              <w:rPr>
                <w:rFonts w:ascii="Arial" w:hAnsi="Arial" w:cs="Arial"/>
                <w:color w:val="000000"/>
                <w:sz w:val="20"/>
                <w:szCs w:val="20"/>
              </w:rPr>
              <w:t>100</w:t>
            </w:r>
          </w:p>
        </w:tc>
      </w:tr>
      <w:tr w:rsidR="00743C68" w:rsidRPr="00B92499" w14:paraId="5EEF134F" w14:textId="77777777" w:rsidTr="00743C68">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F67BDBF" w14:textId="77777777" w:rsidR="00743C68" w:rsidRPr="00B92499" w:rsidRDefault="00743C68">
            <w:pPr>
              <w:jc w:val="center"/>
              <w:rPr>
                <w:rFonts w:ascii="Arial" w:hAnsi="Arial" w:cs="Arial"/>
                <w:color w:val="000000"/>
                <w:sz w:val="20"/>
                <w:szCs w:val="20"/>
              </w:rPr>
            </w:pPr>
            <w:r w:rsidRPr="00B92499">
              <w:rPr>
                <w:rFonts w:ascii="Arial" w:hAnsi="Arial" w:cs="Arial"/>
                <w:color w:val="000000"/>
                <w:sz w:val="20"/>
                <w:szCs w:val="20"/>
              </w:rPr>
              <w:t>XLIII</w:t>
            </w:r>
          </w:p>
        </w:tc>
        <w:tc>
          <w:tcPr>
            <w:tcW w:w="0" w:type="auto"/>
            <w:tcBorders>
              <w:top w:val="nil"/>
              <w:left w:val="nil"/>
              <w:bottom w:val="single" w:sz="4" w:space="0" w:color="auto"/>
              <w:right w:val="single" w:sz="4" w:space="0" w:color="auto"/>
            </w:tcBorders>
            <w:shd w:val="clear" w:color="auto" w:fill="auto"/>
            <w:vAlign w:val="center"/>
            <w:hideMark/>
          </w:tcPr>
          <w:p w14:paraId="59E730B0" w14:textId="77777777" w:rsidR="00743C68" w:rsidRPr="00B92499" w:rsidRDefault="00743C68" w:rsidP="00EE3F6D">
            <w:pPr>
              <w:jc w:val="both"/>
              <w:rPr>
                <w:rFonts w:ascii="Arial" w:hAnsi="Arial" w:cs="Arial"/>
                <w:color w:val="000000"/>
                <w:sz w:val="20"/>
                <w:szCs w:val="20"/>
              </w:rPr>
            </w:pPr>
            <w:r w:rsidRPr="00B92499">
              <w:rPr>
                <w:rFonts w:ascii="Arial" w:hAnsi="Arial" w:cs="Arial"/>
                <w:color w:val="000000"/>
                <w:sz w:val="20"/>
                <w:szCs w:val="20"/>
              </w:rPr>
              <w:t>Actas y Resoluciones del Comité de Transparencia.</w:t>
            </w:r>
          </w:p>
        </w:tc>
        <w:tc>
          <w:tcPr>
            <w:tcW w:w="1197" w:type="dxa"/>
            <w:tcBorders>
              <w:top w:val="nil"/>
              <w:left w:val="nil"/>
              <w:bottom w:val="single" w:sz="4" w:space="0" w:color="auto"/>
              <w:right w:val="single" w:sz="4" w:space="0" w:color="auto"/>
            </w:tcBorders>
            <w:shd w:val="clear" w:color="auto" w:fill="auto"/>
            <w:vAlign w:val="center"/>
            <w:hideMark/>
          </w:tcPr>
          <w:p w14:paraId="1543A3C9" w14:textId="77777777" w:rsidR="00743C68" w:rsidRPr="00B92499" w:rsidRDefault="00743C68" w:rsidP="00743C68">
            <w:pPr>
              <w:jc w:val="center"/>
              <w:rPr>
                <w:rFonts w:ascii="Arial" w:hAnsi="Arial" w:cs="Arial"/>
                <w:color w:val="000000"/>
                <w:sz w:val="20"/>
                <w:szCs w:val="20"/>
              </w:rPr>
            </w:pPr>
            <w:r w:rsidRPr="00B92499">
              <w:rPr>
                <w:rFonts w:ascii="Arial" w:hAnsi="Arial" w:cs="Arial"/>
                <w:color w:val="000000"/>
                <w:sz w:val="20"/>
                <w:szCs w:val="20"/>
              </w:rPr>
              <w:t>100</w:t>
            </w:r>
          </w:p>
        </w:tc>
      </w:tr>
      <w:tr w:rsidR="00743C68" w:rsidRPr="00B92499" w14:paraId="09FB5DB9" w14:textId="77777777" w:rsidTr="00743C68">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4C4ADDF" w14:textId="77777777" w:rsidR="00743C68" w:rsidRPr="00B92499" w:rsidRDefault="00743C68">
            <w:pPr>
              <w:jc w:val="center"/>
              <w:rPr>
                <w:rFonts w:ascii="Arial" w:hAnsi="Arial" w:cs="Arial"/>
                <w:color w:val="000000"/>
                <w:sz w:val="20"/>
                <w:szCs w:val="20"/>
              </w:rPr>
            </w:pPr>
            <w:r w:rsidRPr="00B92499">
              <w:rPr>
                <w:rFonts w:ascii="Arial" w:hAnsi="Arial" w:cs="Arial"/>
                <w:color w:val="000000"/>
                <w:sz w:val="20"/>
                <w:szCs w:val="20"/>
              </w:rPr>
              <w:t>L</w:t>
            </w:r>
          </w:p>
        </w:tc>
        <w:tc>
          <w:tcPr>
            <w:tcW w:w="0" w:type="auto"/>
            <w:tcBorders>
              <w:top w:val="nil"/>
              <w:left w:val="nil"/>
              <w:bottom w:val="single" w:sz="4" w:space="0" w:color="auto"/>
              <w:right w:val="single" w:sz="4" w:space="0" w:color="auto"/>
            </w:tcBorders>
            <w:shd w:val="clear" w:color="auto" w:fill="auto"/>
            <w:vAlign w:val="center"/>
            <w:hideMark/>
          </w:tcPr>
          <w:p w14:paraId="584EF444" w14:textId="77777777" w:rsidR="00743C68" w:rsidRPr="00B92499" w:rsidRDefault="00743C68" w:rsidP="00EE3F6D">
            <w:pPr>
              <w:jc w:val="both"/>
              <w:rPr>
                <w:rFonts w:ascii="Arial" w:hAnsi="Arial" w:cs="Arial"/>
                <w:color w:val="000000"/>
                <w:sz w:val="20"/>
                <w:szCs w:val="20"/>
              </w:rPr>
            </w:pPr>
            <w:r w:rsidRPr="00B92499">
              <w:rPr>
                <w:rFonts w:ascii="Arial" w:hAnsi="Arial" w:cs="Arial"/>
                <w:color w:val="000000"/>
                <w:sz w:val="20"/>
                <w:szCs w:val="20"/>
              </w:rPr>
              <w:t xml:space="preserve">La calendarización, minutas y actas de las reuniones públicas de los consejos, colegiados, gabinetes, sesiones plenarias, comités, comisiones y sesiones de trabajo. </w:t>
            </w:r>
          </w:p>
        </w:tc>
        <w:tc>
          <w:tcPr>
            <w:tcW w:w="1197" w:type="dxa"/>
            <w:tcBorders>
              <w:top w:val="nil"/>
              <w:left w:val="nil"/>
              <w:bottom w:val="single" w:sz="4" w:space="0" w:color="auto"/>
              <w:right w:val="single" w:sz="4" w:space="0" w:color="auto"/>
            </w:tcBorders>
            <w:shd w:val="clear" w:color="auto" w:fill="auto"/>
            <w:vAlign w:val="center"/>
            <w:hideMark/>
          </w:tcPr>
          <w:p w14:paraId="67FDADA4" w14:textId="77777777" w:rsidR="00743C68" w:rsidRPr="00B92499" w:rsidRDefault="00743C68" w:rsidP="00743C68">
            <w:pPr>
              <w:jc w:val="center"/>
              <w:rPr>
                <w:rFonts w:ascii="Arial" w:hAnsi="Arial" w:cs="Arial"/>
                <w:color w:val="000000"/>
                <w:sz w:val="20"/>
                <w:szCs w:val="20"/>
              </w:rPr>
            </w:pPr>
            <w:r w:rsidRPr="00B92499">
              <w:rPr>
                <w:rFonts w:ascii="Arial" w:hAnsi="Arial" w:cs="Arial"/>
                <w:color w:val="000000"/>
                <w:sz w:val="20"/>
                <w:szCs w:val="20"/>
              </w:rPr>
              <w:t>100</w:t>
            </w:r>
          </w:p>
        </w:tc>
      </w:tr>
      <w:tr w:rsidR="00743C68" w:rsidRPr="00B92499" w14:paraId="78137CCF" w14:textId="77777777" w:rsidTr="00743C68">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B474053" w14:textId="77777777" w:rsidR="00743C68" w:rsidRPr="00B92499" w:rsidRDefault="00743C68">
            <w:pPr>
              <w:jc w:val="center"/>
              <w:rPr>
                <w:rFonts w:ascii="Arial" w:hAnsi="Arial" w:cs="Arial"/>
                <w:color w:val="000000"/>
                <w:sz w:val="20"/>
                <w:szCs w:val="20"/>
              </w:rPr>
            </w:pPr>
            <w:r w:rsidRPr="00B92499">
              <w:rPr>
                <w:rFonts w:ascii="Arial" w:hAnsi="Arial" w:cs="Arial"/>
                <w:color w:val="000000"/>
                <w:sz w:val="20"/>
                <w:szCs w:val="20"/>
              </w:rPr>
              <w:t>XXXVI</w:t>
            </w:r>
          </w:p>
        </w:tc>
        <w:tc>
          <w:tcPr>
            <w:tcW w:w="0" w:type="auto"/>
            <w:tcBorders>
              <w:top w:val="nil"/>
              <w:left w:val="nil"/>
              <w:bottom w:val="single" w:sz="4" w:space="0" w:color="auto"/>
              <w:right w:val="single" w:sz="4" w:space="0" w:color="auto"/>
            </w:tcBorders>
            <w:shd w:val="clear" w:color="auto" w:fill="auto"/>
            <w:vAlign w:val="center"/>
            <w:hideMark/>
          </w:tcPr>
          <w:p w14:paraId="477B79E2" w14:textId="77777777" w:rsidR="00743C68" w:rsidRPr="00B92499" w:rsidRDefault="00743C68" w:rsidP="00EE3F6D">
            <w:pPr>
              <w:jc w:val="both"/>
              <w:rPr>
                <w:rFonts w:ascii="Arial" w:hAnsi="Arial" w:cs="Arial"/>
                <w:color w:val="000000"/>
                <w:sz w:val="20"/>
                <w:szCs w:val="20"/>
              </w:rPr>
            </w:pPr>
            <w:r w:rsidRPr="00B92499">
              <w:rPr>
                <w:rFonts w:ascii="Arial" w:hAnsi="Arial" w:cs="Arial"/>
                <w:color w:val="000000"/>
                <w:sz w:val="20"/>
                <w:szCs w:val="20"/>
              </w:rPr>
              <w:t>Inventario de bienes muebles.</w:t>
            </w:r>
          </w:p>
        </w:tc>
        <w:tc>
          <w:tcPr>
            <w:tcW w:w="1197" w:type="dxa"/>
            <w:tcBorders>
              <w:top w:val="nil"/>
              <w:left w:val="nil"/>
              <w:bottom w:val="single" w:sz="4" w:space="0" w:color="auto"/>
              <w:right w:val="single" w:sz="4" w:space="0" w:color="auto"/>
            </w:tcBorders>
            <w:shd w:val="clear" w:color="auto" w:fill="auto"/>
            <w:vAlign w:val="center"/>
            <w:hideMark/>
          </w:tcPr>
          <w:p w14:paraId="66FFA2C0" w14:textId="77777777" w:rsidR="00743C68" w:rsidRPr="00B92499" w:rsidRDefault="00743C68" w:rsidP="00743C68">
            <w:pPr>
              <w:jc w:val="center"/>
              <w:rPr>
                <w:rFonts w:ascii="Arial" w:hAnsi="Arial" w:cs="Arial"/>
                <w:color w:val="000000"/>
                <w:sz w:val="20"/>
                <w:szCs w:val="20"/>
              </w:rPr>
            </w:pPr>
            <w:r w:rsidRPr="00B92499">
              <w:rPr>
                <w:rFonts w:ascii="Arial" w:hAnsi="Arial" w:cs="Arial"/>
                <w:color w:val="000000"/>
                <w:sz w:val="20"/>
                <w:szCs w:val="20"/>
              </w:rPr>
              <w:t>100</w:t>
            </w:r>
          </w:p>
        </w:tc>
      </w:tr>
      <w:tr w:rsidR="00743C68" w:rsidRPr="00B92499" w14:paraId="2FD0EABC" w14:textId="77777777" w:rsidTr="00743C68">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EA801F8" w14:textId="77777777" w:rsidR="00743C68" w:rsidRPr="00B92499" w:rsidRDefault="00743C68">
            <w:pPr>
              <w:jc w:val="center"/>
              <w:rPr>
                <w:rFonts w:ascii="Arial" w:hAnsi="Arial" w:cs="Arial"/>
                <w:color w:val="000000"/>
                <w:sz w:val="20"/>
                <w:szCs w:val="20"/>
              </w:rPr>
            </w:pPr>
            <w:r w:rsidRPr="00B92499">
              <w:rPr>
                <w:rFonts w:ascii="Arial" w:hAnsi="Arial" w:cs="Arial"/>
                <w:color w:val="000000"/>
                <w:sz w:val="20"/>
                <w:szCs w:val="20"/>
              </w:rPr>
              <w:t>XXX</w:t>
            </w:r>
          </w:p>
        </w:tc>
        <w:tc>
          <w:tcPr>
            <w:tcW w:w="0" w:type="auto"/>
            <w:tcBorders>
              <w:top w:val="nil"/>
              <w:left w:val="nil"/>
              <w:bottom w:val="single" w:sz="4" w:space="0" w:color="auto"/>
              <w:right w:val="single" w:sz="4" w:space="0" w:color="auto"/>
            </w:tcBorders>
            <w:shd w:val="clear" w:color="auto" w:fill="auto"/>
            <w:vAlign w:val="center"/>
            <w:hideMark/>
          </w:tcPr>
          <w:p w14:paraId="2E6048CF" w14:textId="77777777" w:rsidR="00743C68" w:rsidRPr="00B92499" w:rsidRDefault="00743C68" w:rsidP="00EE3F6D">
            <w:pPr>
              <w:jc w:val="both"/>
              <w:rPr>
                <w:rFonts w:ascii="Arial" w:hAnsi="Arial" w:cs="Arial"/>
                <w:color w:val="000000"/>
                <w:sz w:val="20"/>
                <w:szCs w:val="20"/>
              </w:rPr>
            </w:pPr>
            <w:r w:rsidRPr="00B92499">
              <w:rPr>
                <w:rFonts w:ascii="Arial" w:hAnsi="Arial" w:cs="Arial"/>
                <w:color w:val="000000"/>
                <w:sz w:val="20"/>
                <w:szCs w:val="20"/>
              </w:rPr>
              <w:t xml:space="preserve">Resultados de procedimiento de adjudicación directa, invitación restringida y licitación. </w:t>
            </w:r>
          </w:p>
        </w:tc>
        <w:tc>
          <w:tcPr>
            <w:tcW w:w="1197" w:type="dxa"/>
            <w:tcBorders>
              <w:top w:val="nil"/>
              <w:left w:val="nil"/>
              <w:bottom w:val="single" w:sz="4" w:space="0" w:color="auto"/>
              <w:right w:val="single" w:sz="4" w:space="0" w:color="auto"/>
            </w:tcBorders>
            <w:shd w:val="clear" w:color="auto" w:fill="auto"/>
            <w:vAlign w:val="center"/>
            <w:hideMark/>
          </w:tcPr>
          <w:p w14:paraId="3ED5EC24" w14:textId="18E1CEEC" w:rsidR="00743C68" w:rsidRPr="00B92499" w:rsidRDefault="00743C68" w:rsidP="008A4CDF">
            <w:pPr>
              <w:jc w:val="center"/>
              <w:rPr>
                <w:rFonts w:ascii="Arial" w:hAnsi="Arial" w:cs="Arial"/>
                <w:color w:val="000000"/>
                <w:sz w:val="20"/>
                <w:szCs w:val="20"/>
              </w:rPr>
            </w:pPr>
            <w:r w:rsidRPr="00B92499">
              <w:rPr>
                <w:rFonts w:ascii="Arial" w:hAnsi="Arial" w:cs="Arial"/>
                <w:color w:val="000000"/>
                <w:sz w:val="20"/>
                <w:szCs w:val="20"/>
              </w:rPr>
              <w:t>99.4</w:t>
            </w:r>
            <w:r w:rsidR="008A4CDF" w:rsidRPr="00B92499">
              <w:rPr>
                <w:rFonts w:ascii="Arial" w:hAnsi="Arial" w:cs="Arial"/>
                <w:color w:val="000000"/>
                <w:sz w:val="20"/>
                <w:szCs w:val="20"/>
              </w:rPr>
              <w:t>1</w:t>
            </w:r>
          </w:p>
        </w:tc>
      </w:tr>
      <w:tr w:rsidR="00743C68" w:rsidRPr="00B92499" w14:paraId="0212DDCD" w14:textId="77777777" w:rsidTr="00743C68">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CC9F6F9" w14:textId="77777777" w:rsidR="00743C68" w:rsidRPr="00B92499" w:rsidRDefault="00743C68">
            <w:pPr>
              <w:jc w:val="center"/>
              <w:rPr>
                <w:rFonts w:ascii="Arial" w:hAnsi="Arial" w:cs="Arial"/>
                <w:color w:val="000000"/>
                <w:sz w:val="20"/>
                <w:szCs w:val="20"/>
              </w:rPr>
            </w:pPr>
            <w:r w:rsidRPr="00B92499">
              <w:rPr>
                <w:rFonts w:ascii="Arial" w:hAnsi="Arial" w:cs="Arial"/>
                <w:color w:val="000000"/>
                <w:sz w:val="20"/>
                <w:szCs w:val="20"/>
              </w:rPr>
              <w:t>XIII</w:t>
            </w:r>
          </w:p>
        </w:tc>
        <w:tc>
          <w:tcPr>
            <w:tcW w:w="0" w:type="auto"/>
            <w:tcBorders>
              <w:top w:val="nil"/>
              <w:left w:val="nil"/>
              <w:bottom w:val="single" w:sz="4" w:space="0" w:color="auto"/>
              <w:right w:val="single" w:sz="4" w:space="0" w:color="auto"/>
            </w:tcBorders>
            <w:shd w:val="clear" w:color="auto" w:fill="auto"/>
            <w:vAlign w:val="center"/>
            <w:hideMark/>
          </w:tcPr>
          <w:p w14:paraId="6B14B600" w14:textId="77777777" w:rsidR="00743C68" w:rsidRPr="00B92499" w:rsidRDefault="00743C68" w:rsidP="00EE3F6D">
            <w:pPr>
              <w:jc w:val="both"/>
              <w:rPr>
                <w:rFonts w:ascii="Arial" w:hAnsi="Arial" w:cs="Arial"/>
                <w:color w:val="000000"/>
                <w:sz w:val="20"/>
                <w:szCs w:val="20"/>
              </w:rPr>
            </w:pPr>
            <w:r w:rsidRPr="00B92499">
              <w:rPr>
                <w:rFonts w:ascii="Arial" w:hAnsi="Arial" w:cs="Arial"/>
                <w:color w:val="000000"/>
                <w:sz w:val="20"/>
                <w:szCs w:val="20"/>
              </w:rPr>
              <w:t>Declaraciones 3de3.</w:t>
            </w:r>
          </w:p>
        </w:tc>
        <w:tc>
          <w:tcPr>
            <w:tcW w:w="1197" w:type="dxa"/>
            <w:tcBorders>
              <w:top w:val="nil"/>
              <w:left w:val="nil"/>
              <w:bottom w:val="single" w:sz="4" w:space="0" w:color="auto"/>
              <w:right w:val="single" w:sz="4" w:space="0" w:color="auto"/>
            </w:tcBorders>
            <w:shd w:val="clear" w:color="auto" w:fill="auto"/>
            <w:vAlign w:val="center"/>
            <w:hideMark/>
          </w:tcPr>
          <w:p w14:paraId="14970E78" w14:textId="0FB9858D" w:rsidR="00743C68" w:rsidRPr="00B92499" w:rsidRDefault="00743C68" w:rsidP="008A4CDF">
            <w:pPr>
              <w:jc w:val="center"/>
              <w:rPr>
                <w:rFonts w:ascii="Arial" w:hAnsi="Arial" w:cs="Arial"/>
                <w:color w:val="000000"/>
                <w:sz w:val="20"/>
                <w:szCs w:val="20"/>
              </w:rPr>
            </w:pPr>
            <w:r w:rsidRPr="00B92499">
              <w:rPr>
                <w:rFonts w:ascii="Arial" w:hAnsi="Arial" w:cs="Arial"/>
                <w:color w:val="000000"/>
                <w:sz w:val="20"/>
                <w:szCs w:val="20"/>
              </w:rPr>
              <w:t>99.3</w:t>
            </w:r>
            <w:r w:rsidR="008A4CDF" w:rsidRPr="00B92499">
              <w:rPr>
                <w:rFonts w:ascii="Arial" w:hAnsi="Arial" w:cs="Arial"/>
                <w:color w:val="000000"/>
                <w:sz w:val="20"/>
                <w:szCs w:val="20"/>
              </w:rPr>
              <w:t>1</w:t>
            </w:r>
          </w:p>
        </w:tc>
      </w:tr>
      <w:tr w:rsidR="00743C68" w:rsidRPr="00B92499" w14:paraId="48F98875" w14:textId="77777777" w:rsidTr="00743C68">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8D3AA89" w14:textId="77777777" w:rsidR="00743C68" w:rsidRPr="00B92499" w:rsidRDefault="00743C68">
            <w:pPr>
              <w:jc w:val="center"/>
              <w:rPr>
                <w:rFonts w:ascii="Arial" w:hAnsi="Arial" w:cs="Arial"/>
                <w:color w:val="000000"/>
                <w:sz w:val="20"/>
                <w:szCs w:val="20"/>
              </w:rPr>
            </w:pPr>
            <w:r w:rsidRPr="00B92499">
              <w:rPr>
                <w:rFonts w:ascii="Arial" w:hAnsi="Arial" w:cs="Arial"/>
                <w:color w:val="000000"/>
                <w:sz w:val="20"/>
                <w:szCs w:val="20"/>
              </w:rPr>
              <w:t>XX</w:t>
            </w:r>
          </w:p>
        </w:tc>
        <w:tc>
          <w:tcPr>
            <w:tcW w:w="0" w:type="auto"/>
            <w:tcBorders>
              <w:top w:val="nil"/>
              <w:left w:val="nil"/>
              <w:bottom w:val="single" w:sz="4" w:space="0" w:color="auto"/>
              <w:right w:val="single" w:sz="4" w:space="0" w:color="auto"/>
            </w:tcBorders>
            <w:shd w:val="clear" w:color="auto" w:fill="auto"/>
            <w:vAlign w:val="center"/>
            <w:hideMark/>
          </w:tcPr>
          <w:p w14:paraId="5B4211ED" w14:textId="77777777" w:rsidR="00743C68" w:rsidRPr="00B92499" w:rsidRDefault="00743C68" w:rsidP="00EE3F6D">
            <w:pPr>
              <w:jc w:val="both"/>
              <w:rPr>
                <w:rFonts w:ascii="Arial" w:hAnsi="Arial" w:cs="Arial"/>
                <w:color w:val="000000"/>
                <w:sz w:val="20"/>
                <w:szCs w:val="20"/>
              </w:rPr>
            </w:pPr>
            <w:r w:rsidRPr="00B92499">
              <w:rPr>
                <w:rFonts w:ascii="Arial" w:hAnsi="Arial" w:cs="Arial"/>
                <w:color w:val="000000"/>
                <w:sz w:val="20"/>
                <w:szCs w:val="20"/>
              </w:rPr>
              <w:t>Trámites que ofrecen y requisitos.</w:t>
            </w:r>
          </w:p>
        </w:tc>
        <w:tc>
          <w:tcPr>
            <w:tcW w:w="1197" w:type="dxa"/>
            <w:tcBorders>
              <w:top w:val="nil"/>
              <w:left w:val="nil"/>
              <w:bottom w:val="single" w:sz="4" w:space="0" w:color="auto"/>
              <w:right w:val="single" w:sz="4" w:space="0" w:color="auto"/>
            </w:tcBorders>
            <w:shd w:val="clear" w:color="auto" w:fill="auto"/>
            <w:vAlign w:val="center"/>
            <w:hideMark/>
          </w:tcPr>
          <w:p w14:paraId="10B69EDF" w14:textId="5B451BCE" w:rsidR="00743C68" w:rsidRPr="00B92499" w:rsidRDefault="00743C68" w:rsidP="008A4CDF">
            <w:pPr>
              <w:jc w:val="center"/>
              <w:rPr>
                <w:rFonts w:ascii="Arial" w:hAnsi="Arial" w:cs="Arial"/>
                <w:color w:val="000000"/>
                <w:sz w:val="20"/>
                <w:szCs w:val="20"/>
              </w:rPr>
            </w:pPr>
            <w:r w:rsidRPr="00B92499">
              <w:rPr>
                <w:rFonts w:ascii="Arial" w:hAnsi="Arial" w:cs="Arial"/>
                <w:color w:val="000000"/>
                <w:sz w:val="20"/>
                <w:szCs w:val="20"/>
              </w:rPr>
              <w:t>98.91</w:t>
            </w:r>
          </w:p>
        </w:tc>
      </w:tr>
      <w:tr w:rsidR="00743C68" w:rsidRPr="00B92499" w14:paraId="7DC45A60" w14:textId="77777777" w:rsidTr="00743C68">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7F4DA3B" w14:textId="77777777" w:rsidR="00743C68" w:rsidRPr="00B92499" w:rsidRDefault="00743C68">
            <w:pPr>
              <w:jc w:val="center"/>
              <w:rPr>
                <w:rFonts w:ascii="Arial" w:hAnsi="Arial" w:cs="Arial"/>
                <w:color w:val="000000"/>
                <w:sz w:val="20"/>
                <w:szCs w:val="20"/>
              </w:rPr>
            </w:pPr>
            <w:r w:rsidRPr="00B92499">
              <w:rPr>
                <w:rFonts w:ascii="Arial" w:hAnsi="Arial" w:cs="Arial"/>
                <w:color w:val="000000"/>
                <w:sz w:val="20"/>
                <w:szCs w:val="20"/>
              </w:rPr>
              <w:t>XXI</w:t>
            </w:r>
          </w:p>
        </w:tc>
        <w:tc>
          <w:tcPr>
            <w:tcW w:w="0" w:type="auto"/>
            <w:tcBorders>
              <w:top w:val="nil"/>
              <w:left w:val="nil"/>
              <w:bottom w:val="single" w:sz="4" w:space="0" w:color="auto"/>
              <w:right w:val="single" w:sz="4" w:space="0" w:color="auto"/>
            </w:tcBorders>
            <w:shd w:val="clear" w:color="auto" w:fill="auto"/>
            <w:vAlign w:val="center"/>
            <w:hideMark/>
          </w:tcPr>
          <w:p w14:paraId="7764C838" w14:textId="77777777" w:rsidR="00743C68" w:rsidRPr="00B92499" w:rsidRDefault="00743C68" w:rsidP="00EE3F6D">
            <w:pPr>
              <w:jc w:val="both"/>
              <w:rPr>
                <w:rFonts w:ascii="Arial" w:hAnsi="Arial" w:cs="Arial"/>
                <w:color w:val="000000"/>
                <w:sz w:val="20"/>
                <w:szCs w:val="20"/>
              </w:rPr>
            </w:pPr>
            <w:r w:rsidRPr="00B92499">
              <w:rPr>
                <w:rFonts w:ascii="Arial" w:hAnsi="Arial" w:cs="Arial"/>
                <w:color w:val="000000"/>
                <w:sz w:val="20"/>
                <w:szCs w:val="20"/>
              </w:rPr>
              <w:t>La información financiera sobre el presupuesto asignado.</w:t>
            </w:r>
          </w:p>
        </w:tc>
        <w:tc>
          <w:tcPr>
            <w:tcW w:w="1197" w:type="dxa"/>
            <w:tcBorders>
              <w:top w:val="nil"/>
              <w:left w:val="nil"/>
              <w:bottom w:val="single" w:sz="4" w:space="0" w:color="auto"/>
              <w:right w:val="single" w:sz="4" w:space="0" w:color="auto"/>
            </w:tcBorders>
            <w:shd w:val="clear" w:color="auto" w:fill="auto"/>
            <w:vAlign w:val="center"/>
            <w:hideMark/>
          </w:tcPr>
          <w:p w14:paraId="706214C9" w14:textId="4F32B3D9" w:rsidR="00743C68" w:rsidRPr="00B92499" w:rsidRDefault="00743C68" w:rsidP="008A4CDF">
            <w:pPr>
              <w:jc w:val="center"/>
              <w:rPr>
                <w:rFonts w:ascii="Arial" w:hAnsi="Arial" w:cs="Arial"/>
                <w:color w:val="000000"/>
                <w:sz w:val="20"/>
                <w:szCs w:val="20"/>
              </w:rPr>
            </w:pPr>
            <w:r w:rsidRPr="00B92499">
              <w:rPr>
                <w:rFonts w:ascii="Arial" w:hAnsi="Arial" w:cs="Arial"/>
                <w:color w:val="000000"/>
                <w:sz w:val="20"/>
                <w:szCs w:val="20"/>
              </w:rPr>
              <w:t>98.8</w:t>
            </w:r>
            <w:r w:rsidR="008A4CDF" w:rsidRPr="00B92499">
              <w:rPr>
                <w:rFonts w:ascii="Arial" w:hAnsi="Arial" w:cs="Arial"/>
                <w:color w:val="000000"/>
                <w:sz w:val="20"/>
                <w:szCs w:val="20"/>
              </w:rPr>
              <w:t>1</w:t>
            </w:r>
          </w:p>
        </w:tc>
      </w:tr>
      <w:tr w:rsidR="00743C68" w:rsidRPr="00B92499" w14:paraId="10A793A9" w14:textId="77777777" w:rsidTr="00743C68">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0CC22B6" w14:textId="77777777" w:rsidR="00743C68" w:rsidRPr="00B92499" w:rsidRDefault="00743C68">
            <w:pPr>
              <w:jc w:val="center"/>
              <w:rPr>
                <w:rFonts w:ascii="Arial" w:hAnsi="Arial" w:cs="Arial"/>
                <w:color w:val="000000"/>
                <w:sz w:val="20"/>
                <w:szCs w:val="20"/>
              </w:rPr>
            </w:pPr>
            <w:r w:rsidRPr="00B92499">
              <w:rPr>
                <w:rFonts w:ascii="Arial" w:hAnsi="Arial" w:cs="Arial"/>
                <w:color w:val="000000"/>
                <w:sz w:val="20"/>
                <w:szCs w:val="20"/>
              </w:rPr>
              <w:t>XXXIV</w:t>
            </w:r>
          </w:p>
        </w:tc>
        <w:tc>
          <w:tcPr>
            <w:tcW w:w="0" w:type="auto"/>
            <w:tcBorders>
              <w:top w:val="nil"/>
              <w:left w:val="nil"/>
              <w:bottom w:val="single" w:sz="4" w:space="0" w:color="auto"/>
              <w:right w:val="single" w:sz="4" w:space="0" w:color="auto"/>
            </w:tcBorders>
            <w:shd w:val="clear" w:color="auto" w:fill="auto"/>
            <w:vAlign w:val="center"/>
            <w:hideMark/>
          </w:tcPr>
          <w:p w14:paraId="625C9A79" w14:textId="77777777" w:rsidR="00743C68" w:rsidRPr="00B92499" w:rsidRDefault="00743C68" w:rsidP="00EE3F6D">
            <w:pPr>
              <w:jc w:val="both"/>
              <w:rPr>
                <w:rFonts w:ascii="Arial" w:hAnsi="Arial" w:cs="Arial"/>
                <w:color w:val="000000"/>
                <w:sz w:val="20"/>
                <w:szCs w:val="20"/>
              </w:rPr>
            </w:pPr>
            <w:r w:rsidRPr="00B92499">
              <w:rPr>
                <w:rFonts w:ascii="Arial" w:hAnsi="Arial" w:cs="Arial"/>
                <w:color w:val="000000"/>
                <w:sz w:val="20"/>
                <w:szCs w:val="20"/>
              </w:rPr>
              <w:t xml:space="preserve">Padrón de proveedores y contratistas. </w:t>
            </w:r>
          </w:p>
        </w:tc>
        <w:tc>
          <w:tcPr>
            <w:tcW w:w="1197" w:type="dxa"/>
            <w:tcBorders>
              <w:top w:val="nil"/>
              <w:left w:val="nil"/>
              <w:bottom w:val="single" w:sz="4" w:space="0" w:color="auto"/>
              <w:right w:val="single" w:sz="4" w:space="0" w:color="auto"/>
            </w:tcBorders>
            <w:shd w:val="clear" w:color="auto" w:fill="auto"/>
            <w:vAlign w:val="center"/>
            <w:hideMark/>
          </w:tcPr>
          <w:p w14:paraId="159F05A0" w14:textId="77777777" w:rsidR="00743C68" w:rsidRPr="00B92499" w:rsidRDefault="00743C68" w:rsidP="00743C68">
            <w:pPr>
              <w:jc w:val="center"/>
              <w:rPr>
                <w:rFonts w:ascii="Arial" w:hAnsi="Arial" w:cs="Arial"/>
                <w:color w:val="000000"/>
                <w:sz w:val="20"/>
                <w:szCs w:val="20"/>
              </w:rPr>
            </w:pPr>
            <w:r w:rsidRPr="00B92499">
              <w:rPr>
                <w:rFonts w:ascii="Arial" w:hAnsi="Arial" w:cs="Arial"/>
                <w:color w:val="000000"/>
                <w:sz w:val="20"/>
                <w:szCs w:val="20"/>
              </w:rPr>
              <w:t>98.75</w:t>
            </w:r>
          </w:p>
        </w:tc>
      </w:tr>
      <w:tr w:rsidR="00743C68" w:rsidRPr="00B92499" w14:paraId="73CF071C" w14:textId="77777777" w:rsidTr="00743C68">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7D86748" w14:textId="77777777" w:rsidR="00743C68" w:rsidRPr="00B92499" w:rsidRDefault="00743C68">
            <w:pPr>
              <w:jc w:val="center"/>
              <w:rPr>
                <w:rFonts w:ascii="Arial" w:hAnsi="Arial" w:cs="Arial"/>
                <w:color w:val="000000"/>
                <w:sz w:val="20"/>
                <w:szCs w:val="20"/>
              </w:rPr>
            </w:pPr>
            <w:r w:rsidRPr="00B92499">
              <w:rPr>
                <w:rFonts w:ascii="Arial" w:hAnsi="Arial" w:cs="Arial"/>
                <w:color w:val="000000"/>
                <w:sz w:val="20"/>
                <w:szCs w:val="20"/>
              </w:rPr>
              <w:t>XXVIII</w:t>
            </w:r>
          </w:p>
        </w:tc>
        <w:tc>
          <w:tcPr>
            <w:tcW w:w="0" w:type="auto"/>
            <w:tcBorders>
              <w:top w:val="nil"/>
              <w:left w:val="nil"/>
              <w:bottom w:val="single" w:sz="4" w:space="0" w:color="auto"/>
              <w:right w:val="single" w:sz="4" w:space="0" w:color="auto"/>
            </w:tcBorders>
            <w:shd w:val="clear" w:color="auto" w:fill="auto"/>
            <w:vAlign w:val="center"/>
            <w:hideMark/>
          </w:tcPr>
          <w:p w14:paraId="13FEE111" w14:textId="77777777" w:rsidR="00743C68" w:rsidRPr="00B92499" w:rsidRDefault="00743C68" w:rsidP="00EE3F6D">
            <w:pPr>
              <w:jc w:val="both"/>
              <w:rPr>
                <w:rFonts w:ascii="Arial" w:hAnsi="Arial" w:cs="Arial"/>
                <w:color w:val="000000"/>
                <w:sz w:val="20"/>
                <w:szCs w:val="20"/>
              </w:rPr>
            </w:pPr>
            <w:r w:rsidRPr="00B92499">
              <w:rPr>
                <w:rFonts w:ascii="Arial" w:hAnsi="Arial" w:cs="Arial"/>
                <w:color w:val="000000"/>
                <w:sz w:val="20"/>
                <w:szCs w:val="20"/>
              </w:rPr>
              <w:t xml:space="preserve">Montos, criterios, convocatoria y convocatorias de personas físicas y morales que reciban recursos públicos o realicen actos de autoridad. </w:t>
            </w:r>
          </w:p>
        </w:tc>
        <w:tc>
          <w:tcPr>
            <w:tcW w:w="1197" w:type="dxa"/>
            <w:tcBorders>
              <w:top w:val="nil"/>
              <w:left w:val="nil"/>
              <w:bottom w:val="single" w:sz="4" w:space="0" w:color="auto"/>
              <w:right w:val="single" w:sz="4" w:space="0" w:color="auto"/>
            </w:tcBorders>
            <w:shd w:val="clear" w:color="auto" w:fill="auto"/>
            <w:vAlign w:val="center"/>
            <w:hideMark/>
          </w:tcPr>
          <w:p w14:paraId="340D0D96" w14:textId="07811257" w:rsidR="00743C68" w:rsidRPr="00B92499" w:rsidRDefault="00743C68" w:rsidP="008A4CDF">
            <w:pPr>
              <w:jc w:val="center"/>
              <w:rPr>
                <w:rFonts w:ascii="Arial" w:hAnsi="Arial" w:cs="Arial"/>
                <w:color w:val="000000"/>
                <w:sz w:val="20"/>
                <w:szCs w:val="20"/>
              </w:rPr>
            </w:pPr>
            <w:r w:rsidRPr="00B92499">
              <w:rPr>
                <w:rFonts w:ascii="Arial" w:hAnsi="Arial" w:cs="Arial"/>
                <w:color w:val="000000"/>
                <w:sz w:val="20"/>
                <w:szCs w:val="20"/>
              </w:rPr>
              <w:t>98.5</w:t>
            </w:r>
            <w:r w:rsidR="008A4CDF" w:rsidRPr="00B92499">
              <w:rPr>
                <w:rFonts w:ascii="Arial" w:hAnsi="Arial" w:cs="Arial"/>
                <w:color w:val="000000"/>
                <w:sz w:val="20"/>
                <w:szCs w:val="20"/>
              </w:rPr>
              <w:t>3</w:t>
            </w:r>
          </w:p>
        </w:tc>
      </w:tr>
      <w:tr w:rsidR="00743C68" w:rsidRPr="00B92499" w14:paraId="0FFBFA82" w14:textId="77777777" w:rsidTr="00743C68">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850B248" w14:textId="77777777" w:rsidR="00743C68" w:rsidRPr="00B92499" w:rsidRDefault="00743C68">
            <w:pPr>
              <w:jc w:val="center"/>
              <w:rPr>
                <w:rFonts w:ascii="Arial" w:hAnsi="Arial" w:cs="Arial"/>
                <w:color w:val="000000"/>
                <w:sz w:val="20"/>
                <w:szCs w:val="20"/>
              </w:rPr>
            </w:pPr>
            <w:r w:rsidRPr="00B92499">
              <w:rPr>
                <w:rFonts w:ascii="Arial" w:hAnsi="Arial" w:cs="Arial"/>
                <w:color w:val="000000"/>
                <w:sz w:val="20"/>
                <w:szCs w:val="20"/>
              </w:rPr>
              <w:t>XXXI</w:t>
            </w:r>
          </w:p>
        </w:tc>
        <w:tc>
          <w:tcPr>
            <w:tcW w:w="0" w:type="auto"/>
            <w:tcBorders>
              <w:top w:val="nil"/>
              <w:left w:val="nil"/>
              <w:bottom w:val="single" w:sz="4" w:space="0" w:color="auto"/>
              <w:right w:val="single" w:sz="4" w:space="0" w:color="auto"/>
            </w:tcBorders>
            <w:shd w:val="clear" w:color="auto" w:fill="auto"/>
            <w:vAlign w:val="center"/>
            <w:hideMark/>
          </w:tcPr>
          <w:p w14:paraId="7AD470C2" w14:textId="259274A3" w:rsidR="00743C68" w:rsidRPr="00B92499" w:rsidRDefault="00743C68" w:rsidP="00EE3F6D">
            <w:pPr>
              <w:jc w:val="both"/>
              <w:rPr>
                <w:rFonts w:ascii="Arial" w:hAnsi="Arial" w:cs="Arial"/>
                <w:color w:val="000000"/>
                <w:sz w:val="20"/>
                <w:szCs w:val="20"/>
              </w:rPr>
            </w:pPr>
            <w:r w:rsidRPr="00B92499">
              <w:rPr>
                <w:rFonts w:ascii="Arial" w:hAnsi="Arial" w:cs="Arial"/>
                <w:color w:val="000000"/>
                <w:sz w:val="20"/>
                <w:szCs w:val="20"/>
              </w:rPr>
              <w:t xml:space="preserve">Informes que debe de rendir el </w:t>
            </w:r>
            <w:r w:rsidR="008710F6" w:rsidRPr="00B92499">
              <w:rPr>
                <w:rFonts w:ascii="Arial" w:hAnsi="Arial" w:cs="Arial"/>
                <w:color w:val="000000"/>
                <w:sz w:val="20"/>
                <w:szCs w:val="20"/>
              </w:rPr>
              <w:t>sujeto obligado</w:t>
            </w:r>
            <w:r w:rsidRPr="00B92499">
              <w:rPr>
                <w:rFonts w:ascii="Arial" w:hAnsi="Arial" w:cs="Arial"/>
                <w:color w:val="000000"/>
                <w:sz w:val="20"/>
                <w:szCs w:val="20"/>
              </w:rPr>
              <w:t xml:space="preserve">. </w:t>
            </w:r>
          </w:p>
        </w:tc>
        <w:tc>
          <w:tcPr>
            <w:tcW w:w="1197" w:type="dxa"/>
            <w:tcBorders>
              <w:top w:val="nil"/>
              <w:left w:val="nil"/>
              <w:bottom w:val="single" w:sz="4" w:space="0" w:color="auto"/>
              <w:right w:val="single" w:sz="4" w:space="0" w:color="auto"/>
            </w:tcBorders>
            <w:shd w:val="clear" w:color="auto" w:fill="auto"/>
            <w:vAlign w:val="center"/>
            <w:hideMark/>
          </w:tcPr>
          <w:p w14:paraId="42F6C54D" w14:textId="25885CEB" w:rsidR="00743C68" w:rsidRPr="00B92499" w:rsidRDefault="00743C68" w:rsidP="00316565">
            <w:pPr>
              <w:jc w:val="center"/>
              <w:rPr>
                <w:rFonts w:ascii="Arial" w:hAnsi="Arial" w:cs="Arial"/>
                <w:color w:val="000000"/>
                <w:sz w:val="20"/>
                <w:szCs w:val="20"/>
              </w:rPr>
            </w:pPr>
            <w:r w:rsidRPr="00B92499">
              <w:rPr>
                <w:rFonts w:ascii="Arial" w:hAnsi="Arial" w:cs="Arial"/>
                <w:color w:val="000000"/>
                <w:sz w:val="20"/>
                <w:szCs w:val="20"/>
              </w:rPr>
              <w:t>98.4</w:t>
            </w:r>
            <w:r w:rsidR="00316565" w:rsidRPr="00B92499">
              <w:rPr>
                <w:rFonts w:ascii="Arial" w:hAnsi="Arial" w:cs="Arial"/>
                <w:color w:val="000000"/>
                <w:sz w:val="20"/>
                <w:szCs w:val="20"/>
              </w:rPr>
              <w:t>4</w:t>
            </w:r>
          </w:p>
        </w:tc>
      </w:tr>
      <w:tr w:rsidR="00743C68" w:rsidRPr="00B92499" w14:paraId="0646CC8F" w14:textId="77777777" w:rsidTr="00743C68">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0C61768" w14:textId="77777777" w:rsidR="00743C68" w:rsidRPr="00B92499" w:rsidRDefault="00743C68">
            <w:pPr>
              <w:jc w:val="center"/>
              <w:rPr>
                <w:rFonts w:ascii="Arial" w:hAnsi="Arial" w:cs="Arial"/>
                <w:color w:val="000000"/>
                <w:sz w:val="20"/>
                <w:szCs w:val="20"/>
              </w:rPr>
            </w:pPr>
            <w:r w:rsidRPr="00B92499">
              <w:rPr>
                <w:rFonts w:ascii="Arial" w:hAnsi="Arial" w:cs="Arial"/>
                <w:color w:val="000000"/>
                <w:sz w:val="20"/>
                <w:szCs w:val="20"/>
              </w:rPr>
              <w:t>XI</w:t>
            </w:r>
          </w:p>
        </w:tc>
        <w:tc>
          <w:tcPr>
            <w:tcW w:w="0" w:type="auto"/>
            <w:tcBorders>
              <w:top w:val="nil"/>
              <w:left w:val="nil"/>
              <w:bottom w:val="single" w:sz="4" w:space="0" w:color="auto"/>
              <w:right w:val="single" w:sz="4" w:space="0" w:color="auto"/>
            </w:tcBorders>
            <w:shd w:val="clear" w:color="auto" w:fill="auto"/>
            <w:vAlign w:val="center"/>
            <w:hideMark/>
          </w:tcPr>
          <w:p w14:paraId="5A7CC3E0" w14:textId="77777777" w:rsidR="00743C68" w:rsidRPr="00B92499" w:rsidRDefault="00743C68" w:rsidP="00EE3F6D">
            <w:pPr>
              <w:jc w:val="both"/>
              <w:rPr>
                <w:rFonts w:ascii="Arial" w:hAnsi="Arial" w:cs="Arial"/>
                <w:color w:val="000000"/>
                <w:sz w:val="20"/>
                <w:szCs w:val="20"/>
              </w:rPr>
            </w:pPr>
            <w:r w:rsidRPr="00B92499">
              <w:rPr>
                <w:rFonts w:ascii="Arial" w:hAnsi="Arial" w:cs="Arial"/>
                <w:color w:val="000000"/>
                <w:sz w:val="20"/>
                <w:szCs w:val="20"/>
              </w:rPr>
              <w:t>Número tal de plazas y tipos.</w:t>
            </w:r>
          </w:p>
        </w:tc>
        <w:tc>
          <w:tcPr>
            <w:tcW w:w="1197" w:type="dxa"/>
            <w:tcBorders>
              <w:top w:val="nil"/>
              <w:left w:val="nil"/>
              <w:bottom w:val="single" w:sz="4" w:space="0" w:color="auto"/>
              <w:right w:val="single" w:sz="4" w:space="0" w:color="auto"/>
            </w:tcBorders>
            <w:shd w:val="clear" w:color="auto" w:fill="auto"/>
            <w:vAlign w:val="center"/>
            <w:hideMark/>
          </w:tcPr>
          <w:p w14:paraId="7F735312" w14:textId="7B616215" w:rsidR="00743C68" w:rsidRPr="00B92499" w:rsidRDefault="00743C68" w:rsidP="00316565">
            <w:pPr>
              <w:jc w:val="center"/>
              <w:rPr>
                <w:rFonts w:ascii="Arial" w:hAnsi="Arial" w:cs="Arial"/>
                <w:color w:val="000000"/>
                <w:sz w:val="20"/>
                <w:szCs w:val="20"/>
              </w:rPr>
            </w:pPr>
            <w:r w:rsidRPr="00B92499">
              <w:rPr>
                <w:rFonts w:ascii="Arial" w:hAnsi="Arial" w:cs="Arial"/>
                <w:color w:val="000000"/>
                <w:sz w:val="20"/>
                <w:szCs w:val="20"/>
              </w:rPr>
              <w:t>98.21</w:t>
            </w:r>
          </w:p>
        </w:tc>
      </w:tr>
      <w:tr w:rsidR="00743C68" w:rsidRPr="00B92499" w14:paraId="1D3FC427" w14:textId="77777777" w:rsidTr="00743C68">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5223688" w14:textId="77777777" w:rsidR="00743C68" w:rsidRPr="00B92499" w:rsidRDefault="00743C68">
            <w:pPr>
              <w:jc w:val="center"/>
              <w:rPr>
                <w:rFonts w:ascii="Arial" w:hAnsi="Arial" w:cs="Arial"/>
                <w:color w:val="000000"/>
                <w:sz w:val="20"/>
                <w:szCs w:val="20"/>
              </w:rPr>
            </w:pPr>
            <w:r w:rsidRPr="00B92499">
              <w:rPr>
                <w:rFonts w:ascii="Arial" w:hAnsi="Arial" w:cs="Arial"/>
                <w:color w:val="000000"/>
                <w:sz w:val="20"/>
                <w:szCs w:val="20"/>
              </w:rPr>
              <w:t>XXII</w:t>
            </w:r>
          </w:p>
        </w:tc>
        <w:tc>
          <w:tcPr>
            <w:tcW w:w="0" w:type="auto"/>
            <w:tcBorders>
              <w:top w:val="nil"/>
              <w:left w:val="nil"/>
              <w:bottom w:val="single" w:sz="4" w:space="0" w:color="auto"/>
              <w:right w:val="single" w:sz="4" w:space="0" w:color="auto"/>
            </w:tcBorders>
            <w:shd w:val="clear" w:color="auto" w:fill="auto"/>
            <w:vAlign w:val="center"/>
            <w:hideMark/>
          </w:tcPr>
          <w:p w14:paraId="6C92DC2A" w14:textId="77777777" w:rsidR="00743C68" w:rsidRPr="00B92499" w:rsidRDefault="00743C68" w:rsidP="00EE3F6D">
            <w:pPr>
              <w:jc w:val="both"/>
              <w:rPr>
                <w:rFonts w:ascii="Arial" w:hAnsi="Arial" w:cs="Arial"/>
                <w:color w:val="000000"/>
                <w:sz w:val="20"/>
                <w:szCs w:val="20"/>
              </w:rPr>
            </w:pPr>
            <w:r w:rsidRPr="00B92499">
              <w:rPr>
                <w:rFonts w:ascii="Arial" w:hAnsi="Arial" w:cs="Arial"/>
                <w:color w:val="000000"/>
                <w:sz w:val="20"/>
                <w:szCs w:val="20"/>
              </w:rPr>
              <w:t>Programas Operativos Anuales y de trabajo.</w:t>
            </w:r>
          </w:p>
        </w:tc>
        <w:tc>
          <w:tcPr>
            <w:tcW w:w="1197" w:type="dxa"/>
            <w:tcBorders>
              <w:top w:val="nil"/>
              <w:left w:val="nil"/>
              <w:bottom w:val="single" w:sz="4" w:space="0" w:color="auto"/>
              <w:right w:val="single" w:sz="4" w:space="0" w:color="auto"/>
            </w:tcBorders>
            <w:shd w:val="clear" w:color="auto" w:fill="auto"/>
            <w:vAlign w:val="center"/>
            <w:hideMark/>
          </w:tcPr>
          <w:p w14:paraId="59153283" w14:textId="61FCC11A" w:rsidR="00743C68" w:rsidRPr="00B92499" w:rsidRDefault="00743C68" w:rsidP="00316565">
            <w:pPr>
              <w:jc w:val="center"/>
              <w:rPr>
                <w:rFonts w:ascii="Arial" w:hAnsi="Arial" w:cs="Arial"/>
                <w:color w:val="000000"/>
                <w:sz w:val="20"/>
                <w:szCs w:val="20"/>
              </w:rPr>
            </w:pPr>
            <w:r w:rsidRPr="00B92499">
              <w:rPr>
                <w:rFonts w:ascii="Arial" w:hAnsi="Arial" w:cs="Arial"/>
                <w:color w:val="000000"/>
                <w:sz w:val="20"/>
                <w:szCs w:val="20"/>
              </w:rPr>
              <w:t>98.21</w:t>
            </w:r>
          </w:p>
        </w:tc>
      </w:tr>
      <w:tr w:rsidR="00743C68" w:rsidRPr="00B92499" w14:paraId="6F328CF0" w14:textId="77777777" w:rsidTr="00743C68">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254C99C" w14:textId="77777777" w:rsidR="00743C68" w:rsidRPr="00B92499" w:rsidRDefault="00743C68">
            <w:pPr>
              <w:jc w:val="center"/>
              <w:rPr>
                <w:rFonts w:ascii="Arial" w:hAnsi="Arial" w:cs="Arial"/>
                <w:color w:val="000000"/>
                <w:sz w:val="20"/>
                <w:szCs w:val="20"/>
              </w:rPr>
            </w:pPr>
            <w:r w:rsidRPr="00B92499">
              <w:rPr>
                <w:rFonts w:ascii="Arial" w:hAnsi="Arial" w:cs="Arial"/>
                <w:color w:val="000000"/>
                <w:sz w:val="20"/>
                <w:szCs w:val="20"/>
              </w:rPr>
              <w:t>XII</w:t>
            </w:r>
          </w:p>
        </w:tc>
        <w:tc>
          <w:tcPr>
            <w:tcW w:w="0" w:type="auto"/>
            <w:tcBorders>
              <w:top w:val="nil"/>
              <w:left w:val="nil"/>
              <w:bottom w:val="single" w:sz="4" w:space="0" w:color="auto"/>
              <w:right w:val="single" w:sz="4" w:space="0" w:color="auto"/>
            </w:tcBorders>
            <w:shd w:val="clear" w:color="auto" w:fill="auto"/>
            <w:vAlign w:val="center"/>
            <w:hideMark/>
          </w:tcPr>
          <w:p w14:paraId="79C73D69" w14:textId="77777777" w:rsidR="00743C68" w:rsidRPr="00B92499" w:rsidRDefault="00743C68" w:rsidP="00EE3F6D">
            <w:pPr>
              <w:jc w:val="both"/>
              <w:rPr>
                <w:rFonts w:ascii="Arial" w:hAnsi="Arial" w:cs="Arial"/>
                <w:color w:val="000000"/>
                <w:sz w:val="20"/>
                <w:szCs w:val="20"/>
              </w:rPr>
            </w:pPr>
            <w:r w:rsidRPr="00B92499">
              <w:rPr>
                <w:rFonts w:ascii="Arial" w:hAnsi="Arial" w:cs="Arial"/>
                <w:color w:val="000000"/>
                <w:sz w:val="20"/>
                <w:szCs w:val="20"/>
              </w:rPr>
              <w:t>Servicios profesionales y honorarios.</w:t>
            </w:r>
          </w:p>
        </w:tc>
        <w:tc>
          <w:tcPr>
            <w:tcW w:w="1197" w:type="dxa"/>
            <w:tcBorders>
              <w:top w:val="nil"/>
              <w:left w:val="nil"/>
              <w:bottom w:val="single" w:sz="4" w:space="0" w:color="auto"/>
              <w:right w:val="single" w:sz="4" w:space="0" w:color="auto"/>
            </w:tcBorders>
            <w:shd w:val="clear" w:color="auto" w:fill="auto"/>
            <w:vAlign w:val="center"/>
            <w:hideMark/>
          </w:tcPr>
          <w:p w14:paraId="6B8BD9E1" w14:textId="6A256834" w:rsidR="00743C68" w:rsidRPr="00B92499" w:rsidRDefault="00743C68" w:rsidP="00316565">
            <w:pPr>
              <w:jc w:val="center"/>
              <w:rPr>
                <w:rFonts w:ascii="Arial" w:hAnsi="Arial" w:cs="Arial"/>
                <w:color w:val="000000"/>
                <w:sz w:val="20"/>
                <w:szCs w:val="20"/>
              </w:rPr>
            </w:pPr>
            <w:r w:rsidRPr="00B92499">
              <w:rPr>
                <w:rFonts w:ascii="Arial" w:hAnsi="Arial" w:cs="Arial"/>
                <w:color w:val="000000"/>
                <w:sz w:val="20"/>
                <w:szCs w:val="20"/>
              </w:rPr>
              <w:t>97.7</w:t>
            </w:r>
            <w:r w:rsidR="00316565" w:rsidRPr="00B92499">
              <w:rPr>
                <w:rFonts w:ascii="Arial" w:hAnsi="Arial" w:cs="Arial"/>
                <w:color w:val="000000"/>
                <w:sz w:val="20"/>
                <w:szCs w:val="20"/>
              </w:rPr>
              <w:t>7</w:t>
            </w:r>
          </w:p>
        </w:tc>
      </w:tr>
      <w:tr w:rsidR="00743C68" w:rsidRPr="00B92499" w14:paraId="5F811C02" w14:textId="77777777" w:rsidTr="00743C68">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155CB4D" w14:textId="77777777" w:rsidR="00743C68" w:rsidRPr="00B92499" w:rsidRDefault="00743C68">
            <w:pPr>
              <w:jc w:val="center"/>
              <w:rPr>
                <w:rFonts w:ascii="Arial" w:hAnsi="Arial" w:cs="Arial"/>
                <w:color w:val="000000"/>
                <w:sz w:val="20"/>
                <w:szCs w:val="20"/>
              </w:rPr>
            </w:pPr>
            <w:r w:rsidRPr="00B92499">
              <w:rPr>
                <w:rFonts w:ascii="Arial" w:hAnsi="Arial" w:cs="Arial"/>
                <w:color w:val="000000"/>
                <w:sz w:val="20"/>
                <w:szCs w:val="20"/>
              </w:rPr>
              <w:t>XXXVII</w:t>
            </w:r>
          </w:p>
        </w:tc>
        <w:tc>
          <w:tcPr>
            <w:tcW w:w="0" w:type="auto"/>
            <w:tcBorders>
              <w:top w:val="nil"/>
              <w:left w:val="nil"/>
              <w:bottom w:val="single" w:sz="4" w:space="0" w:color="auto"/>
              <w:right w:val="single" w:sz="4" w:space="0" w:color="auto"/>
            </w:tcBorders>
            <w:shd w:val="clear" w:color="auto" w:fill="auto"/>
            <w:vAlign w:val="center"/>
            <w:hideMark/>
          </w:tcPr>
          <w:p w14:paraId="5365030B" w14:textId="2B4C0F31" w:rsidR="00743C68" w:rsidRPr="00B92499" w:rsidRDefault="00743C68" w:rsidP="00EE3F6D">
            <w:pPr>
              <w:jc w:val="both"/>
              <w:rPr>
                <w:rFonts w:ascii="Arial" w:hAnsi="Arial" w:cs="Arial"/>
                <w:color w:val="000000"/>
                <w:sz w:val="20"/>
                <w:szCs w:val="20"/>
              </w:rPr>
            </w:pPr>
            <w:r w:rsidRPr="00B92499">
              <w:rPr>
                <w:rFonts w:ascii="Arial" w:hAnsi="Arial" w:cs="Arial"/>
                <w:color w:val="000000"/>
                <w:sz w:val="20"/>
                <w:szCs w:val="20"/>
              </w:rPr>
              <w:t xml:space="preserve">Relación del número de recomendaciones emitidas al </w:t>
            </w:r>
            <w:r w:rsidR="008710F6" w:rsidRPr="00B92499">
              <w:rPr>
                <w:rFonts w:ascii="Arial" w:hAnsi="Arial" w:cs="Arial"/>
                <w:color w:val="000000"/>
                <w:sz w:val="20"/>
                <w:szCs w:val="20"/>
              </w:rPr>
              <w:t>sujeto obligado</w:t>
            </w:r>
            <w:r w:rsidRPr="00B92499">
              <w:rPr>
                <w:rFonts w:ascii="Arial" w:hAnsi="Arial" w:cs="Arial"/>
                <w:color w:val="000000"/>
                <w:sz w:val="20"/>
                <w:szCs w:val="20"/>
              </w:rPr>
              <w:t xml:space="preserve"> la CDHCDMX.</w:t>
            </w:r>
          </w:p>
        </w:tc>
        <w:tc>
          <w:tcPr>
            <w:tcW w:w="1197" w:type="dxa"/>
            <w:tcBorders>
              <w:top w:val="nil"/>
              <w:left w:val="nil"/>
              <w:bottom w:val="single" w:sz="4" w:space="0" w:color="auto"/>
              <w:right w:val="single" w:sz="4" w:space="0" w:color="auto"/>
            </w:tcBorders>
            <w:shd w:val="clear" w:color="auto" w:fill="auto"/>
            <w:vAlign w:val="center"/>
            <w:hideMark/>
          </w:tcPr>
          <w:p w14:paraId="65328E11" w14:textId="381B8695" w:rsidR="00743C68" w:rsidRPr="00B92499" w:rsidRDefault="00743C68" w:rsidP="00316565">
            <w:pPr>
              <w:jc w:val="center"/>
              <w:rPr>
                <w:rFonts w:ascii="Arial" w:hAnsi="Arial" w:cs="Arial"/>
                <w:color w:val="000000"/>
                <w:sz w:val="20"/>
                <w:szCs w:val="20"/>
              </w:rPr>
            </w:pPr>
            <w:r w:rsidRPr="00B92499">
              <w:rPr>
                <w:rFonts w:ascii="Arial" w:hAnsi="Arial" w:cs="Arial"/>
                <w:color w:val="000000"/>
                <w:sz w:val="20"/>
                <w:szCs w:val="20"/>
              </w:rPr>
              <w:t>97.46</w:t>
            </w:r>
          </w:p>
        </w:tc>
      </w:tr>
      <w:tr w:rsidR="00743C68" w:rsidRPr="00B92499" w14:paraId="6ECEE486" w14:textId="77777777" w:rsidTr="00743C68">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71C5FE6" w14:textId="77777777" w:rsidR="00743C68" w:rsidRPr="00B92499" w:rsidRDefault="00743C68">
            <w:pPr>
              <w:jc w:val="center"/>
              <w:rPr>
                <w:rFonts w:ascii="Arial" w:hAnsi="Arial" w:cs="Arial"/>
                <w:color w:val="000000"/>
                <w:sz w:val="20"/>
                <w:szCs w:val="20"/>
              </w:rPr>
            </w:pPr>
            <w:r w:rsidRPr="00B92499">
              <w:rPr>
                <w:rFonts w:ascii="Arial" w:hAnsi="Arial" w:cs="Arial"/>
                <w:color w:val="000000"/>
                <w:sz w:val="20"/>
                <w:szCs w:val="20"/>
              </w:rPr>
              <w:t>LII</w:t>
            </w:r>
          </w:p>
        </w:tc>
        <w:tc>
          <w:tcPr>
            <w:tcW w:w="0" w:type="auto"/>
            <w:tcBorders>
              <w:top w:val="nil"/>
              <w:left w:val="nil"/>
              <w:bottom w:val="single" w:sz="4" w:space="0" w:color="auto"/>
              <w:right w:val="single" w:sz="4" w:space="0" w:color="auto"/>
            </w:tcBorders>
            <w:shd w:val="clear" w:color="auto" w:fill="auto"/>
            <w:vAlign w:val="center"/>
            <w:hideMark/>
          </w:tcPr>
          <w:p w14:paraId="1697FF55" w14:textId="77777777" w:rsidR="00743C68" w:rsidRPr="00B92499" w:rsidRDefault="00743C68" w:rsidP="00EE3F6D">
            <w:pPr>
              <w:jc w:val="both"/>
              <w:rPr>
                <w:rFonts w:ascii="Arial" w:hAnsi="Arial" w:cs="Arial"/>
                <w:color w:val="000000"/>
                <w:sz w:val="20"/>
                <w:szCs w:val="20"/>
              </w:rPr>
            </w:pPr>
            <w:r w:rsidRPr="00B92499">
              <w:rPr>
                <w:rFonts w:ascii="Arial" w:hAnsi="Arial" w:cs="Arial"/>
                <w:color w:val="000000"/>
                <w:sz w:val="20"/>
                <w:szCs w:val="20"/>
              </w:rPr>
              <w:t xml:space="preserve">Cualquier otra información que sea de utilidad o se considere relevante. </w:t>
            </w:r>
          </w:p>
        </w:tc>
        <w:tc>
          <w:tcPr>
            <w:tcW w:w="1197" w:type="dxa"/>
            <w:tcBorders>
              <w:top w:val="nil"/>
              <w:left w:val="nil"/>
              <w:bottom w:val="single" w:sz="4" w:space="0" w:color="auto"/>
              <w:right w:val="single" w:sz="4" w:space="0" w:color="auto"/>
            </w:tcBorders>
            <w:shd w:val="clear" w:color="auto" w:fill="auto"/>
            <w:vAlign w:val="center"/>
            <w:hideMark/>
          </w:tcPr>
          <w:p w14:paraId="602B0E42" w14:textId="2FA18935" w:rsidR="00743C68" w:rsidRPr="00B92499" w:rsidRDefault="00743C68" w:rsidP="00316565">
            <w:pPr>
              <w:jc w:val="center"/>
              <w:rPr>
                <w:rFonts w:ascii="Arial" w:hAnsi="Arial" w:cs="Arial"/>
                <w:color w:val="000000"/>
                <w:sz w:val="20"/>
                <w:szCs w:val="20"/>
              </w:rPr>
            </w:pPr>
            <w:r w:rsidRPr="00B92499">
              <w:rPr>
                <w:rFonts w:ascii="Arial" w:hAnsi="Arial" w:cs="Arial"/>
                <w:color w:val="000000"/>
                <w:sz w:val="20"/>
                <w:szCs w:val="20"/>
              </w:rPr>
              <w:t>97.</w:t>
            </w:r>
            <w:r w:rsidR="00316565" w:rsidRPr="00B92499">
              <w:rPr>
                <w:rFonts w:ascii="Arial" w:hAnsi="Arial" w:cs="Arial"/>
                <w:color w:val="000000"/>
                <w:sz w:val="20"/>
                <w:szCs w:val="20"/>
              </w:rPr>
              <w:t>40</w:t>
            </w:r>
          </w:p>
        </w:tc>
      </w:tr>
      <w:tr w:rsidR="00743C68" w:rsidRPr="00B92499" w14:paraId="7D6A5880" w14:textId="77777777" w:rsidTr="00743C68">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221CDC3" w14:textId="77777777" w:rsidR="00743C68" w:rsidRPr="00B92499" w:rsidRDefault="00743C68">
            <w:pPr>
              <w:jc w:val="center"/>
              <w:rPr>
                <w:rFonts w:ascii="Arial" w:hAnsi="Arial" w:cs="Arial"/>
                <w:color w:val="000000"/>
                <w:sz w:val="20"/>
                <w:szCs w:val="20"/>
              </w:rPr>
            </w:pPr>
            <w:r w:rsidRPr="00B92499">
              <w:rPr>
                <w:rFonts w:ascii="Arial" w:hAnsi="Arial" w:cs="Arial"/>
                <w:color w:val="000000"/>
                <w:sz w:val="20"/>
                <w:szCs w:val="20"/>
              </w:rPr>
              <w:t>V</w:t>
            </w:r>
          </w:p>
        </w:tc>
        <w:tc>
          <w:tcPr>
            <w:tcW w:w="0" w:type="auto"/>
            <w:tcBorders>
              <w:top w:val="nil"/>
              <w:left w:val="nil"/>
              <w:bottom w:val="single" w:sz="4" w:space="0" w:color="auto"/>
              <w:right w:val="single" w:sz="4" w:space="0" w:color="auto"/>
            </w:tcBorders>
            <w:shd w:val="clear" w:color="auto" w:fill="auto"/>
            <w:vAlign w:val="center"/>
            <w:hideMark/>
          </w:tcPr>
          <w:p w14:paraId="35DF66AA" w14:textId="77777777" w:rsidR="00743C68" w:rsidRPr="00B92499" w:rsidRDefault="00743C68" w:rsidP="00EE3F6D">
            <w:pPr>
              <w:jc w:val="both"/>
              <w:rPr>
                <w:rFonts w:ascii="Arial" w:hAnsi="Arial" w:cs="Arial"/>
                <w:color w:val="000000"/>
                <w:sz w:val="20"/>
                <w:szCs w:val="20"/>
              </w:rPr>
            </w:pPr>
            <w:r w:rsidRPr="00B92499">
              <w:rPr>
                <w:rFonts w:ascii="Arial" w:hAnsi="Arial" w:cs="Arial"/>
                <w:color w:val="000000"/>
                <w:sz w:val="20"/>
                <w:szCs w:val="20"/>
              </w:rPr>
              <w:t>Indicadores de temas de interés público.</w:t>
            </w:r>
          </w:p>
        </w:tc>
        <w:tc>
          <w:tcPr>
            <w:tcW w:w="1197" w:type="dxa"/>
            <w:tcBorders>
              <w:top w:val="nil"/>
              <w:left w:val="nil"/>
              <w:bottom w:val="single" w:sz="4" w:space="0" w:color="auto"/>
              <w:right w:val="single" w:sz="4" w:space="0" w:color="auto"/>
            </w:tcBorders>
            <w:shd w:val="clear" w:color="auto" w:fill="auto"/>
            <w:vAlign w:val="center"/>
            <w:hideMark/>
          </w:tcPr>
          <w:p w14:paraId="567263C5" w14:textId="66831CD9" w:rsidR="00743C68" w:rsidRPr="00B92499" w:rsidRDefault="00743C68" w:rsidP="00316565">
            <w:pPr>
              <w:jc w:val="center"/>
              <w:rPr>
                <w:rFonts w:ascii="Arial" w:hAnsi="Arial" w:cs="Arial"/>
                <w:color w:val="000000"/>
                <w:sz w:val="20"/>
                <w:szCs w:val="20"/>
              </w:rPr>
            </w:pPr>
            <w:r w:rsidRPr="00B92499">
              <w:rPr>
                <w:rFonts w:ascii="Arial" w:hAnsi="Arial" w:cs="Arial"/>
                <w:color w:val="000000"/>
                <w:sz w:val="20"/>
                <w:szCs w:val="20"/>
              </w:rPr>
              <w:t>96.6</w:t>
            </w:r>
            <w:r w:rsidR="00316565" w:rsidRPr="00B92499">
              <w:rPr>
                <w:rFonts w:ascii="Arial" w:hAnsi="Arial" w:cs="Arial"/>
                <w:color w:val="000000"/>
                <w:sz w:val="20"/>
                <w:szCs w:val="20"/>
              </w:rPr>
              <w:t>7</w:t>
            </w:r>
          </w:p>
        </w:tc>
      </w:tr>
      <w:tr w:rsidR="00743C68" w:rsidRPr="00B92499" w14:paraId="240FF397" w14:textId="77777777" w:rsidTr="00743C68">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3D221D4" w14:textId="77777777" w:rsidR="00743C68" w:rsidRPr="00B92499" w:rsidRDefault="00743C68">
            <w:pPr>
              <w:jc w:val="center"/>
              <w:rPr>
                <w:rFonts w:ascii="Arial" w:hAnsi="Arial" w:cs="Arial"/>
                <w:color w:val="000000"/>
                <w:sz w:val="20"/>
                <w:szCs w:val="20"/>
              </w:rPr>
            </w:pPr>
            <w:r w:rsidRPr="00B92499">
              <w:rPr>
                <w:rFonts w:ascii="Arial" w:hAnsi="Arial" w:cs="Arial"/>
                <w:color w:val="000000"/>
                <w:sz w:val="20"/>
                <w:szCs w:val="20"/>
              </w:rPr>
              <w:t>XXV</w:t>
            </w:r>
          </w:p>
        </w:tc>
        <w:tc>
          <w:tcPr>
            <w:tcW w:w="0" w:type="auto"/>
            <w:tcBorders>
              <w:top w:val="nil"/>
              <w:left w:val="nil"/>
              <w:bottom w:val="single" w:sz="4" w:space="0" w:color="auto"/>
              <w:right w:val="single" w:sz="4" w:space="0" w:color="auto"/>
            </w:tcBorders>
            <w:shd w:val="clear" w:color="auto" w:fill="auto"/>
            <w:vAlign w:val="center"/>
            <w:hideMark/>
          </w:tcPr>
          <w:p w14:paraId="5F68C19E" w14:textId="77777777" w:rsidR="00743C68" w:rsidRPr="00B92499" w:rsidRDefault="00743C68" w:rsidP="00EE3F6D">
            <w:pPr>
              <w:jc w:val="both"/>
              <w:rPr>
                <w:rFonts w:ascii="Arial" w:hAnsi="Arial" w:cs="Arial"/>
                <w:color w:val="000000"/>
                <w:sz w:val="20"/>
                <w:szCs w:val="20"/>
              </w:rPr>
            </w:pPr>
            <w:r w:rsidRPr="00B92499">
              <w:rPr>
                <w:rFonts w:ascii="Arial" w:hAnsi="Arial" w:cs="Arial"/>
                <w:color w:val="000000"/>
                <w:sz w:val="20"/>
                <w:szCs w:val="20"/>
              </w:rPr>
              <w:t>Montos destinados a Comunicación Social y publicidad.</w:t>
            </w:r>
          </w:p>
        </w:tc>
        <w:tc>
          <w:tcPr>
            <w:tcW w:w="1197" w:type="dxa"/>
            <w:tcBorders>
              <w:top w:val="nil"/>
              <w:left w:val="nil"/>
              <w:bottom w:val="single" w:sz="4" w:space="0" w:color="auto"/>
              <w:right w:val="single" w:sz="4" w:space="0" w:color="auto"/>
            </w:tcBorders>
            <w:shd w:val="clear" w:color="auto" w:fill="auto"/>
            <w:vAlign w:val="center"/>
            <w:hideMark/>
          </w:tcPr>
          <w:p w14:paraId="50D8B120" w14:textId="4EF68BCB" w:rsidR="00743C68" w:rsidRPr="00B92499" w:rsidRDefault="00743C68" w:rsidP="00316565">
            <w:pPr>
              <w:jc w:val="center"/>
              <w:rPr>
                <w:rFonts w:ascii="Arial" w:hAnsi="Arial" w:cs="Arial"/>
                <w:color w:val="000000"/>
                <w:sz w:val="20"/>
                <w:szCs w:val="20"/>
              </w:rPr>
            </w:pPr>
            <w:r w:rsidRPr="00B92499">
              <w:rPr>
                <w:rFonts w:ascii="Arial" w:hAnsi="Arial" w:cs="Arial"/>
                <w:color w:val="000000"/>
                <w:sz w:val="20"/>
                <w:szCs w:val="20"/>
              </w:rPr>
              <w:t>96.44</w:t>
            </w:r>
          </w:p>
        </w:tc>
      </w:tr>
      <w:tr w:rsidR="00743C68" w:rsidRPr="00B92499" w14:paraId="11B3C163" w14:textId="77777777" w:rsidTr="00743C68">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300AEF7" w14:textId="77777777" w:rsidR="00743C68" w:rsidRPr="00B92499" w:rsidRDefault="00743C68">
            <w:pPr>
              <w:jc w:val="center"/>
              <w:rPr>
                <w:rFonts w:ascii="Arial" w:hAnsi="Arial" w:cs="Arial"/>
                <w:color w:val="000000"/>
                <w:sz w:val="20"/>
                <w:szCs w:val="20"/>
              </w:rPr>
            </w:pPr>
            <w:r w:rsidRPr="00B92499">
              <w:rPr>
                <w:rFonts w:ascii="Arial" w:hAnsi="Arial" w:cs="Arial"/>
                <w:color w:val="000000"/>
                <w:sz w:val="20"/>
                <w:szCs w:val="20"/>
              </w:rPr>
              <w:t>VIII</w:t>
            </w:r>
          </w:p>
        </w:tc>
        <w:tc>
          <w:tcPr>
            <w:tcW w:w="0" w:type="auto"/>
            <w:tcBorders>
              <w:top w:val="nil"/>
              <w:left w:val="nil"/>
              <w:bottom w:val="single" w:sz="4" w:space="0" w:color="auto"/>
              <w:right w:val="single" w:sz="4" w:space="0" w:color="auto"/>
            </w:tcBorders>
            <w:shd w:val="clear" w:color="auto" w:fill="auto"/>
            <w:vAlign w:val="center"/>
            <w:hideMark/>
          </w:tcPr>
          <w:p w14:paraId="1C44FBAB" w14:textId="77777777" w:rsidR="00743C68" w:rsidRPr="00B92499" w:rsidRDefault="00743C68" w:rsidP="00EE3F6D">
            <w:pPr>
              <w:jc w:val="both"/>
              <w:rPr>
                <w:rFonts w:ascii="Arial" w:hAnsi="Arial" w:cs="Arial"/>
                <w:color w:val="000000"/>
                <w:sz w:val="20"/>
                <w:szCs w:val="20"/>
              </w:rPr>
            </w:pPr>
            <w:r w:rsidRPr="00B92499">
              <w:rPr>
                <w:rFonts w:ascii="Arial" w:hAnsi="Arial" w:cs="Arial"/>
                <w:color w:val="000000"/>
                <w:sz w:val="20"/>
                <w:szCs w:val="20"/>
              </w:rPr>
              <w:t>Directorio del área.</w:t>
            </w:r>
          </w:p>
        </w:tc>
        <w:tc>
          <w:tcPr>
            <w:tcW w:w="1197" w:type="dxa"/>
            <w:tcBorders>
              <w:top w:val="nil"/>
              <w:left w:val="nil"/>
              <w:bottom w:val="single" w:sz="4" w:space="0" w:color="auto"/>
              <w:right w:val="single" w:sz="4" w:space="0" w:color="auto"/>
            </w:tcBorders>
            <w:shd w:val="clear" w:color="auto" w:fill="auto"/>
            <w:vAlign w:val="center"/>
            <w:hideMark/>
          </w:tcPr>
          <w:p w14:paraId="1D77A2F8" w14:textId="635DD837" w:rsidR="00743C68" w:rsidRPr="00B92499" w:rsidRDefault="00743C68" w:rsidP="00316565">
            <w:pPr>
              <w:jc w:val="center"/>
              <w:rPr>
                <w:rFonts w:ascii="Arial" w:hAnsi="Arial" w:cs="Arial"/>
                <w:color w:val="000000"/>
                <w:sz w:val="20"/>
                <w:szCs w:val="20"/>
              </w:rPr>
            </w:pPr>
            <w:r w:rsidRPr="00B92499">
              <w:rPr>
                <w:rFonts w:ascii="Arial" w:hAnsi="Arial" w:cs="Arial"/>
                <w:color w:val="000000"/>
                <w:sz w:val="20"/>
                <w:szCs w:val="20"/>
              </w:rPr>
              <w:t>96.35</w:t>
            </w:r>
          </w:p>
        </w:tc>
      </w:tr>
      <w:tr w:rsidR="00743C68" w:rsidRPr="00B92499" w14:paraId="3277203C" w14:textId="77777777" w:rsidTr="00743C68">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80EBCC5" w14:textId="77777777" w:rsidR="00743C68" w:rsidRPr="00B92499" w:rsidRDefault="00743C68">
            <w:pPr>
              <w:jc w:val="center"/>
              <w:rPr>
                <w:rFonts w:ascii="Arial" w:hAnsi="Arial" w:cs="Arial"/>
                <w:color w:val="000000"/>
                <w:sz w:val="20"/>
                <w:szCs w:val="20"/>
              </w:rPr>
            </w:pPr>
            <w:r w:rsidRPr="00B92499">
              <w:rPr>
                <w:rFonts w:ascii="Arial" w:hAnsi="Arial" w:cs="Arial"/>
                <w:color w:val="000000"/>
                <w:sz w:val="20"/>
                <w:szCs w:val="20"/>
              </w:rPr>
              <w:lastRenderedPageBreak/>
              <w:t>XVI</w:t>
            </w:r>
          </w:p>
        </w:tc>
        <w:tc>
          <w:tcPr>
            <w:tcW w:w="0" w:type="auto"/>
            <w:tcBorders>
              <w:top w:val="nil"/>
              <w:left w:val="nil"/>
              <w:bottom w:val="single" w:sz="4" w:space="0" w:color="auto"/>
              <w:right w:val="single" w:sz="4" w:space="0" w:color="auto"/>
            </w:tcBorders>
            <w:shd w:val="clear" w:color="auto" w:fill="auto"/>
            <w:vAlign w:val="center"/>
            <w:hideMark/>
          </w:tcPr>
          <w:p w14:paraId="286CA82F" w14:textId="77777777" w:rsidR="00743C68" w:rsidRPr="00B92499" w:rsidRDefault="00743C68" w:rsidP="00EE3F6D">
            <w:pPr>
              <w:jc w:val="both"/>
              <w:rPr>
                <w:rFonts w:ascii="Arial" w:hAnsi="Arial" w:cs="Arial"/>
                <w:color w:val="000000"/>
                <w:sz w:val="20"/>
                <w:szCs w:val="20"/>
              </w:rPr>
            </w:pPr>
            <w:r w:rsidRPr="00B92499">
              <w:rPr>
                <w:rFonts w:ascii="Arial" w:hAnsi="Arial" w:cs="Arial"/>
                <w:color w:val="000000"/>
                <w:sz w:val="20"/>
                <w:szCs w:val="20"/>
              </w:rPr>
              <w:t>Condiciones generales de trabajo, contratos y convenios que regulen la relación laboral, recursos otorgados a sindicatos.</w:t>
            </w:r>
          </w:p>
        </w:tc>
        <w:tc>
          <w:tcPr>
            <w:tcW w:w="1197" w:type="dxa"/>
            <w:tcBorders>
              <w:top w:val="nil"/>
              <w:left w:val="nil"/>
              <w:bottom w:val="single" w:sz="4" w:space="0" w:color="auto"/>
              <w:right w:val="single" w:sz="4" w:space="0" w:color="auto"/>
            </w:tcBorders>
            <w:shd w:val="clear" w:color="auto" w:fill="auto"/>
            <w:vAlign w:val="center"/>
            <w:hideMark/>
          </w:tcPr>
          <w:p w14:paraId="6B7CEC03" w14:textId="223C9E48" w:rsidR="00743C68" w:rsidRPr="00B92499" w:rsidRDefault="00743C68" w:rsidP="00316565">
            <w:pPr>
              <w:jc w:val="center"/>
              <w:rPr>
                <w:rFonts w:ascii="Arial" w:hAnsi="Arial" w:cs="Arial"/>
                <w:color w:val="000000"/>
                <w:sz w:val="20"/>
                <w:szCs w:val="20"/>
              </w:rPr>
            </w:pPr>
            <w:r w:rsidRPr="00B92499">
              <w:rPr>
                <w:rFonts w:ascii="Arial" w:hAnsi="Arial" w:cs="Arial"/>
                <w:color w:val="000000"/>
                <w:sz w:val="20"/>
                <w:szCs w:val="20"/>
              </w:rPr>
              <w:t>96.05</w:t>
            </w:r>
          </w:p>
        </w:tc>
      </w:tr>
      <w:tr w:rsidR="00743C68" w:rsidRPr="00B92499" w14:paraId="30D89F2B" w14:textId="77777777" w:rsidTr="00743C68">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F1C5C11" w14:textId="77777777" w:rsidR="00743C68" w:rsidRPr="00B92499" w:rsidRDefault="00743C68">
            <w:pPr>
              <w:jc w:val="center"/>
              <w:rPr>
                <w:rFonts w:ascii="Arial" w:hAnsi="Arial" w:cs="Arial"/>
                <w:color w:val="000000"/>
                <w:sz w:val="20"/>
                <w:szCs w:val="20"/>
              </w:rPr>
            </w:pPr>
            <w:r w:rsidRPr="00B92499">
              <w:rPr>
                <w:rFonts w:ascii="Arial" w:hAnsi="Arial" w:cs="Arial"/>
                <w:color w:val="000000"/>
                <w:sz w:val="20"/>
                <w:szCs w:val="20"/>
              </w:rPr>
              <w:t>II</w:t>
            </w:r>
          </w:p>
        </w:tc>
        <w:tc>
          <w:tcPr>
            <w:tcW w:w="0" w:type="auto"/>
            <w:tcBorders>
              <w:top w:val="nil"/>
              <w:left w:val="nil"/>
              <w:bottom w:val="single" w:sz="4" w:space="0" w:color="auto"/>
              <w:right w:val="single" w:sz="4" w:space="0" w:color="auto"/>
            </w:tcBorders>
            <w:shd w:val="clear" w:color="auto" w:fill="auto"/>
            <w:vAlign w:val="center"/>
            <w:hideMark/>
          </w:tcPr>
          <w:p w14:paraId="1E04A97B" w14:textId="77777777" w:rsidR="00743C68" w:rsidRPr="00B92499" w:rsidRDefault="00743C68" w:rsidP="00EE3F6D">
            <w:pPr>
              <w:jc w:val="both"/>
              <w:rPr>
                <w:rFonts w:ascii="Arial" w:hAnsi="Arial" w:cs="Arial"/>
                <w:color w:val="000000"/>
                <w:sz w:val="20"/>
                <w:szCs w:val="20"/>
              </w:rPr>
            </w:pPr>
            <w:r w:rsidRPr="00B92499">
              <w:rPr>
                <w:rFonts w:ascii="Arial" w:hAnsi="Arial" w:cs="Arial"/>
                <w:color w:val="000000"/>
                <w:sz w:val="20"/>
                <w:szCs w:val="20"/>
              </w:rPr>
              <w:t>Estructura orgánica.</w:t>
            </w:r>
          </w:p>
        </w:tc>
        <w:tc>
          <w:tcPr>
            <w:tcW w:w="1197" w:type="dxa"/>
            <w:tcBorders>
              <w:top w:val="nil"/>
              <w:left w:val="nil"/>
              <w:bottom w:val="single" w:sz="4" w:space="0" w:color="auto"/>
              <w:right w:val="single" w:sz="4" w:space="0" w:color="auto"/>
            </w:tcBorders>
            <w:shd w:val="clear" w:color="auto" w:fill="auto"/>
            <w:vAlign w:val="center"/>
            <w:hideMark/>
          </w:tcPr>
          <w:p w14:paraId="33E69B17" w14:textId="0A910401" w:rsidR="00743C68" w:rsidRPr="00B92499" w:rsidRDefault="00743C68" w:rsidP="00743C68">
            <w:pPr>
              <w:jc w:val="center"/>
              <w:rPr>
                <w:rFonts w:ascii="Arial" w:hAnsi="Arial" w:cs="Arial"/>
                <w:color w:val="000000"/>
                <w:sz w:val="20"/>
                <w:szCs w:val="20"/>
              </w:rPr>
            </w:pPr>
            <w:r w:rsidRPr="00B92499">
              <w:rPr>
                <w:rFonts w:ascii="Arial" w:hAnsi="Arial" w:cs="Arial"/>
                <w:color w:val="000000"/>
                <w:sz w:val="20"/>
                <w:szCs w:val="20"/>
              </w:rPr>
              <w:t>95</w:t>
            </w:r>
            <w:r w:rsidR="00316565" w:rsidRPr="00B92499">
              <w:rPr>
                <w:rFonts w:ascii="Arial" w:hAnsi="Arial" w:cs="Arial"/>
                <w:color w:val="000000"/>
                <w:sz w:val="20"/>
                <w:szCs w:val="20"/>
              </w:rPr>
              <w:t>.00</w:t>
            </w:r>
          </w:p>
        </w:tc>
      </w:tr>
      <w:tr w:rsidR="00743C68" w:rsidRPr="00B92499" w14:paraId="3628C294" w14:textId="77777777" w:rsidTr="00743C68">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15EF7FC" w14:textId="77777777" w:rsidR="00743C68" w:rsidRPr="00B92499" w:rsidRDefault="00743C68">
            <w:pPr>
              <w:jc w:val="center"/>
              <w:rPr>
                <w:rFonts w:ascii="Arial" w:hAnsi="Arial" w:cs="Arial"/>
                <w:color w:val="000000"/>
                <w:sz w:val="20"/>
                <w:szCs w:val="20"/>
              </w:rPr>
            </w:pPr>
            <w:r w:rsidRPr="00B92499">
              <w:rPr>
                <w:rFonts w:ascii="Arial" w:hAnsi="Arial" w:cs="Arial"/>
                <w:color w:val="000000"/>
                <w:sz w:val="20"/>
                <w:szCs w:val="20"/>
              </w:rPr>
              <w:t>I</w:t>
            </w:r>
          </w:p>
        </w:tc>
        <w:tc>
          <w:tcPr>
            <w:tcW w:w="0" w:type="auto"/>
            <w:tcBorders>
              <w:top w:val="nil"/>
              <w:left w:val="nil"/>
              <w:bottom w:val="single" w:sz="4" w:space="0" w:color="auto"/>
              <w:right w:val="single" w:sz="4" w:space="0" w:color="auto"/>
            </w:tcBorders>
            <w:shd w:val="clear" w:color="auto" w:fill="auto"/>
            <w:vAlign w:val="center"/>
            <w:hideMark/>
          </w:tcPr>
          <w:p w14:paraId="335C3D56" w14:textId="77777777" w:rsidR="00743C68" w:rsidRPr="00B92499" w:rsidRDefault="00743C68" w:rsidP="00EE3F6D">
            <w:pPr>
              <w:jc w:val="both"/>
              <w:rPr>
                <w:rFonts w:ascii="Arial" w:hAnsi="Arial" w:cs="Arial"/>
                <w:color w:val="000000"/>
                <w:sz w:val="20"/>
                <w:szCs w:val="20"/>
              </w:rPr>
            </w:pPr>
            <w:r w:rsidRPr="00B92499">
              <w:rPr>
                <w:rFonts w:ascii="Arial" w:hAnsi="Arial" w:cs="Arial"/>
                <w:color w:val="000000"/>
                <w:sz w:val="20"/>
                <w:szCs w:val="20"/>
              </w:rPr>
              <w:t>Marco Normativo.</w:t>
            </w:r>
          </w:p>
        </w:tc>
        <w:tc>
          <w:tcPr>
            <w:tcW w:w="1197" w:type="dxa"/>
            <w:tcBorders>
              <w:top w:val="nil"/>
              <w:left w:val="nil"/>
              <w:bottom w:val="single" w:sz="4" w:space="0" w:color="auto"/>
              <w:right w:val="single" w:sz="4" w:space="0" w:color="auto"/>
            </w:tcBorders>
            <w:shd w:val="clear" w:color="auto" w:fill="auto"/>
            <w:vAlign w:val="center"/>
            <w:hideMark/>
          </w:tcPr>
          <w:p w14:paraId="74A9EE52" w14:textId="77777777" w:rsidR="00743C68" w:rsidRPr="00B92499" w:rsidRDefault="00743C68" w:rsidP="00743C68">
            <w:pPr>
              <w:jc w:val="center"/>
              <w:rPr>
                <w:rFonts w:ascii="Arial" w:hAnsi="Arial" w:cs="Arial"/>
                <w:color w:val="000000"/>
                <w:sz w:val="20"/>
                <w:szCs w:val="20"/>
              </w:rPr>
            </w:pPr>
            <w:r w:rsidRPr="00B92499">
              <w:rPr>
                <w:rFonts w:ascii="Arial" w:hAnsi="Arial" w:cs="Arial"/>
                <w:color w:val="000000"/>
                <w:sz w:val="20"/>
                <w:szCs w:val="20"/>
              </w:rPr>
              <w:t>93.75</w:t>
            </w:r>
          </w:p>
        </w:tc>
      </w:tr>
      <w:tr w:rsidR="00743C68" w:rsidRPr="00B92499" w14:paraId="31EB6D66" w14:textId="77777777" w:rsidTr="00743C68">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4BD7085" w14:textId="77777777" w:rsidR="00743C68" w:rsidRPr="00B92499" w:rsidRDefault="00743C68">
            <w:pPr>
              <w:jc w:val="center"/>
              <w:rPr>
                <w:rFonts w:ascii="Arial" w:hAnsi="Arial" w:cs="Arial"/>
                <w:color w:val="000000"/>
                <w:sz w:val="20"/>
                <w:szCs w:val="20"/>
              </w:rPr>
            </w:pPr>
            <w:r w:rsidRPr="00B92499">
              <w:rPr>
                <w:rFonts w:ascii="Arial" w:hAnsi="Arial" w:cs="Arial"/>
                <w:color w:val="000000"/>
                <w:sz w:val="20"/>
                <w:szCs w:val="20"/>
              </w:rPr>
              <w:t>III</w:t>
            </w:r>
          </w:p>
        </w:tc>
        <w:tc>
          <w:tcPr>
            <w:tcW w:w="0" w:type="auto"/>
            <w:tcBorders>
              <w:top w:val="nil"/>
              <w:left w:val="nil"/>
              <w:bottom w:val="single" w:sz="4" w:space="0" w:color="auto"/>
              <w:right w:val="single" w:sz="4" w:space="0" w:color="auto"/>
            </w:tcBorders>
            <w:shd w:val="clear" w:color="auto" w:fill="auto"/>
            <w:vAlign w:val="center"/>
            <w:hideMark/>
          </w:tcPr>
          <w:p w14:paraId="02928679" w14:textId="77777777" w:rsidR="00743C68" w:rsidRPr="00B92499" w:rsidRDefault="00743C68" w:rsidP="00EE3F6D">
            <w:pPr>
              <w:jc w:val="both"/>
              <w:rPr>
                <w:rFonts w:ascii="Arial" w:hAnsi="Arial" w:cs="Arial"/>
                <w:color w:val="000000"/>
                <w:sz w:val="20"/>
                <w:szCs w:val="20"/>
              </w:rPr>
            </w:pPr>
            <w:r w:rsidRPr="00B92499">
              <w:rPr>
                <w:rFonts w:ascii="Arial" w:hAnsi="Arial" w:cs="Arial"/>
                <w:color w:val="000000"/>
                <w:sz w:val="20"/>
                <w:szCs w:val="20"/>
              </w:rPr>
              <w:t>Facultades de cada área (dirección).</w:t>
            </w:r>
          </w:p>
        </w:tc>
        <w:tc>
          <w:tcPr>
            <w:tcW w:w="1197" w:type="dxa"/>
            <w:tcBorders>
              <w:top w:val="nil"/>
              <w:left w:val="nil"/>
              <w:bottom w:val="single" w:sz="4" w:space="0" w:color="auto"/>
              <w:right w:val="single" w:sz="4" w:space="0" w:color="auto"/>
            </w:tcBorders>
            <w:shd w:val="clear" w:color="auto" w:fill="auto"/>
            <w:vAlign w:val="center"/>
            <w:hideMark/>
          </w:tcPr>
          <w:p w14:paraId="4A3D6F80" w14:textId="77777777" w:rsidR="00743C68" w:rsidRPr="00B92499" w:rsidRDefault="00743C68" w:rsidP="00743C68">
            <w:pPr>
              <w:jc w:val="center"/>
              <w:rPr>
                <w:rFonts w:ascii="Arial" w:hAnsi="Arial" w:cs="Arial"/>
                <w:color w:val="000000"/>
                <w:sz w:val="20"/>
                <w:szCs w:val="20"/>
              </w:rPr>
            </w:pPr>
            <w:r w:rsidRPr="00B92499">
              <w:rPr>
                <w:rFonts w:ascii="Arial" w:hAnsi="Arial" w:cs="Arial"/>
                <w:color w:val="000000"/>
                <w:sz w:val="20"/>
                <w:szCs w:val="20"/>
              </w:rPr>
              <w:t>93.75</w:t>
            </w:r>
          </w:p>
        </w:tc>
      </w:tr>
      <w:tr w:rsidR="00743C68" w:rsidRPr="00B92499" w14:paraId="0388CFE8" w14:textId="77777777" w:rsidTr="00743C68">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FD0C21D" w14:textId="77777777" w:rsidR="00743C68" w:rsidRPr="00B92499" w:rsidRDefault="00743C68">
            <w:pPr>
              <w:jc w:val="center"/>
              <w:rPr>
                <w:rFonts w:ascii="Arial" w:hAnsi="Arial" w:cs="Arial"/>
                <w:color w:val="000000"/>
                <w:sz w:val="20"/>
                <w:szCs w:val="20"/>
              </w:rPr>
            </w:pPr>
            <w:r w:rsidRPr="00B92499">
              <w:rPr>
                <w:rFonts w:ascii="Arial" w:hAnsi="Arial" w:cs="Arial"/>
                <w:color w:val="000000"/>
                <w:sz w:val="20"/>
                <w:szCs w:val="20"/>
              </w:rPr>
              <w:t>XXVII</w:t>
            </w:r>
          </w:p>
        </w:tc>
        <w:tc>
          <w:tcPr>
            <w:tcW w:w="0" w:type="auto"/>
            <w:tcBorders>
              <w:top w:val="nil"/>
              <w:left w:val="nil"/>
              <w:bottom w:val="single" w:sz="4" w:space="0" w:color="auto"/>
              <w:right w:val="single" w:sz="4" w:space="0" w:color="auto"/>
            </w:tcBorders>
            <w:shd w:val="clear" w:color="auto" w:fill="auto"/>
            <w:vAlign w:val="center"/>
            <w:hideMark/>
          </w:tcPr>
          <w:p w14:paraId="76B3A720" w14:textId="77777777" w:rsidR="00743C68" w:rsidRPr="00B92499" w:rsidRDefault="00743C68" w:rsidP="00EE3F6D">
            <w:pPr>
              <w:jc w:val="both"/>
              <w:rPr>
                <w:rFonts w:ascii="Arial" w:hAnsi="Arial" w:cs="Arial"/>
                <w:color w:val="000000"/>
                <w:sz w:val="20"/>
                <w:szCs w:val="20"/>
              </w:rPr>
            </w:pPr>
            <w:r w:rsidRPr="00B92499">
              <w:rPr>
                <w:rFonts w:ascii="Arial" w:hAnsi="Arial" w:cs="Arial"/>
                <w:color w:val="000000"/>
                <w:sz w:val="20"/>
                <w:szCs w:val="20"/>
              </w:rPr>
              <w:t>Dictámenes de cuenta pública y estado financieros.</w:t>
            </w:r>
          </w:p>
        </w:tc>
        <w:tc>
          <w:tcPr>
            <w:tcW w:w="1197" w:type="dxa"/>
            <w:tcBorders>
              <w:top w:val="nil"/>
              <w:left w:val="nil"/>
              <w:bottom w:val="single" w:sz="4" w:space="0" w:color="auto"/>
              <w:right w:val="single" w:sz="4" w:space="0" w:color="auto"/>
            </w:tcBorders>
            <w:shd w:val="clear" w:color="auto" w:fill="auto"/>
            <w:vAlign w:val="center"/>
            <w:hideMark/>
          </w:tcPr>
          <w:p w14:paraId="651F7999" w14:textId="305691D6" w:rsidR="00743C68" w:rsidRPr="00B92499" w:rsidRDefault="00743C68" w:rsidP="00316565">
            <w:pPr>
              <w:jc w:val="center"/>
              <w:rPr>
                <w:rFonts w:ascii="Arial" w:hAnsi="Arial" w:cs="Arial"/>
                <w:color w:val="000000"/>
                <w:sz w:val="20"/>
                <w:szCs w:val="20"/>
              </w:rPr>
            </w:pPr>
            <w:r w:rsidRPr="00B92499">
              <w:rPr>
                <w:rFonts w:ascii="Arial" w:hAnsi="Arial" w:cs="Arial"/>
                <w:color w:val="000000"/>
                <w:sz w:val="20"/>
                <w:szCs w:val="20"/>
              </w:rPr>
              <w:t>92.8</w:t>
            </w:r>
            <w:r w:rsidR="00316565" w:rsidRPr="00B92499">
              <w:rPr>
                <w:rFonts w:ascii="Arial" w:hAnsi="Arial" w:cs="Arial"/>
                <w:color w:val="000000"/>
                <w:sz w:val="20"/>
                <w:szCs w:val="20"/>
              </w:rPr>
              <w:t>6</w:t>
            </w:r>
          </w:p>
        </w:tc>
      </w:tr>
      <w:tr w:rsidR="00743C68" w:rsidRPr="00B92499" w14:paraId="25A052CF" w14:textId="77777777" w:rsidTr="00743C68">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29CAB48" w14:textId="77777777" w:rsidR="00743C68" w:rsidRPr="00B92499" w:rsidRDefault="00743C68">
            <w:pPr>
              <w:jc w:val="center"/>
              <w:rPr>
                <w:rFonts w:ascii="Arial" w:hAnsi="Arial" w:cs="Arial"/>
                <w:color w:val="000000"/>
                <w:sz w:val="20"/>
                <w:szCs w:val="20"/>
              </w:rPr>
            </w:pPr>
            <w:r w:rsidRPr="00B92499">
              <w:rPr>
                <w:rFonts w:ascii="Arial" w:hAnsi="Arial" w:cs="Arial"/>
                <w:color w:val="000000"/>
                <w:sz w:val="20"/>
                <w:szCs w:val="20"/>
              </w:rPr>
              <w:t>XVII</w:t>
            </w:r>
          </w:p>
        </w:tc>
        <w:tc>
          <w:tcPr>
            <w:tcW w:w="0" w:type="auto"/>
            <w:tcBorders>
              <w:top w:val="nil"/>
              <w:left w:val="nil"/>
              <w:bottom w:val="single" w:sz="4" w:space="0" w:color="auto"/>
              <w:right w:val="single" w:sz="4" w:space="0" w:color="auto"/>
            </w:tcBorders>
            <w:shd w:val="clear" w:color="auto" w:fill="auto"/>
            <w:vAlign w:val="center"/>
            <w:hideMark/>
          </w:tcPr>
          <w:p w14:paraId="3F63C53E" w14:textId="77777777" w:rsidR="00743C68" w:rsidRPr="00B92499" w:rsidRDefault="00743C68" w:rsidP="00EE3F6D">
            <w:pPr>
              <w:jc w:val="both"/>
              <w:rPr>
                <w:rFonts w:ascii="Arial" w:hAnsi="Arial" w:cs="Arial"/>
                <w:color w:val="000000"/>
                <w:sz w:val="20"/>
                <w:szCs w:val="20"/>
              </w:rPr>
            </w:pPr>
            <w:r w:rsidRPr="00B92499">
              <w:rPr>
                <w:rFonts w:ascii="Arial" w:hAnsi="Arial" w:cs="Arial"/>
                <w:color w:val="000000"/>
                <w:sz w:val="20"/>
                <w:szCs w:val="20"/>
              </w:rPr>
              <w:t>CV de jefe de departamento para arriba.</w:t>
            </w:r>
          </w:p>
        </w:tc>
        <w:tc>
          <w:tcPr>
            <w:tcW w:w="1197" w:type="dxa"/>
            <w:tcBorders>
              <w:top w:val="nil"/>
              <w:left w:val="nil"/>
              <w:bottom w:val="single" w:sz="4" w:space="0" w:color="auto"/>
              <w:right w:val="single" w:sz="4" w:space="0" w:color="auto"/>
            </w:tcBorders>
            <w:shd w:val="clear" w:color="auto" w:fill="auto"/>
            <w:vAlign w:val="center"/>
            <w:hideMark/>
          </w:tcPr>
          <w:p w14:paraId="7192BE6D" w14:textId="77D5FB07" w:rsidR="00743C68" w:rsidRPr="00B92499" w:rsidRDefault="00743C68" w:rsidP="00550D91">
            <w:pPr>
              <w:jc w:val="center"/>
              <w:rPr>
                <w:rFonts w:ascii="Arial" w:hAnsi="Arial" w:cs="Arial"/>
                <w:color w:val="000000"/>
                <w:sz w:val="20"/>
                <w:szCs w:val="20"/>
              </w:rPr>
            </w:pPr>
            <w:r w:rsidRPr="00B92499">
              <w:rPr>
                <w:rFonts w:ascii="Arial" w:hAnsi="Arial" w:cs="Arial"/>
                <w:color w:val="000000"/>
                <w:sz w:val="20"/>
                <w:szCs w:val="20"/>
              </w:rPr>
              <w:t>91.6</w:t>
            </w:r>
            <w:r w:rsidR="00550D91" w:rsidRPr="00B92499">
              <w:rPr>
                <w:rFonts w:ascii="Arial" w:hAnsi="Arial" w:cs="Arial"/>
                <w:color w:val="000000"/>
                <w:sz w:val="20"/>
                <w:szCs w:val="20"/>
              </w:rPr>
              <w:t>7</w:t>
            </w:r>
          </w:p>
        </w:tc>
      </w:tr>
      <w:tr w:rsidR="00743C68" w:rsidRPr="00B92499" w14:paraId="5D3617FC" w14:textId="77777777" w:rsidTr="00743C68">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295A8BE" w14:textId="77777777" w:rsidR="00743C68" w:rsidRPr="00B92499" w:rsidRDefault="00743C68">
            <w:pPr>
              <w:jc w:val="center"/>
              <w:rPr>
                <w:rFonts w:ascii="Arial" w:hAnsi="Arial" w:cs="Arial"/>
                <w:color w:val="000000"/>
                <w:sz w:val="20"/>
                <w:szCs w:val="20"/>
              </w:rPr>
            </w:pPr>
            <w:r w:rsidRPr="00B92499">
              <w:rPr>
                <w:rFonts w:ascii="Arial" w:hAnsi="Arial" w:cs="Arial"/>
                <w:color w:val="000000"/>
                <w:sz w:val="20"/>
                <w:szCs w:val="20"/>
              </w:rPr>
              <w:t>XXXVIII</w:t>
            </w:r>
          </w:p>
        </w:tc>
        <w:tc>
          <w:tcPr>
            <w:tcW w:w="0" w:type="auto"/>
            <w:tcBorders>
              <w:top w:val="nil"/>
              <w:left w:val="nil"/>
              <w:bottom w:val="single" w:sz="4" w:space="0" w:color="auto"/>
              <w:right w:val="single" w:sz="4" w:space="0" w:color="auto"/>
            </w:tcBorders>
            <w:shd w:val="clear" w:color="auto" w:fill="auto"/>
            <w:vAlign w:val="center"/>
            <w:hideMark/>
          </w:tcPr>
          <w:p w14:paraId="127736D3" w14:textId="44AC1A5C" w:rsidR="00743C68" w:rsidRPr="00B92499" w:rsidRDefault="00743C68" w:rsidP="00EE3F6D">
            <w:pPr>
              <w:jc w:val="both"/>
              <w:rPr>
                <w:rFonts w:ascii="Arial" w:hAnsi="Arial" w:cs="Arial"/>
                <w:color w:val="000000"/>
                <w:sz w:val="20"/>
                <w:szCs w:val="20"/>
              </w:rPr>
            </w:pPr>
            <w:r w:rsidRPr="00B92499">
              <w:rPr>
                <w:rFonts w:ascii="Arial" w:hAnsi="Arial" w:cs="Arial"/>
                <w:color w:val="000000"/>
                <w:sz w:val="20"/>
                <w:szCs w:val="20"/>
              </w:rPr>
              <w:t xml:space="preserve">Relación del número de recomendaciones emitidas por el Instituto al </w:t>
            </w:r>
            <w:r w:rsidR="008710F6" w:rsidRPr="00B92499">
              <w:rPr>
                <w:rFonts w:ascii="Arial" w:hAnsi="Arial" w:cs="Arial"/>
                <w:color w:val="000000"/>
                <w:sz w:val="20"/>
                <w:szCs w:val="20"/>
              </w:rPr>
              <w:t>sujeto obligado</w:t>
            </w:r>
            <w:r w:rsidRPr="00B92499">
              <w:rPr>
                <w:rFonts w:ascii="Arial" w:hAnsi="Arial" w:cs="Arial"/>
                <w:color w:val="000000"/>
                <w:sz w:val="20"/>
                <w:szCs w:val="20"/>
              </w:rPr>
              <w:t>.</w:t>
            </w:r>
          </w:p>
        </w:tc>
        <w:tc>
          <w:tcPr>
            <w:tcW w:w="1197" w:type="dxa"/>
            <w:tcBorders>
              <w:top w:val="nil"/>
              <w:left w:val="nil"/>
              <w:bottom w:val="single" w:sz="4" w:space="0" w:color="auto"/>
              <w:right w:val="single" w:sz="4" w:space="0" w:color="auto"/>
            </w:tcBorders>
            <w:shd w:val="clear" w:color="auto" w:fill="auto"/>
            <w:vAlign w:val="center"/>
            <w:hideMark/>
          </w:tcPr>
          <w:p w14:paraId="027F002B" w14:textId="5A76EA7A" w:rsidR="00743C68" w:rsidRPr="00B92499" w:rsidRDefault="00743C68" w:rsidP="00550D91">
            <w:pPr>
              <w:jc w:val="center"/>
              <w:rPr>
                <w:rFonts w:ascii="Arial" w:hAnsi="Arial" w:cs="Arial"/>
                <w:color w:val="000000"/>
                <w:sz w:val="20"/>
                <w:szCs w:val="20"/>
              </w:rPr>
            </w:pPr>
            <w:r w:rsidRPr="00B92499">
              <w:rPr>
                <w:rFonts w:ascii="Arial" w:hAnsi="Arial" w:cs="Arial"/>
                <w:color w:val="000000"/>
                <w:sz w:val="20"/>
                <w:szCs w:val="20"/>
              </w:rPr>
              <w:t>91.6</w:t>
            </w:r>
            <w:r w:rsidR="00550D91" w:rsidRPr="00B92499">
              <w:rPr>
                <w:rFonts w:ascii="Arial" w:hAnsi="Arial" w:cs="Arial"/>
                <w:color w:val="000000"/>
                <w:sz w:val="20"/>
                <w:szCs w:val="20"/>
              </w:rPr>
              <w:t>7</w:t>
            </w:r>
          </w:p>
        </w:tc>
      </w:tr>
      <w:tr w:rsidR="00743C68" w:rsidRPr="00B92499" w14:paraId="409649D7" w14:textId="77777777" w:rsidTr="00743C68">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F42F862" w14:textId="77777777" w:rsidR="00743C68" w:rsidRPr="00B92499" w:rsidRDefault="00743C68">
            <w:pPr>
              <w:jc w:val="center"/>
              <w:rPr>
                <w:rFonts w:ascii="Arial" w:hAnsi="Arial" w:cs="Arial"/>
                <w:color w:val="000000"/>
                <w:sz w:val="20"/>
                <w:szCs w:val="20"/>
              </w:rPr>
            </w:pPr>
            <w:r w:rsidRPr="00B92499">
              <w:rPr>
                <w:rFonts w:ascii="Arial" w:hAnsi="Arial" w:cs="Arial"/>
                <w:color w:val="000000"/>
                <w:sz w:val="20"/>
                <w:szCs w:val="20"/>
              </w:rPr>
              <w:t>VII</w:t>
            </w:r>
          </w:p>
        </w:tc>
        <w:tc>
          <w:tcPr>
            <w:tcW w:w="0" w:type="auto"/>
            <w:tcBorders>
              <w:top w:val="nil"/>
              <w:left w:val="nil"/>
              <w:bottom w:val="single" w:sz="4" w:space="0" w:color="auto"/>
              <w:right w:val="single" w:sz="4" w:space="0" w:color="auto"/>
            </w:tcBorders>
            <w:shd w:val="clear" w:color="auto" w:fill="auto"/>
            <w:vAlign w:val="center"/>
            <w:hideMark/>
          </w:tcPr>
          <w:p w14:paraId="473FD6A4" w14:textId="4470E8F6" w:rsidR="00743C68" w:rsidRPr="00B92499" w:rsidRDefault="00743C68" w:rsidP="00EE3F6D">
            <w:pPr>
              <w:jc w:val="both"/>
              <w:rPr>
                <w:rFonts w:ascii="Arial" w:hAnsi="Arial" w:cs="Arial"/>
                <w:color w:val="000000"/>
                <w:sz w:val="20"/>
                <w:szCs w:val="20"/>
              </w:rPr>
            </w:pPr>
            <w:r w:rsidRPr="00B92499">
              <w:rPr>
                <w:rFonts w:ascii="Arial" w:hAnsi="Arial" w:cs="Arial"/>
                <w:color w:val="000000"/>
                <w:sz w:val="20"/>
                <w:szCs w:val="20"/>
              </w:rPr>
              <w:t>Indicadores de gestión</w:t>
            </w:r>
            <w:r w:rsidR="00FF3679" w:rsidRPr="00B92499">
              <w:rPr>
                <w:rFonts w:ascii="Arial" w:hAnsi="Arial" w:cs="Arial"/>
                <w:color w:val="000000"/>
                <w:sz w:val="20"/>
                <w:szCs w:val="20"/>
              </w:rPr>
              <w:t>.</w:t>
            </w:r>
          </w:p>
        </w:tc>
        <w:tc>
          <w:tcPr>
            <w:tcW w:w="1197" w:type="dxa"/>
            <w:tcBorders>
              <w:top w:val="nil"/>
              <w:left w:val="nil"/>
              <w:bottom w:val="single" w:sz="4" w:space="0" w:color="auto"/>
              <w:right w:val="single" w:sz="4" w:space="0" w:color="auto"/>
            </w:tcBorders>
            <w:shd w:val="clear" w:color="auto" w:fill="auto"/>
            <w:vAlign w:val="center"/>
            <w:hideMark/>
          </w:tcPr>
          <w:p w14:paraId="771A21F9" w14:textId="1F0E4175" w:rsidR="00743C68" w:rsidRPr="00B92499" w:rsidRDefault="00743C68" w:rsidP="00550D91">
            <w:pPr>
              <w:jc w:val="center"/>
              <w:rPr>
                <w:rFonts w:ascii="Arial" w:hAnsi="Arial" w:cs="Arial"/>
                <w:color w:val="000000"/>
                <w:sz w:val="20"/>
                <w:szCs w:val="20"/>
              </w:rPr>
            </w:pPr>
            <w:r w:rsidRPr="00B92499">
              <w:rPr>
                <w:rFonts w:ascii="Arial" w:hAnsi="Arial" w:cs="Arial"/>
                <w:color w:val="000000"/>
                <w:sz w:val="20"/>
                <w:szCs w:val="20"/>
              </w:rPr>
              <w:t>90.83</w:t>
            </w:r>
          </w:p>
        </w:tc>
      </w:tr>
      <w:tr w:rsidR="00743C68" w:rsidRPr="00B92499" w14:paraId="63DDCCDA" w14:textId="77777777" w:rsidTr="00743C68">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09B84A9" w14:textId="77777777" w:rsidR="00743C68" w:rsidRPr="00B92499" w:rsidRDefault="00743C68">
            <w:pPr>
              <w:jc w:val="center"/>
              <w:rPr>
                <w:rFonts w:ascii="Arial" w:hAnsi="Arial" w:cs="Arial"/>
                <w:color w:val="000000"/>
                <w:sz w:val="20"/>
                <w:szCs w:val="20"/>
              </w:rPr>
            </w:pPr>
            <w:r w:rsidRPr="00B92499">
              <w:rPr>
                <w:rFonts w:ascii="Arial" w:hAnsi="Arial" w:cs="Arial"/>
                <w:color w:val="000000"/>
                <w:sz w:val="20"/>
                <w:szCs w:val="20"/>
              </w:rPr>
              <w:t>XXXII</w:t>
            </w:r>
          </w:p>
        </w:tc>
        <w:tc>
          <w:tcPr>
            <w:tcW w:w="0" w:type="auto"/>
            <w:tcBorders>
              <w:top w:val="nil"/>
              <w:left w:val="nil"/>
              <w:bottom w:val="single" w:sz="4" w:space="0" w:color="auto"/>
              <w:right w:val="single" w:sz="4" w:space="0" w:color="auto"/>
            </w:tcBorders>
            <w:shd w:val="clear" w:color="auto" w:fill="auto"/>
            <w:vAlign w:val="center"/>
            <w:hideMark/>
          </w:tcPr>
          <w:p w14:paraId="493D3324" w14:textId="77777777" w:rsidR="00743C68" w:rsidRPr="00B92499" w:rsidRDefault="00743C68" w:rsidP="00EE3F6D">
            <w:pPr>
              <w:jc w:val="both"/>
              <w:rPr>
                <w:rFonts w:ascii="Arial" w:hAnsi="Arial" w:cs="Arial"/>
                <w:color w:val="000000"/>
                <w:sz w:val="20"/>
                <w:szCs w:val="20"/>
              </w:rPr>
            </w:pPr>
            <w:r w:rsidRPr="00B92499">
              <w:rPr>
                <w:rFonts w:ascii="Arial" w:hAnsi="Arial" w:cs="Arial"/>
                <w:color w:val="000000"/>
                <w:sz w:val="20"/>
                <w:szCs w:val="20"/>
              </w:rPr>
              <w:t>Estadísticas que generen.</w:t>
            </w:r>
          </w:p>
        </w:tc>
        <w:tc>
          <w:tcPr>
            <w:tcW w:w="1197" w:type="dxa"/>
            <w:tcBorders>
              <w:top w:val="nil"/>
              <w:left w:val="nil"/>
              <w:bottom w:val="single" w:sz="4" w:space="0" w:color="auto"/>
              <w:right w:val="single" w:sz="4" w:space="0" w:color="auto"/>
            </w:tcBorders>
            <w:shd w:val="clear" w:color="auto" w:fill="auto"/>
            <w:vAlign w:val="center"/>
            <w:hideMark/>
          </w:tcPr>
          <w:p w14:paraId="4BDFCD8F" w14:textId="77777777" w:rsidR="00743C68" w:rsidRPr="00B92499" w:rsidRDefault="00743C68" w:rsidP="00743C68">
            <w:pPr>
              <w:jc w:val="center"/>
              <w:rPr>
                <w:rFonts w:ascii="Arial" w:hAnsi="Arial" w:cs="Arial"/>
                <w:color w:val="000000"/>
                <w:sz w:val="20"/>
                <w:szCs w:val="20"/>
              </w:rPr>
            </w:pPr>
            <w:r w:rsidRPr="00B92499">
              <w:rPr>
                <w:rFonts w:ascii="Arial" w:hAnsi="Arial" w:cs="Arial"/>
                <w:color w:val="000000"/>
                <w:sz w:val="20"/>
                <w:szCs w:val="20"/>
              </w:rPr>
              <w:t>88.75</w:t>
            </w:r>
          </w:p>
        </w:tc>
      </w:tr>
      <w:tr w:rsidR="00743C68" w:rsidRPr="00B92499" w14:paraId="7A576C04" w14:textId="77777777" w:rsidTr="00743C68">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F08A23C" w14:textId="77777777" w:rsidR="00743C68" w:rsidRPr="00B92499" w:rsidRDefault="00743C68">
            <w:pPr>
              <w:jc w:val="center"/>
              <w:rPr>
                <w:rFonts w:ascii="Arial" w:hAnsi="Arial" w:cs="Arial"/>
                <w:color w:val="000000"/>
                <w:sz w:val="20"/>
                <w:szCs w:val="20"/>
              </w:rPr>
            </w:pPr>
            <w:r w:rsidRPr="00B92499">
              <w:rPr>
                <w:rFonts w:ascii="Arial" w:hAnsi="Arial" w:cs="Arial"/>
                <w:color w:val="000000"/>
                <w:sz w:val="20"/>
                <w:szCs w:val="20"/>
              </w:rPr>
              <w:t>XVIII</w:t>
            </w:r>
          </w:p>
        </w:tc>
        <w:tc>
          <w:tcPr>
            <w:tcW w:w="0" w:type="auto"/>
            <w:tcBorders>
              <w:top w:val="nil"/>
              <w:left w:val="nil"/>
              <w:bottom w:val="single" w:sz="4" w:space="0" w:color="auto"/>
              <w:right w:val="single" w:sz="4" w:space="0" w:color="auto"/>
            </w:tcBorders>
            <w:shd w:val="clear" w:color="auto" w:fill="auto"/>
            <w:vAlign w:val="center"/>
            <w:hideMark/>
          </w:tcPr>
          <w:p w14:paraId="1944A5E0" w14:textId="77777777" w:rsidR="00743C68" w:rsidRPr="00B92499" w:rsidRDefault="00743C68" w:rsidP="00EE3F6D">
            <w:pPr>
              <w:jc w:val="both"/>
              <w:rPr>
                <w:rFonts w:ascii="Arial" w:hAnsi="Arial" w:cs="Arial"/>
                <w:color w:val="000000"/>
                <w:sz w:val="20"/>
                <w:szCs w:val="20"/>
              </w:rPr>
            </w:pPr>
            <w:r w:rsidRPr="00B92499">
              <w:rPr>
                <w:rFonts w:ascii="Arial" w:hAnsi="Arial" w:cs="Arial"/>
                <w:color w:val="000000"/>
                <w:sz w:val="20"/>
                <w:szCs w:val="20"/>
              </w:rPr>
              <w:t>Servidores públicos con sanciones administrativas.</w:t>
            </w:r>
          </w:p>
        </w:tc>
        <w:tc>
          <w:tcPr>
            <w:tcW w:w="1197" w:type="dxa"/>
            <w:tcBorders>
              <w:top w:val="nil"/>
              <w:left w:val="nil"/>
              <w:bottom w:val="single" w:sz="4" w:space="0" w:color="auto"/>
              <w:right w:val="single" w:sz="4" w:space="0" w:color="auto"/>
            </w:tcBorders>
            <w:shd w:val="clear" w:color="auto" w:fill="auto"/>
            <w:vAlign w:val="center"/>
            <w:hideMark/>
          </w:tcPr>
          <w:p w14:paraId="799C4030" w14:textId="00F1F801" w:rsidR="00743C68" w:rsidRPr="00B92499" w:rsidRDefault="00743C68" w:rsidP="00743C68">
            <w:pPr>
              <w:jc w:val="center"/>
              <w:rPr>
                <w:rFonts w:ascii="Arial" w:hAnsi="Arial" w:cs="Arial"/>
                <w:color w:val="000000"/>
                <w:sz w:val="20"/>
                <w:szCs w:val="20"/>
              </w:rPr>
            </w:pPr>
            <w:r w:rsidRPr="00B92499">
              <w:rPr>
                <w:rFonts w:ascii="Arial" w:hAnsi="Arial" w:cs="Arial"/>
                <w:color w:val="000000"/>
                <w:sz w:val="20"/>
                <w:szCs w:val="20"/>
              </w:rPr>
              <w:t>50</w:t>
            </w:r>
            <w:r w:rsidR="00550D91" w:rsidRPr="00B92499">
              <w:rPr>
                <w:rFonts w:ascii="Arial" w:hAnsi="Arial" w:cs="Arial"/>
                <w:color w:val="000000"/>
                <w:sz w:val="20"/>
                <w:szCs w:val="20"/>
              </w:rPr>
              <w:t>.00</w:t>
            </w:r>
          </w:p>
        </w:tc>
      </w:tr>
    </w:tbl>
    <w:p w14:paraId="77A9C523" w14:textId="77777777" w:rsidR="00323ABF" w:rsidRPr="00B92499" w:rsidRDefault="00323ABF" w:rsidP="00323ABF">
      <w:pPr>
        <w:spacing w:before="100" w:beforeAutospacing="1" w:after="100" w:afterAutospacing="1" w:line="360" w:lineRule="auto"/>
        <w:contextualSpacing/>
        <w:jc w:val="both"/>
        <w:rPr>
          <w:rFonts w:ascii="Arial" w:hAnsi="Arial" w:cs="Arial"/>
        </w:rPr>
      </w:pPr>
    </w:p>
    <w:p w14:paraId="46FCBA0A" w14:textId="415F94FC" w:rsidR="00323ABF" w:rsidRPr="00B92499" w:rsidRDefault="00323ABF" w:rsidP="009F64B5">
      <w:pPr>
        <w:pStyle w:val="Ttulo2"/>
        <w:numPr>
          <w:ilvl w:val="1"/>
          <w:numId w:val="13"/>
        </w:numPr>
        <w:contextualSpacing/>
        <w:jc w:val="both"/>
        <w:rPr>
          <w:rFonts w:ascii="Arial" w:hAnsi="Arial" w:cs="Arial"/>
          <w:b/>
          <w:color w:val="auto"/>
          <w:sz w:val="24"/>
          <w:szCs w:val="24"/>
        </w:rPr>
      </w:pPr>
      <w:bookmarkStart w:id="42" w:name="_Toc23252998"/>
      <w:r w:rsidRPr="00B92499">
        <w:rPr>
          <w:rFonts w:ascii="Arial" w:hAnsi="Arial" w:cs="Arial"/>
          <w:b/>
          <w:color w:val="auto"/>
          <w:sz w:val="24"/>
          <w:szCs w:val="24"/>
        </w:rPr>
        <w:t xml:space="preserve">Análisis del </w:t>
      </w:r>
      <w:r w:rsidR="008F67E4" w:rsidRPr="00B92499">
        <w:rPr>
          <w:rFonts w:ascii="Arial" w:hAnsi="Arial" w:cs="Arial"/>
          <w:b/>
          <w:color w:val="auto"/>
          <w:sz w:val="24"/>
          <w:szCs w:val="24"/>
        </w:rPr>
        <w:t>artículo</w:t>
      </w:r>
      <w:r w:rsidRPr="00B92499">
        <w:rPr>
          <w:rFonts w:ascii="Arial" w:hAnsi="Arial" w:cs="Arial"/>
          <w:b/>
          <w:color w:val="auto"/>
          <w:sz w:val="24"/>
          <w:szCs w:val="24"/>
        </w:rPr>
        <w:t xml:space="preserve"> 1</w:t>
      </w:r>
      <w:r w:rsidR="00EE3F6D" w:rsidRPr="00B92499">
        <w:rPr>
          <w:rFonts w:ascii="Arial" w:hAnsi="Arial" w:cs="Arial"/>
          <w:b/>
          <w:color w:val="auto"/>
          <w:sz w:val="24"/>
          <w:szCs w:val="24"/>
        </w:rPr>
        <w:t>25</w:t>
      </w:r>
      <w:r w:rsidRPr="00B92499">
        <w:rPr>
          <w:rFonts w:ascii="Arial" w:hAnsi="Arial" w:cs="Arial"/>
          <w:b/>
          <w:color w:val="auto"/>
          <w:sz w:val="24"/>
          <w:szCs w:val="24"/>
        </w:rPr>
        <w:t xml:space="preserve"> y sus respectivas fracciones</w:t>
      </w:r>
      <w:bookmarkEnd w:id="42"/>
    </w:p>
    <w:p w14:paraId="6879E1E1" w14:textId="34EDAE20" w:rsidR="00323ABF" w:rsidRPr="00B92499" w:rsidRDefault="00323ABF" w:rsidP="00323ABF">
      <w:pPr>
        <w:spacing w:before="100" w:beforeAutospacing="1" w:after="100" w:afterAutospacing="1" w:line="360" w:lineRule="auto"/>
        <w:contextualSpacing/>
        <w:jc w:val="both"/>
        <w:rPr>
          <w:rFonts w:ascii="Arial" w:hAnsi="Arial" w:cs="Arial"/>
        </w:rPr>
      </w:pPr>
      <w:r w:rsidRPr="00B92499">
        <w:rPr>
          <w:rFonts w:ascii="Arial" w:hAnsi="Arial" w:cs="Arial"/>
        </w:rPr>
        <w:t xml:space="preserve">El sindicato obtuvo un ICP en este artículo de </w:t>
      </w:r>
      <w:r w:rsidR="00FF3679" w:rsidRPr="00B92499">
        <w:rPr>
          <w:rFonts w:ascii="Arial" w:hAnsi="Arial" w:cs="Arial"/>
        </w:rPr>
        <w:t>93.50</w:t>
      </w:r>
      <w:r w:rsidRPr="00B92499">
        <w:rPr>
          <w:rFonts w:ascii="Arial" w:hAnsi="Arial" w:cs="Arial"/>
        </w:rPr>
        <w:t>%, por lo que se encuentra dentro del área de cumplimiento parcial. Lo anterior se debió a que de las</w:t>
      </w:r>
      <w:r w:rsidR="00FF3679" w:rsidRPr="00B92499">
        <w:rPr>
          <w:rFonts w:ascii="Arial" w:hAnsi="Arial" w:cs="Arial"/>
        </w:rPr>
        <w:t xml:space="preserve"> 35 </w:t>
      </w:r>
      <w:r w:rsidRPr="00B92499">
        <w:rPr>
          <w:rFonts w:ascii="Arial" w:hAnsi="Arial" w:cs="Arial"/>
        </w:rPr>
        <w:t xml:space="preserve">fracciones que les son aplicables, en </w:t>
      </w:r>
      <w:r w:rsidR="00FF3679" w:rsidRPr="00B92499">
        <w:rPr>
          <w:rFonts w:ascii="Arial" w:hAnsi="Arial" w:cs="Arial"/>
        </w:rPr>
        <w:t>15</w:t>
      </w:r>
      <w:r w:rsidRPr="00B92499">
        <w:rPr>
          <w:rFonts w:ascii="Arial" w:hAnsi="Arial" w:cs="Arial"/>
        </w:rPr>
        <w:t xml:space="preserve"> alcanzó un cumplimiento total de 100%, en </w:t>
      </w:r>
      <w:r w:rsidR="00FF3679" w:rsidRPr="00B92499">
        <w:rPr>
          <w:rFonts w:ascii="Arial" w:hAnsi="Arial" w:cs="Arial"/>
        </w:rPr>
        <w:t>18</w:t>
      </w:r>
      <w:r w:rsidRPr="00B92499">
        <w:rPr>
          <w:rFonts w:ascii="Arial" w:hAnsi="Arial" w:cs="Arial"/>
        </w:rPr>
        <w:t xml:space="preserve"> fracciones un cumplimiento parcial</w:t>
      </w:r>
      <w:r w:rsidR="00FF3679" w:rsidRPr="00B92499">
        <w:rPr>
          <w:rFonts w:ascii="Arial" w:hAnsi="Arial" w:cs="Arial"/>
        </w:rPr>
        <w:t xml:space="preserve"> entre 86.1% y</w:t>
      </w:r>
      <w:r w:rsidRPr="00B92499">
        <w:rPr>
          <w:rFonts w:ascii="Arial" w:hAnsi="Arial" w:cs="Arial"/>
        </w:rPr>
        <w:t xml:space="preserve"> 99.</w:t>
      </w:r>
      <w:r w:rsidR="00FF3679" w:rsidRPr="00B92499">
        <w:rPr>
          <w:rFonts w:ascii="Arial" w:hAnsi="Arial" w:cs="Arial"/>
        </w:rPr>
        <w:t>56</w:t>
      </w:r>
      <w:r w:rsidRPr="00B92499">
        <w:rPr>
          <w:rFonts w:ascii="Arial" w:hAnsi="Arial" w:cs="Arial"/>
        </w:rPr>
        <w:t xml:space="preserve">% y en </w:t>
      </w:r>
      <w:r w:rsidR="000D67A7" w:rsidRPr="00B92499">
        <w:rPr>
          <w:rFonts w:ascii="Arial" w:hAnsi="Arial" w:cs="Arial"/>
        </w:rPr>
        <w:t>2</w:t>
      </w:r>
      <w:r w:rsidR="00FF3679" w:rsidRPr="00B92499">
        <w:rPr>
          <w:rFonts w:ascii="Arial" w:hAnsi="Arial" w:cs="Arial"/>
        </w:rPr>
        <w:t xml:space="preserve"> fracciones un incumplimiento parcial de 50%. </w:t>
      </w:r>
    </w:p>
    <w:p w14:paraId="26DB632F" w14:textId="77777777" w:rsidR="00323ABF" w:rsidRPr="00B92499" w:rsidRDefault="00323ABF" w:rsidP="00323ABF">
      <w:pPr>
        <w:spacing w:before="100" w:beforeAutospacing="1" w:after="100" w:afterAutospacing="1" w:line="360" w:lineRule="auto"/>
        <w:contextualSpacing/>
        <w:jc w:val="both"/>
        <w:rPr>
          <w:rFonts w:ascii="Arial" w:hAnsi="Arial" w:cs="Arial"/>
        </w:rPr>
      </w:pPr>
    </w:p>
    <w:p w14:paraId="4978D1DF" w14:textId="382A33CB" w:rsidR="00323ABF" w:rsidRPr="00B92499" w:rsidRDefault="00323ABF" w:rsidP="00323ABF">
      <w:pPr>
        <w:spacing w:before="100" w:beforeAutospacing="1" w:after="100" w:afterAutospacing="1" w:line="360" w:lineRule="auto"/>
        <w:contextualSpacing/>
        <w:jc w:val="both"/>
        <w:rPr>
          <w:rFonts w:ascii="Arial" w:hAnsi="Arial" w:cs="Arial"/>
        </w:rPr>
      </w:pPr>
      <w:r w:rsidRPr="00B92499">
        <w:rPr>
          <w:rFonts w:ascii="Arial" w:hAnsi="Arial" w:cs="Arial"/>
        </w:rPr>
        <w:t xml:space="preserve">En esta línea, de las </w:t>
      </w:r>
      <w:r w:rsidR="00FF3679" w:rsidRPr="00B92499">
        <w:rPr>
          <w:rFonts w:ascii="Arial" w:hAnsi="Arial" w:cs="Arial"/>
        </w:rPr>
        <w:t>35</w:t>
      </w:r>
      <w:r w:rsidRPr="00B92499">
        <w:rPr>
          <w:rFonts w:ascii="Arial" w:hAnsi="Arial" w:cs="Arial"/>
        </w:rPr>
        <w:t xml:space="preserve"> fracciones que le son aplicables; las</w:t>
      </w:r>
      <w:r w:rsidR="000D67A7" w:rsidRPr="00B92499">
        <w:rPr>
          <w:rFonts w:ascii="Arial" w:hAnsi="Arial" w:cs="Arial"/>
        </w:rPr>
        <w:t xml:space="preserve"> 4 </w:t>
      </w:r>
      <w:r w:rsidR="00FF3679" w:rsidRPr="00B92499">
        <w:rPr>
          <w:rFonts w:ascii="Arial" w:hAnsi="Arial" w:cs="Arial"/>
        </w:rPr>
        <w:t>que</w:t>
      </w:r>
      <w:r w:rsidRPr="00B92499">
        <w:rPr>
          <w:rFonts w:ascii="Arial" w:hAnsi="Arial" w:cs="Arial"/>
        </w:rPr>
        <w:t xml:space="preserve"> presentan </w:t>
      </w:r>
      <w:r w:rsidR="00FF3679" w:rsidRPr="00B92499">
        <w:rPr>
          <w:rFonts w:ascii="Arial" w:hAnsi="Arial" w:cs="Arial"/>
        </w:rPr>
        <w:t xml:space="preserve">mayores </w:t>
      </w:r>
      <w:r w:rsidRPr="00B92499">
        <w:rPr>
          <w:rFonts w:ascii="Arial" w:hAnsi="Arial" w:cs="Arial"/>
        </w:rPr>
        <w:t>área</w:t>
      </w:r>
      <w:r w:rsidR="00FF3679" w:rsidRPr="00B92499">
        <w:rPr>
          <w:rFonts w:ascii="Arial" w:hAnsi="Arial" w:cs="Arial"/>
        </w:rPr>
        <w:t>s</w:t>
      </w:r>
      <w:r w:rsidRPr="00B92499">
        <w:rPr>
          <w:rFonts w:ascii="Arial" w:hAnsi="Arial" w:cs="Arial"/>
        </w:rPr>
        <w:t xml:space="preserve"> de oportunidad son las siguientes: </w:t>
      </w:r>
    </w:p>
    <w:p w14:paraId="29DAABE6" w14:textId="45575EE5" w:rsidR="00F95061" w:rsidRPr="00B92499" w:rsidRDefault="00323ABF" w:rsidP="009F64B5">
      <w:pPr>
        <w:pStyle w:val="Prrafodelista"/>
        <w:numPr>
          <w:ilvl w:val="0"/>
          <w:numId w:val="22"/>
        </w:numPr>
        <w:spacing w:before="100" w:beforeAutospacing="1" w:after="100" w:afterAutospacing="1" w:line="360" w:lineRule="auto"/>
        <w:jc w:val="both"/>
        <w:rPr>
          <w:rFonts w:ascii="Arial" w:hAnsi="Arial" w:cs="Arial"/>
          <w:sz w:val="24"/>
          <w:szCs w:val="24"/>
          <w:lang w:val="es-ES_tradnl"/>
        </w:rPr>
      </w:pPr>
      <w:r w:rsidRPr="00B92499">
        <w:rPr>
          <w:rFonts w:ascii="Arial" w:hAnsi="Arial" w:cs="Arial"/>
          <w:sz w:val="24"/>
          <w:szCs w:val="24"/>
          <w:lang w:val="es-ES_tradnl"/>
        </w:rPr>
        <w:t xml:space="preserve">Fracción </w:t>
      </w:r>
      <w:r w:rsidR="00FF3679" w:rsidRPr="00B92499">
        <w:rPr>
          <w:rFonts w:ascii="Arial" w:hAnsi="Arial" w:cs="Arial"/>
          <w:sz w:val="24"/>
          <w:szCs w:val="24"/>
          <w:lang w:val="es-ES_tradnl"/>
        </w:rPr>
        <w:t>XXVI</w:t>
      </w:r>
      <w:r w:rsidRPr="00B92499">
        <w:rPr>
          <w:rFonts w:ascii="Arial" w:hAnsi="Arial" w:cs="Arial"/>
          <w:sz w:val="24"/>
          <w:szCs w:val="24"/>
          <w:lang w:val="es-ES_tradnl"/>
        </w:rPr>
        <w:t xml:space="preserve">, con un ICP de </w:t>
      </w:r>
      <w:r w:rsidR="00FF3679" w:rsidRPr="00B92499">
        <w:rPr>
          <w:rFonts w:ascii="Arial" w:hAnsi="Arial" w:cs="Arial"/>
          <w:sz w:val="24"/>
          <w:szCs w:val="24"/>
          <w:lang w:val="es-ES_tradnl"/>
        </w:rPr>
        <w:t>50</w:t>
      </w:r>
      <w:r w:rsidRPr="00B92499">
        <w:rPr>
          <w:rFonts w:ascii="Arial" w:hAnsi="Arial" w:cs="Arial"/>
          <w:sz w:val="24"/>
          <w:szCs w:val="24"/>
          <w:lang w:val="es-ES_tradnl"/>
        </w:rPr>
        <w:t xml:space="preserve">% que hace referencia a la publicación </w:t>
      </w:r>
      <w:r w:rsidR="00FF3679" w:rsidRPr="00B92499">
        <w:rPr>
          <w:rFonts w:ascii="Arial" w:hAnsi="Arial" w:cs="Arial"/>
          <w:sz w:val="24"/>
          <w:szCs w:val="24"/>
          <w:lang w:val="es-ES_tradnl"/>
        </w:rPr>
        <w:t>del informe anual del ejercicio del gasto que elabora el Comité de Administración, una vez que haya sido conocido por el Pleno</w:t>
      </w:r>
      <w:r w:rsidRPr="00B92499">
        <w:rPr>
          <w:rFonts w:ascii="Arial" w:hAnsi="Arial" w:cs="Arial"/>
          <w:sz w:val="24"/>
          <w:szCs w:val="24"/>
          <w:lang w:val="es-ES_tradnl"/>
        </w:rPr>
        <w:t xml:space="preserve">. El área de oportunidad del </w:t>
      </w:r>
      <w:r w:rsidR="008710F6" w:rsidRPr="00B92499">
        <w:rPr>
          <w:rFonts w:ascii="Arial" w:hAnsi="Arial" w:cs="Arial"/>
          <w:sz w:val="24"/>
          <w:szCs w:val="24"/>
          <w:lang w:val="es-ES_tradnl"/>
        </w:rPr>
        <w:t>sujeto obligado</w:t>
      </w:r>
      <w:r w:rsidRPr="00B92499">
        <w:rPr>
          <w:rFonts w:ascii="Arial" w:hAnsi="Arial" w:cs="Arial"/>
          <w:sz w:val="24"/>
          <w:szCs w:val="24"/>
          <w:lang w:val="es-ES_tradnl"/>
        </w:rPr>
        <w:t xml:space="preserve"> consiste </w:t>
      </w:r>
      <w:r w:rsidR="00F95061" w:rsidRPr="00B92499">
        <w:rPr>
          <w:rFonts w:ascii="Arial" w:hAnsi="Arial" w:cs="Arial"/>
          <w:sz w:val="24"/>
          <w:szCs w:val="24"/>
          <w:lang w:val="es-ES_tradnl"/>
        </w:rPr>
        <w:t>en publicar la información en la PNT de forma homologada con su portal institucional, en donde sí cuenta con la información completa y actualizada.</w:t>
      </w:r>
    </w:p>
    <w:p w14:paraId="354F1452" w14:textId="5CB40331" w:rsidR="00FF3679" w:rsidRPr="00B92499" w:rsidRDefault="00323ABF" w:rsidP="009F64B5">
      <w:pPr>
        <w:pStyle w:val="Prrafodelista"/>
        <w:numPr>
          <w:ilvl w:val="0"/>
          <w:numId w:val="22"/>
        </w:numPr>
        <w:spacing w:before="100" w:beforeAutospacing="1" w:after="100" w:afterAutospacing="1" w:line="360" w:lineRule="auto"/>
        <w:jc w:val="both"/>
        <w:rPr>
          <w:rFonts w:ascii="Arial" w:hAnsi="Arial" w:cs="Arial"/>
          <w:sz w:val="24"/>
          <w:szCs w:val="24"/>
          <w:lang w:val="es-ES_tradnl"/>
        </w:rPr>
      </w:pPr>
      <w:r w:rsidRPr="00B92499">
        <w:rPr>
          <w:rFonts w:ascii="Arial" w:hAnsi="Arial" w:cs="Arial"/>
          <w:sz w:val="24"/>
          <w:szCs w:val="24"/>
          <w:lang w:val="es-ES_tradnl"/>
        </w:rPr>
        <w:t xml:space="preserve">Fracción </w:t>
      </w:r>
      <w:r w:rsidR="00FF3679" w:rsidRPr="00B92499">
        <w:rPr>
          <w:rFonts w:ascii="Arial" w:hAnsi="Arial" w:cs="Arial"/>
          <w:sz w:val="24"/>
          <w:szCs w:val="24"/>
          <w:lang w:val="es-ES_tradnl"/>
        </w:rPr>
        <w:t>XXII</w:t>
      </w:r>
      <w:r w:rsidRPr="00B92499">
        <w:rPr>
          <w:rFonts w:ascii="Arial" w:hAnsi="Arial" w:cs="Arial"/>
          <w:sz w:val="24"/>
          <w:szCs w:val="24"/>
          <w:lang w:val="es-ES_tradnl"/>
        </w:rPr>
        <w:t xml:space="preserve">, con un ICP de </w:t>
      </w:r>
      <w:r w:rsidR="00FF3679" w:rsidRPr="00B92499">
        <w:rPr>
          <w:rFonts w:ascii="Arial" w:hAnsi="Arial" w:cs="Arial"/>
          <w:sz w:val="24"/>
          <w:szCs w:val="24"/>
          <w:lang w:val="es-ES_tradnl"/>
        </w:rPr>
        <w:t>50</w:t>
      </w:r>
      <w:r w:rsidRPr="00B92499">
        <w:rPr>
          <w:rFonts w:ascii="Arial" w:hAnsi="Arial" w:cs="Arial"/>
          <w:sz w:val="24"/>
          <w:szCs w:val="24"/>
          <w:lang w:val="es-ES_tradnl"/>
        </w:rPr>
        <w:t xml:space="preserve">%, que establece la publicación </w:t>
      </w:r>
      <w:r w:rsidR="00FF3679" w:rsidRPr="00B92499">
        <w:rPr>
          <w:rFonts w:ascii="Arial" w:hAnsi="Arial" w:cs="Arial"/>
          <w:sz w:val="24"/>
          <w:szCs w:val="24"/>
          <w:lang w:val="es-ES_tradnl"/>
        </w:rPr>
        <w:t xml:space="preserve">de los dictámenes de cuenta </w:t>
      </w:r>
      <w:r w:rsidR="000B0B2E" w:rsidRPr="00B92499">
        <w:rPr>
          <w:rFonts w:ascii="Arial" w:hAnsi="Arial" w:cs="Arial"/>
          <w:sz w:val="24"/>
          <w:szCs w:val="24"/>
          <w:lang w:val="es-ES_tradnl"/>
        </w:rPr>
        <w:t>pública,</w:t>
      </w:r>
      <w:r w:rsidR="00FF3679" w:rsidRPr="00B92499">
        <w:rPr>
          <w:rFonts w:ascii="Arial" w:hAnsi="Arial" w:cs="Arial"/>
          <w:sz w:val="24"/>
          <w:szCs w:val="24"/>
          <w:lang w:val="es-ES_tradnl"/>
        </w:rPr>
        <w:t xml:space="preserve"> así como los</w:t>
      </w:r>
      <w:r w:rsidR="000B0B2E" w:rsidRPr="00B92499">
        <w:rPr>
          <w:rFonts w:ascii="Arial" w:hAnsi="Arial" w:cs="Arial"/>
          <w:sz w:val="24"/>
          <w:szCs w:val="24"/>
          <w:lang w:val="es-ES_tradnl"/>
        </w:rPr>
        <w:t xml:space="preserve"> </w:t>
      </w:r>
      <w:r w:rsidR="00FF3679" w:rsidRPr="00B92499">
        <w:rPr>
          <w:rFonts w:ascii="Arial" w:hAnsi="Arial" w:cs="Arial"/>
          <w:sz w:val="24"/>
          <w:szCs w:val="24"/>
          <w:lang w:val="es-ES_tradnl"/>
        </w:rPr>
        <w:t>estado</w:t>
      </w:r>
      <w:r w:rsidR="00C7683E" w:rsidRPr="00B92499">
        <w:rPr>
          <w:rFonts w:ascii="Arial" w:hAnsi="Arial" w:cs="Arial"/>
          <w:sz w:val="24"/>
          <w:szCs w:val="24"/>
          <w:lang w:val="es-ES_tradnl"/>
        </w:rPr>
        <w:t>s</w:t>
      </w:r>
      <w:r w:rsidR="00FF3679" w:rsidRPr="00B92499">
        <w:rPr>
          <w:rFonts w:ascii="Arial" w:hAnsi="Arial" w:cs="Arial"/>
          <w:sz w:val="24"/>
          <w:szCs w:val="24"/>
          <w:lang w:val="es-ES_tradnl"/>
        </w:rPr>
        <w:t xml:space="preserve"> financieros y demás información que los órganos de fiscalización superior utilizan para emitir tales dictámenes.</w:t>
      </w:r>
      <w:r w:rsidRPr="00B92499">
        <w:rPr>
          <w:rFonts w:ascii="Arial" w:hAnsi="Arial" w:cs="Arial"/>
          <w:sz w:val="24"/>
          <w:szCs w:val="24"/>
          <w:lang w:val="es-ES_tradnl"/>
        </w:rPr>
        <w:t xml:space="preserve"> El área de oportunidad del </w:t>
      </w:r>
      <w:r w:rsidR="008710F6" w:rsidRPr="00B92499">
        <w:rPr>
          <w:rFonts w:ascii="Arial" w:hAnsi="Arial" w:cs="Arial"/>
          <w:sz w:val="24"/>
          <w:szCs w:val="24"/>
          <w:lang w:val="es-ES_tradnl"/>
        </w:rPr>
        <w:t>sujeto obligado</w:t>
      </w:r>
      <w:r w:rsidRPr="00B92499">
        <w:rPr>
          <w:rFonts w:ascii="Arial" w:hAnsi="Arial" w:cs="Arial"/>
          <w:sz w:val="24"/>
          <w:szCs w:val="24"/>
          <w:lang w:val="es-ES_tradnl"/>
        </w:rPr>
        <w:t xml:space="preserve"> consiste e</w:t>
      </w:r>
      <w:r w:rsidR="00FF3679" w:rsidRPr="00B92499">
        <w:rPr>
          <w:rFonts w:ascii="Arial" w:hAnsi="Arial" w:cs="Arial"/>
          <w:sz w:val="24"/>
          <w:szCs w:val="24"/>
          <w:lang w:val="es-ES_tradnl"/>
        </w:rPr>
        <w:t>n</w:t>
      </w:r>
      <w:r w:rsidR="00813E0D" w:rsidRPr="00B92499">
        <w:rPr>
          <w:rFonts w:ascii="Arial" w:hAnsi="Arial" w:cs="Arial"/>
          <w:sz w:val="24"/>
          <w:szCs w:val="24"/>
          <w:lang w:val="es-ES_tradnl"/>
        </w:rPr>
        <w:t xml:space="preserve"> actualizar y publicar la información al segundo trimestre del año 2019. </w:t>
      </w:r>
    </w:p>
    <w:p w14:paraId="114B899F" w14:textId="7C38BBBA" w:rsidR="00813E0D" w:rsidRPr="00B92499" w:rsidRDefault="00FF3679" w:rsidP="009F64B5">
      <w:pPr>
        <w:pStyle w:val="Prrafodelista"/>
        <w:numPr>
          <w:ilvl w:val="0"/>
          <w:numId w:val="22"/>
        </w:numPr>
        <w:spacing w:before="100" w:beforeAutospacing="1" w:after="100" w:afterAutospacing="1" w:line="360" w:lineRule="auto"/>
        <w:jc w:val="both"/>
        <w:rPr>
          <w:rFonts w:ascii="Arial" w:hAnsi="Arial" w:cs="Arial"/>
          <w:sz w:val="24"/>
          <w:szCs w:val="24"/>
          <w:lang w:val="es-ES_tradnl"/>
        </w:rPr>
      </w:pPr>
      <w:r w:rsidRPr="00B92499">
        <w:rPr>
          <w:rFonts w:ascii="Arial" w:hAnsi="Arial" w:cs="Arial"/>
          <w:sz w:val="24"/>
          <w:szCs w:val="24"/>
          <w:lang w:val="es-ES_tradnl"/>
        </w:rPr>
        <w:lastRenderedPageBreak/>
        <w:t xml:space="preserve">Fracción XXIV, con un ICP de 86.11%, que establece la publicación de los recursos económicos, el proceso de asignación y los capítulos y partidas de gasto pertenecientes a ese total; así como los informes que éstos presenten sobre su uso y destino final. El área de oportunidad del </w:t>
      </w:r>
      <w:r w:rsidR="008710F6" w:rsidRPr="00B92499">
        <w:rPr>
          <w:rFonts w:ascii="Arial" w:hAnsi="Arial" w:cs="Arial"/>
          <w:sz w:val="24"/>
          <w:szCs w:val="24"/>
          <w:lang w:val="es-ES_tradnl"/>
        </w:rPr>
        <w:t>sujeto obligado</w:t>
      </w:r>
      <w:r w:rsidRPr="00B92499">
        <w:rPr>
          <w:rFonts w:ascii="Arial" w:hAnsi="Arial" w:cs="Arial"/>
          <w:sz w:val="24"/>
          <w:szCs w:val="24"/>
          <w:lang w:val="es-ES_tradnl"/>
        </w:rPr>
        <w:t xml:space="preserve"> consiste en</w:t>
      </w:r>
      <w:r w:rsidR="00813E0D" w:rsidRPr="00B92499">
        <w:rPr>
          <w:rFonts w:ascii="Arial" w:hAnsi="Arial" w:cs="Arial"/>
          <w:sz w:val="24"/>
          <w:szCs w:val="24"/>
          <w:lang w:val="es-ES_tradnl"/>
        </w:rPr>
        <w:t xml:space="preserve"> cumplir con las disposiciones de la Ley y los Lineamientos y Metodología de Evaluación de las obligaciones de transparencia que deben publicar en su portal de internet y en la Plataforma Nacional de Transparencia los </w:t>
      </w:r>
      <w:r w:rsidR="008710F6" w:rsidRPr="00B92499">
        <w:rPr>
          <w:rFonts w:ascii="Arial" w:hAnsi="Arial" w:cs="Arial"/>
          <w:sz w:val="24"/>
          <w:szCs w:val="24"/>
          <w:lang w:val="es-ES_tradnl"/>
        </w:rPr>
        <w:t>sujeto</w:t>
      </w:r>
      <w:r w:rsidR="00813E0D" w:rsidRPr="00B92499">
        <w:rPr>
          <w:rFonts w:ascii="Arial" w:hAnsi="Arial" w:cs="Arial"/>
          <w:sz w:val="24"/>
          <w:szCs w:val="24"/>
          <w:lang w:val="es-ES_tradnl"/>
        </w:rPr>
        <w:t xml:space="preserve">s </w:t>
      </w:r>
      <w:r w:rsidR="008710F6" w:rsidRPr="00B92499">
        <w:rPr>
          <w:rFonts w:ascii="Arial" w:hAnsi="Arial" w:cs="Arial"/>
          <w:sz w:val="24"/>
          <w:szCs w:val="24"/>
          <w:lang w:val="es-ES_tradnl"/>
        </w:rPr>
        <w:t>obligado</w:t>
      </w:r>
      <w:r w:rsidR="00813E0D" w:rsidRPr="00B92499">
        <w:rPr>
          <w:rFonts w:ascii="Arial" w:hAnsi="Arial" w:cs="Arial"/>
          <w:sz w:val="24"/>
          <w:szCs w:val="24"/>
          <w:lang w:val="es-ES_tradnl"/>
        </w:rPr>
        <w:t>s de la Ciudad de México, pues no publica la información por Grupo Parlamentario o Coalición ni desagregada por cada rubro en el que se gastó.</w:t>
      </w:r>
    </w:p>
    <w:p w14:paraId="1BD77FD0" w14:textId="4ECB8398" w:rsidR="00FF3679" w:rsidRPr="00B92499" w:rsidRDefault="00FF3679" w:rsidP="009F64B5">
      <w:pPr>
        <w:pStyle w:val="Prrafodelista"/>
        <w:numPr>
          <w:ilvl w:val="0"/>
          <w:numId w:val="22"/>
        </w:numPr>
        <w:spacing w:before="100" w:beforeAutospacing="1" w:after="100" w:afterAutospacing="1" w:line="360" w:lineRule="auto"/>
        <w:jc w:val="both"/>
        <w:rPr>
          <w:rFonts w:ascii="Arial" w:hAnsi="Arial" w:cs="Arial"/>
          <w:sz w:val="24"/>
          <w:szCs w:val="24"/>
          <w:lang w:val="es-ES_tradnl"/>
        </w:rPr>
      </w:pPr>
      <w:r w:rsidRPr="00B92499">
        <w:rPr>
          <w:rFonts w:ascii="Arial" w:hAnsi="Arial" w:cs="Arial"/>
          <w:sz w:val="24"/>
          <w:szCs w:val="24"/>
          <w:lang w:val="es-ES_tradnl"/>
        </w:rPr>
        <w:t xml:space="preserve">Fracción XX, con un ICP de 87.5%, que establece la publicación de la asignación y destino final de los bienes materiales. El área de oportunidad del </w:t>
      </w:r>
      <w:r w:rsidR="008710F6" w:rsidRPr="00B92499">
        <w:rPr>
          <w:rFonts w:ascii="Arial" w:hAnsi="Arial" w:cs="Arial"/>
          <w:sz w:val="24"/>
          <w:szCs w:val="24"/>
          <w:lang w:val="es-ES_tradnl"/>
        </w:rPr>
        <w:t>sujeto obligado</w:t>
      </w:r>
      <w:r w:rsidRPr="00B92499">
        <w:rPr>
          <w:rFonts w:ascii="Arial" w:hAnsi="Arial" w:cs="Arial"/>
          <w:sz w:val="24"/>
          <w:szCs w:val="24"/>
          <w:lang w:val="es-ES_tradnl"/>
        </w:rPr>
        <w:t xml:space="preserve"> consiste en</w:t>
      </w:r>
      <w:r w:rsidR="00813E0D" w:rsidRPr="00B92499">
        <w:rPr>
          <w:rFonts w:ascii="Arial" w:hAnsi="Arial" w:cs="Arial"/>
          <w:sz w:val="24"/>
          <w:szCs w:val="24"/>
          <w:lang w:val="es-ES_tradnl"/>
        </w:rPr>
        <w:t xml:space="preserve"> homologar la información de su portal institucional con la PNT, donde sí se publica la información en forma correcta, completa y actualizada.</w:t>
      </w:r>
    </w:p>
    <w:p w14:paraId="39DDA816" w14:textId="77777777" w:rsidR="00813E0D" w:rsidRPr="00B92499" w:rsidRDefault="00813E0D" w:rsidP="00813E0D">
      <w:pPr>
        <w:pStyle w:val="Prrafodelista"/>
        <w:spacing w:before="100" w:beforeAutospacing="1" w:after="100" w:afterAutospacing="1" w:line="360" w:lineRule="auto"/>
        <w:ind w:left="360"/>
        <w:jc w:val="both"/>
        <w:rPr>
          <w:rFonts w:ascii="Arial" w:hAnsi="Arial" w:cs="Arial"/>
          <w:sz w:val="24"/>
          <w:szCs w:val="24"/>
          <w:lang w:val="es-ES_tradnl"/>
        </w:rPr>
      </w:pPr>
    </w:p>
    <w:p w14:paraId="268A434B" w14:textId="0B935250" w:rsidR="00323ABF" w:rsidRPr="00B92499" w:rsidRDefault="00323ABF" w:rsidP="00323ABF">
      <w:pPr>
        <w:spacing w:before="100" w:beforeAutospacing="1" w:after="100" w:afterAutospacing="1" w:line="360" w:lineRule="auto"/>
        <w:jc w:val="both"/>
        <w:rPr>
          <w:rFonts w:ascii="Arial" w:hAnsi="Arial" w:cs="Arial"/>
        </w:rPr>
      </w:pPr>
      <w:r w:rsidRPr="00B92499">
        <w:rPr>
          <w:rFonts w:ascii="Arial" w:hAnsi="Arial" w:cs="Arial"/>
        </w:rPr>
        <w:t xml:space="preserve">De igual forma, en </w:t>
      </w:r>
      <w:r w:rsidR="00EE3F6D" w:rsidRPr="00B92499">
        <w:rPr>
          <w:rFonts w:ascii="Arial" w:hAnsi="Arial" w:cs="Arial"/>
        </w:rPr>
        <w:t>16</w:t>
      </w:r>
      <w:r w:rsidRPr="00B92499">
        <w:rPr>
          <w:rFonts w:ascii="Arial" w:hAnsi="Arial" w:cs="Arial"/>
        </w:rPr>
        <w:t xml:space="preserve"> f</w:t>
      </w:r>
      <w:r w:rsidR="00EE3F6D" w:rsidRPr="00B92499">
        <w:rPr>
          <w:rFonts w:ascii="Arial" w:hAnsi="Arial" w:cs="Arial"/>
        </w:rPr>
        <w:t>r</w:t>
      </w:r>
      <w:r w:rsidRPr="00B92499">
        <w:rPr>
          <w:rFonts w:ascii="Arial" w:hAnsi="Arial" w:cs="Arial"/>
        </w:rPr>
        <w:t>acciones del artículo 1</w:t>
      </w:r>
      <w:r w:rsidR="00EE3F6D" w:rsidRPr="00B92499">
        <w:rPr>
          <w:rFonts w:ascii="Arial" w:hAnsi="Arial" w:cs="Arial"/>
        </w:rPr>
        <w:t xml:space="preserve">25 </w:t>
      </w:r>
      <w:r w:rsidRPr="00B92499">
        <w:rPr>
          <w:rFonts w:ascii="Arial" w:hAnsi="Arial" w:cs="Arial"/>
        </w:rPr>
        <w:t>alcanzó un ICP de 100%</w:t>
      </w:r>
    </w:p>
    <w:p w14:paraId="21445F2D" w14:textId="1C588DFF" w:rsidR="00323ABF" w:rsidRPr="00B92499" w:rsidRDefault="00323ABF" w:rsidP="00323ABF">
      <w:pPr>
        <w:spacing w:before="100" w:beforeAutospacing="1" w:after="100" w:afterAutospacing="1" w:line="360" w:lineRule="auto"/>
        <w:jc w:val="both"/>
        <w:rPr>
          <w:rFonts w:ascii="Arial" w:hAnsi="Arial" w:cs="Arial"/>
        </w:rPr>
      </w:pPr>
      <w:r w:rsidRPr="00B92499">
        <w:rPr>
          <w:rFonts w:ascii="Arial" w:hAnsi="Arial" w:cs="Arial"/>
        </w:rPr>
        <w:t>Con el objetivo de mostrar con mayor detalle el ICP de cada fracción del artículo 1</w:t>
      </w:r>
      <w:r w:rsidR="00EE3F6D" w:rsidRPr="00B92499">
        <w:rPr>
          <w:rFonts w:ascii="Arial" w:hAnsi="Arial" w:cs="Arial"/>
        </w:rPr>
        <w:t>25</w:t>
      </w:r>
      <w:r w:rsidR="00490622" w:rsidRPr="00B92499">
        <w:rPr>
          <w:rFonts w:ascii="Arial" w:hAnsi="Arial" w:cs="Arial"/>
        </w:rPr>
        <w:t>,</w:t>
      </w:r>
      <w:r w:rsidRPr="00B92499">
        <w:rPr>
          <w:rFonts w:ascii="Arial" w:hAnsi="Arial" w:cs="Arial"/>
        </w:rPr>
        <w:t xml:space="preserve"> es presentada la siguiente tabla ordenada de forma descendente.</w:t>
      </w:r>
    </w:p>
    <w:tbl>
      <w:tblPr>
        <w:tblW w:w="8931" w:type="dxa"/>
        <w:tblCellMar>
          <w:left w:w="70" w:type="dxa"/>
          <w:right w:w="70" w:type="dxa"/>
        </w:tblCellMar>
        <w:tblLook w:val="04A0" w:firstRow="1" w:lastRow="0" w:firstColumn="1" w:lastColumn="0" w:noHBand="0" w:noVBand="1"/>
      </w:tblPr>
      <w:tblGrid>
        <w:gridCol w:w="974"/>
        <w:gridCol w:w="7183"/>
        <w:gridCol w:w="775"/>
      </w:tblGrid>
      <w:tr w:rsidR="00323ABF" w:rsidRPr="00B92499" w14:paraId="5182E9E8" w14:textId="77777777" w:rsidTr="00EE3F6D">
        <w:trPr>
          <w:trHeight w:val="20"/>
          <w:tblHeader/>
        </w:trPr>
        <w:tc>
          <w:tcPr>
            <w:tcW w:w="8931" w:type="dxa"/>
            <w:gridSpan w:val="3"/>
            <w:tcBorders>
              <w:top w:val="single" w:sz="4" w:space="0" w:color="auto"/>
              <w:left w:val="single" w:sz="4" w:space="0" w:color="auto"/>
              <w:bottom w:val="single" w:sz="4" w:space="0" w:color="auto"/>
              <w:right w:val="single" w:sz="4" w:space="0" w:color="auto"/>
            </w:tcBorders>
            <w:shd w:val="clear" w:color="auto" w:fill="00B0F0"/>
            <w:noWrap/>
            <w:vAlign w:val="center"/>
            <w:hideMark/>
          </w:tcPr>
          <w:p w14:paraId="57040D66" w14:textId="00EB6112" w:rsidR="00323ABF" w:rsidRPr="00B92499" w:rsidRDefault="00323ABF" w:rsidP="00EE3F6D">
            <w:pPr>
              <w:jc w:val="center"/>
              <w:rPr>
                <w:rFonts w:ascii="Arial" w:hAnsi="Arial" w:cs="Arial"/>
                <w:b/>
                <w:bCs/>
                <w:color w:val="000000"/>
                <w:sz w:val="20"/>
                <w:szCs w:val="20"/>
              </w:rPr>
            </w:pPr>
            <w:r w:rsidRPr="00B92499">
              <w:rPr>
                <w:rFonts w:ascii="Arial" w:hAnsi="Arial" w:cs="Arial"/>
                <w:b/>
                <w:bCs/>
                <w:color w:val="000000"/>
                <w:sz w:val="20"/>
                <w:szCs w:val="20"/>
              </w:rPr>
              <w:t>Artículo 1</w:t>
            </w:r>
            <w:r w:rsidR="00EE3F6D" w:rsidRPr="00B92499">
              <w:rPr>
                <w:rFonts w:ascii="Arial" w:hAnsi="Arial" w:cs="Arial"/>
                <w:b/>
                <w:bCs/>
                <w:color w:val="000000"/>
                <w:sz w:val="20"/>
                <w:szCs w:val="20"/>
              </w:rPr>
              <w:t xml:space="preserve">25 </w:t>
            </w:r>
            <w:r w:rsidRPr="00B92499">
              <w:rPr>
                <w:rFonts w:ascii="Arial" w:hAnsi="Arial" w:cs="Arial"/>
                <w:b/>
                <w:bCs/>
                <w:color w:val="000000"/>
                <w:sz w:val="20"/>
                <w:szCs w:val="20"/>
              </w:rPr>
              <w:t xml:space="preserve">de las </w:t>
            </w:r>
            <w:r w:rsidR="008710F6" w:rsidRPr="00B92499">
              <w:rPr>
                <w:rFonts w:ascii="Arial" w:hAnsi="Arial" w:cs="Arial"/>
                <w:b/>
                <w:bCs/>
                <w:color w:val="000000"/>
                <w:sz w:val="20"/>
                <w:szCs w:val="20"/>
              </w:rPr>
              <w:t>obligaciones de transparencia</w:t>
            </w:r>
            <w:r w:rsidRPr="00B92499">
              <w:rPr>
                <w:rFonts w:ascii="Arial" w:hAnsi="Arial" w:cs="Arial"/>
                <w:b/>
                <w:bCs/>
                <w:color w:val="000000"/>
                <w:sz w:val="20"/>
                <w:szCs w:val="20"/>
              </w:rPr>
              <w:t xml:space="preserve"> específicas</w:t>
            </w:r>
          </w:p>
        </w:tc>
      </w:tr>
      <w:tr w:rsidR="00323ABF" w:rsidRPr="00B92499" w14:paraId="114049A9" w14:textId="77777777" w:rsidTr="00EE3F6D">
        <w:trPr>
          <w:trHeight w:val="20"/>
          <w:tblHeader/>
        </w:trPr>
        <w:tc>
          <w:tcPr>
            <w:tcW w:w="0" w:type="auto"/>
            <w:tcBorders>
              <w:top w:val="nil"/>
              <w:left w:val="single" w:sz="4" w:space="0" w:color="auto"/>
              <w:bottom w:val="single" w:sz="4" w:space="0" w:color="auto"/>
              <w:right w:val="single" w:sz="4" w:space="0" w:color="auto"/>
            </w:tcBorders>
            <w:shd w:val="clear" w:color="auto" w:fill="00B0F0"/>
            <w:noWrap/>
            <w:vAlign w:val="center"/>
            <w:hideMark/>
          </w:tcPr>
          <w:p w14:paraId="265439AE" w14:textId="77777777" w:rsidR="00323ABF" w:rsidRPr="00B92499" w:rsidRDefault="00323ABF" w:rsidP="00EE3F6D">
            <w:pPr>
              <w:jc w:val="center"/>
              <w:rPr>
                <w:rFonts w:ascii="Arial" w:hAnsi="Arial" w:cs="Arial"/>
                <w:b/>
                <w:bCs/>
                <w:color w:val="000000"/>
                <w:sz w:val="20"/>
                <w:szCs w:val="20"/>
              </w:rPr>
            </w:pPr>
            <w:r w:rsidRPr="00B92499">
              <w:rPr>
                <w:rFonts w:ascii="Arial" w:hAnsi="Arial" w:cs="Arial"/>
                <w:b/>
                <w:bCs/>
                <w:color w:val="000000"/>
                <w:sz w:val="20"/>
                <w:szCs w:val="20"/>
              </w:rPr>
              <w:t>Fracción</w:t>
            </w:r>
          </w:p>
        </w:tc>
        <w:tc>
          <w:tcPr>
            <w:tcW w:w="0" w:type="auto"/>
            <w:tcBorders>
              <w:top w:val="nil"/>
              <w:left w:val="nil"/>
              <w:bottom w:val="single" w:sz="4" w:space="0" w:color="auto"/>
              <w:right w:val="single" w:sz="4" w:space="0" w:color="auto"/>
            </w:tcBorders>
            <w:shd w:val="clear" w:color="auto" w:fill="00B0F0"/>
            <w:noWrap/>
            <w:vAlign w:val="center"/>
            <w:hideMark/>
          </w:tcPr>
          <w:p w14:paraId="08359E3B" w14:textId="77777777" w:rsidR="00323ABF" w:rsidRPr="00B92499" w:rsidRDefault="00323ABF" w:rsidP="00EE3F6D">
            <w:pPr>
              <w:jc w:val="center"/>
              <w:rPr>
                <w:rFonts w:ascii="Arial" w:hAnsi="Arial" w:cs="Arial"/>
                <w:b/>
                <w:bCs/>
                <w:color w:val="000000"/>
                <w:sz w:val="20"/>
                <w:szCs w:val="20"/>
              </w:rPr>
            </w:pPr>
            <w:r w:rsidRPr="00B92499">
              <w:rPr>
                <w:rFonts w:ascii="Arial" w:hAnsi="Arial" w:cs="Arial"/>
                <w:b/>
                <w:bCs/>
                <w:color w:val="000000"/>
                <w:sz w:val="20"/>
                <w:szCs w:val="20"/>
              </w:rPr>
              <w:t>Resumen de la Fracción</w:t>
            </w:r>
          </w:p>
        </w:tc>
        <w:tc>
          <w:tcPr>
            <w:tcW w:w="1229" w:type="dxa"/>
            <w:tcBorders>
              <w:top w:val="nil"/>
              <w:left w:val="nil"/>
              <w:bottom w:val="single" w:sz="4" w:space="0" w:color="auto"/>
              <w:right w:val="single" w:sz="4" w:space="0" w:color="auto"/>
            </w:tcBorders>
            <w:shd w:val="clear" w:color="auto" w:fill="00B0F0"/>
            <w:vAlign w:val="center"/>
            <w:hideMark/>
          </w:tcPr>
          <w:p w14:paraId="0C0404FE" w14:textId="77777777" w:rsidR="00323ABF" w:rsidRPr="00B92499" w:rsidRDefault="00323ABF" w:rsidP="00EE3F6D">
            <w:pPr>
              <w:jc w:val="center"/>
              <w:rPr>
                <w:rFonts w:ascii="Arial" w:hAnsi="Arial" w:cs="Arial"/>
                <w:b/>
                <w:bCs/>
                <w:color w:val="000000"/>
                <w:sz w:val="20"/>
                <w:szCs w:val="20"/>
              </w:rPr>
            </w:pPr>
            <w:r w:rsidRPr="00B92499">
              <w:rPr>
                <w:rFonts w:ascii="Arial" w:hAnsi="Arial" w:cs="Arial"/>
                <w:b/>
                <w:bCs/>
                <w:color w:val="000000"/>
                <w:sz w:val="20"/>
                <w:szCs w:val="20"/>
              </w:rPr>
              <w:t>ICP</w:t>
            </w:r>
          </w:p>
        </w:tc>
      </w:tr>
      <w:tr w:rsidR="00EE3F6D" w:rsidRPr="00B92499" w14:paraId="05ABCDB0" w14:textId="77777777" w:rsidTr="00EE3F6D">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663D69D" w14:textId="77777777" w:rsidR="00EE3F6D" w:rsidRPr="00B92499" w:rsidRDefault="00EE3F6D">
            <w:pPr>
              <w:jc w:val="center"/>
              <w:rPr>
                <w:rFonts w:ascii="Arial" w:hAnsi="Arial" w:cs="Arial"/>
                <w:color w:val="000000"/>
                <w:sz w:val="20"/>
                <w:szCs w:val="20"/>
              </w:rPr>
            </w:pPr>
            <w:r w:rsidRPr="00B92499">
              <w:rPr>
                <w:rFonts w:ascii="Arial" w:hAnsi="Arial" w:cs="Arial"/>
                <w:color w:val="000000"/>
                <w:sz w:val="20"/>
                <w:szCs w:val="20"/>
              </w:rPr>
              <w:t>XXIX</w:t>
            </w:r>
          </w:p>
        </w:tc>
        <w:tc>
          <w:tcPr>
            <w:tcW w:w="0" w:type="auto"/>
            <w:tcBorders>
              <w:top w:val="nil"/>
              <w:left w:val="nil"/>
              <w:bottom w:val="single" w:sz="4" w:space="0" w:color="auto"/>
              <w:right w:val="single" w:sz="4" w:space="0" w:color="auto"/>
            </w:tcBorders>
            <w:shd w:val="clear" w:color="auto" w:fill="auto"/>
            <w:vAlign w:val="center"/>
            <w:hideMark/>
          </w:tcPr>
          <w:p w14:paraId="2F2D1762" w14:textId="64046465" w:rsidR="00EE3F6D" w:rsidRPr="00B92499" w:rsidRDefault="00EE3F6D" w:rsidP="00EE3F6D">
            <w:pPr>
              <w:jc w:val="both"/>
              <w:rPr>
                <w:rFonts w:ascii="Arial" w:hAnsi="Arial" w:cs="Arial"/>
                <w:color w:val="000000"/>
                <w:sz w:val="20"/>
                <w:szCs w:val="20"/>
              </w:rPr>
            </w:pPr>
            <w:r w:rsidRPr="00B92499">
              <w:rPr>
                <w:rFonts w:ascii="Arial" w:hAnsi="Arial" w:cs="Arial"/>
                <w:color w:val="000000"/>
                <w:sz w:val="20"/>
                <w:szCs w:val="20"/>
              </w:rPr>
              <w:t>El padrón de cabilderos de acuerdo con la normatividad aplicable.</w:t>
            </w:r>
          </w:p>
        </w:tc>
        <w:tc>
          <w:tcPr>
            <w:tcW w:w="1229" w:type="dxa"/>
            <w:tcBorders>
              <w:top w:val="nil"/>
              <w:left w:val="nil"/>
              <w:bottom w:val="single" w:sz="4" w:space="0" w:color="auto"/>
              <w:right w:val="single" w:sz="4" w:space="0" w:color="auto"/>
            </w:tcBorders>
            <w:shd w:val="clear" w:color="auto" w:fill="auto"/>
            <w:vAlign w:val="center"/>
            <w:hideMark/>
          </w:tcPr>
          <w:p w14:paraId="6FE6D5FA" w14:textId="77777777" w:rsidR="00EE3F6D" w:rsidRPr="00B92499" w:rsidRDefault="00EE3F6D" w:rsidP="00EE3F6D">
            <w:pPr>
              <w:jc w:val="center"/>
              <w:rPr>
                <w:rFonts w:ascii="Arial" w:hAnsi="Arial" w:cs="Arial"/>
                <w:color w:val="000000"/>
                <w:sz w:val="20"/>
                <w:szCs w:val="20"/>
              </w:rPr>
            </w:pPr>
            <w:r w:rsidRPr="00B92499">
              <w:rPr>
                <w:rFonts w:ascii="Arial" w:hAnsi="Arial" w:cs="Arial"/>
                <w:color w:val="000000"/>
                <w:sz w:val="20"/>
                <w:szCs w:val="20"/>
              </w:rPr>
              <w:t>100</w:t>
            </w:r>
          </w:p>
        </w:tc>
      </w:tr>
      <w:tr w:rsidR="00EE3F6D" w:rsidRPr="00B92499" w14:paraId="69E24CE0" w14:textId="77777777" w:rsidTr="00EE3F6D">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AFE81C6" w14:textId="77777777" w:rsidR="00EE3F6D" w:rsidRPr="00B92499" w:rsidRDefault="00EE3F6D">
            <w:pPr>
              <w:jc w:val="center"/>
              <w:rPr>
                <w:rFonts w:ascii="Arial" w:hAnsi="Arial" w:cs="Arial"/>
                <w:color w:val="000000"/>
                <w:sz w:val="20"/>
                <w:szCs w:val="20"/>
              </w:rPr>
            </w:pPr>
            <w:r w:rsidRPr="00B92499">
              <w:rPr>
                <w:rFonts w:ascii="Arial" w:hAnsi="Arial" w:cs="Arial"/>
                <w:color w:val="000000"/>
                <w:sz w:val="20"/>
                <w:szCs w:val="20"/>
              </w:rPr>
              <w:t>XIII</w:t>
            </w:r>
          </w:p>
        </w:tc>
        <w:tc>
          <w:tcPr>
            <w:tcW w:w="0" w:type="auto"/>
            <w:tcBorders>
              <w:top w:val="nil"/>
              <w:left w:val="nil"/>
              <w:bottom w:val="single" w:sz="4" w:space="0" w:color="auto"/>
              <w:right w:val="single" w:sz="4" w:space="0" w:color="auto"/>
            </w:tcBorders>
            <w:shd w:val="clear" w:color="auto" w:fill="auto"/>
            <w:vAlign w:val="center"/>
            <w:hideMark/>
          </w:tcPr>
          <w:p w14:paraId="00C5628C" w14:textId="178C5A59" w:rsidR="00EE3F6D" w:rsidRPr="00B92499" w:rsidRDefault="00EE3F6D" w:rsidP="00EE3F6D">
            <w:pPr>
              <w:jc w:val="both"/>
              <w:rPr>
                <w:rFonts w:ascii="Arial" w:hAnsi="Arial" w:cs="Arial"/>
                <w:color w:val="000000"/>
                <w:sz w:val="20"/>
                <w:szCs w:val="20"/>
              </w:rPr>
            </w:pPr>
            <w:r w:rsidRPr="00B92499">
              <w:rPr>
                <w:rFonts w:ascii="Arial" w:hAnsi="Arial" w:cs="Arial"/>
                <w:color w:val="000000"/>
                <w:sz w:val="20"/>
                <w:szCs w:val="20"/>
              </w:rPr>
              <w:t>Solicitudes presentadas de licencias temporales y definitivas.</w:t>
            </w:r>
          </w:p>
        </w:tc>
        <w:tc>
          <w:tcPr>
            <w:tcW w:w="1229" w:type="dxa"/>
            <w:tcBorders>
              <w:top w:val="nil"/>
              <w:left w:val="nil"/>
              <w:bottom w:val="single" w:sz="4" w:space="0" w:color="auto"/>
              <w:right w:val="single" w:sz="4" w:space="0" w:color="auto"/>
            </w:tcBorders>
            <w:shd w:val="clear" w:color="auto" w:fill="auto"/>
            <w:vAlign w:val="center"/>
            <w:hideMark/>
          </w:tcPr>
          <w:p w14:paraId="2F6251A1" w14:textId="77777777" w:rsidR="00EE3F6D" w:rsidRPr="00B92499" w:rsidRDefault="00EE3F6D" w:rsidP="00EE3F6D">
            <w:pPr>
              <w:jc w:val="center"/>
              <w:rPr>
                <w:rFonts w:ascii="Arial" w:hAnsi="Arial" w:cs="Arial"/>
                <w:color w:val="000000"/>
                <w:sz w:val="20"/>
                <w:szCs w:val="20"/>
              </w:rPr>
            </w:pPr>
            <w:r w:rsidRPr="00B92499">
              <w:rPr>
                <w:rFonts w:ascii="Arial" w:hAnsi="Arial" w:cs="Arial"/>
                <w:color w:val="000000"/>
                <w:sz w:val="20"/>
                <w:szCs w:val="20"/>
              </w:rPr>
              <w:t>100</w:t>
            </w:r>
          </w:p>
        </w:tc>
      </w:tr>
      <w:tr w:rsidR="00EE3F6D" w:rsidRPr="00B92499" w14:paraId="6BD9C917" w14:textId="77777777" w:rsidTr="00EE3F6D">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9AC2C58" w14:textId="77777777" w:rsidR="00EE3F6D" w:rsidRPr="00B92499" w:rsidRDefault="00EE3F6D">
            <w:pPr>
              <w:jc w:val="center"/>
              <w:rPr>
                <w:rFonts w:ascii="Arial" w:hAnsi="Arial" w:cs="Arial"/>
                <w:color w:val="000000"/>
                <w:sz w:val="20"/>
                <w:szCs w:val="20"/>
              </w:rPr>
            </w:pPr>
            <w:r w:rsidRPr="00B92499">
              <w:rPr>
                <w:rFonts w:ascii="Arial" w:hAnsi="Arial" w:cs="Arial"/>
                <w:color w:val="000000"/>
                <w:sz w:val="20"/>
                <w:szCs w:val="20"/>
              </w:rPr>
              <w:t>XIV</w:t>
            </w:r>
          </w:p>
        </w:tc>
        <w:tc>
          <w:tcPr>
            <w:tcW w:w="0" w:type="auto"/>
            <w:tcBorders>
              <w:top w:val="nil"/>
              <w:left w:val="nil"/>
              <w:bottom w:val="single" w:sz="4" w:space="0" w:color="auto"/>
              <w:right w:val="single" w:sz="4" w:space="0" w:color="auto"/>
            </w:tcBorders>
            <w:shd w:val="clear" w:color="auto" w:fill="auto"/>
            <w:vAlign w:val="center"/>
            <w:hideMark/>
          </w:tcPr>
          <w:p w14:paraId="4D2DEA9C" w14:textId="7E72D222" w:rsidR="00EE3F6D" w:rsidRPr="00B92499" w:rsidRDefault="00EE3F6D" w:rsidP="00EE3F6D">
            <w:pPr>
              <w:jc w:val="both"/>
              <w:rPr>
                <w:rFonts w:ascii="Arial" w:hAnsi="Arial" w:cs="Arial"/>
                <w:color w:val="000000"/>
                <w:sz w:val="20"/>
                <w:szCs w:val="20"/>
              </w:rPr>
            </w:pPr>
            <w:r w:rsidRPr="00B92499">
              <w:rPr>
                <w:rFonts w:ascii="Arial" w:hAnsi="Arial" w:cs="Arial"/>
                <w:color w:val="000000"/>
                <w:sz w:val="20"/>
                <w:szCs w:val="20"/>
              </w:rPr>
              <w:t>Reconocimientos otorgados por parte del órgano legislativo.</w:t>
            </w:r>
          </w:p>
        </w:tc>
        <w:tc>
          <w:tcPr>
            <w:tcW w:w="1229" w:type="dxa"/>
            <w:tcBorders>
              <w:top w:val="nil"/>
              <w:left w:val="nil"/>
              <w:bottom w:val="single" w:sz="4" w:space="0" w:color="auto"/>
              <w:right w:val="single" w:sz="4" w:space="0" w:color="auto"/>
            </w:tcBorders>
            <w:shd w:val="clear" w:color="auto" w:fill="auto"/>
            <w:vAlign w:val="center"/>
            <w:hideMark/>
          </w:tcPr>
          <w:p w14:paraId="758E36D0" w14:textId="77777777" w:rsidR="00EE3F6D" w:rsidRPr="00B92499" w:rsidRDefault="00EE3F6D" w:rsidP="00EE3F6D">
            <w:pPr>
              <w:jc w:val="center"/>
              <w:rPr>
                <w:rFonts w:ascii="Arial" w:hAnsi="Arial" w:cs="Arial"/>
                <w:color w:val="000000"/>
                <w:sz w:val="20"/>
                <w:szCs w:val="20"/>
              </w:rPr>
            </w:pPr>
            <w:r w:rsidRPr="00B92499">
              <w:rPr>
                <w:rFonts w:ascii="Arial" w:hAnsi="Arial" w:cs="Arial"/>
                <w:color w:val="000000"/>
                <w:sz w:val="20"/>
                <w:szCs w:val="20"/>
              </w:rPr>
              <w:t>100</w:t>
            </w:r>
          </w:p>
        </w:tc>
      </w:tr>
      <w:tr w:rsidR="00EE3F6D" w:rsidRPr="00B92499" w14:paraId="01075BB1" w14:textId="77777777" w:rsidTr="00EE3F6D">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D045731" w14:textId="77777777" w:rsidR="00EE3F6D" w:rsidRPr="00B92499" w:rsidRDefault="00EE3F6D">
            <w:pPr>
              <w:jc w:val="center"/>
              <w:rPr>
                <w:rFonts w:ascii="Arial" w:hAnsi="Arial" w:cs="Arial"/>
                <w:color w:val="000000"/>
                <w:sz w:val="20"/>
                <w:szCs w:val="20"/>
              </w:rPr>
            </w:pPr>
            <w:r w:rsidRPr="00B92499">
              <w:rPr>
                <w:rFonts w:ascii="Arial" w:hAnsi="Arial" w:cs="Arial"/>
                <w:color w:val="000000"/>
                <w:sz w:val="20"/>
                <w:szCs w:val="20"/>
              </w:rPr>
              <w:t>XV</w:t>
            </w:r>
          </w:p>
        </w:tc>
        <w:tc>
          <w:tcPr>
            <w:tcW w:w="0" w:type="auto"/>
            <w:tcBorders>
              <w:top w:val="nil"/>
              <w:left w:val="nil"/>
              <w:bottom w:val="single" w:sz="4" w:space="0" w:color="auto"/>
              <w:right w:val="single" w:sz="4" w:space="0" w:color="auto"/>
            </w:tcBorders>
            <w:shd w:val="clear" w:color="auto" w:fill="auto"/>
            <w:vAlign w:val="center"/>
            <w:hideMark/>
          </w:tcPr>
          <w:p w14:paraId="4A91B290" w14:textId="15F45F56" w:rsidR="00EE3F6D" w:rsidRPr="00B92499" w:rsidRDefault="00EE3F6D" w:rsidP="00EE3F6D">
            <w:pPr>
              <w:jc w:val="both"/>
              <w:rPr>
                <w:rFonts w:ascii="Arial" w:hAnsi="Arial" w:cs="Arial"/>
                <w:color w:val="000000"/>
                <w:sz w:val="20"/>
                <w:szCs w:val="20"/>
              </w:rPr>
            </w:pPr>
            <w:r w:rsidRPr="00B92499">
              <w:rPr>
                <w:rFonts w:ascii="Arial" w:hAnsi="Arial" w:cs="Arial"/>
                <w:color w:val="000000"/>
                <w:sz w:val="20"/>
                <w:szCs w:val="20"/>
              </w:rPr>
              <w:t>Las versiones públicas de la información entregada en las audiencias públicas, comparecencias y en los procedimientos de designación, ratificación, elección, reelección o cualquier otro.</w:t>
            </w:r>
          </w:p>
        </w:tc>
        <w:tc>
          <w:tcPr>
            <w:tcW w:w="1229" w:type="dxa"/>
            <w:tcBorders>
              <w:top w:val="nil"/>
              <w:left w:val="nil"/>
              <w:bottom w:val="single" w:sz="4" w:space="0" w:color="auto"/>
              <w:right w:val="single" w:sz="4" w:space="0" w:color="auto"/>
            </w:tcBorders>
            <w:shd w:val="clear" w:color="auto" w:fill="auto"/>
            <w:vAlign w:val="center"/>
            <w:hideMark/>
          </w:tcPr>
          <w:p w14:paraId="527C2E41" w14:textId="77777777" w:rsidR="00EE3F6D" w:rsidRPr="00B92499" w:rsidRDefault="00EE3F6D" w:rsidP="00EE3F6D">
            <w:pPr>
              <w:jc w:val="center"/>
              <w:rPr>
                <w:rFonts w:ascii="Arial" w:hAnsi="Arial" w:cs="Arial"/>
                <w:color w:val="000000"/>
                <w:sz w:val="20"/>
                <w:szCs w:val="20"/>
              </w:rPr>
            </w:pPr>
            <w:r w:rsidRPr="00B92499">
              <w:rPr>
                <w:rFonts w:ascii="Arial" w:hAnsi="Arial" w:cs="Arial"/>
                <w:color w:val="000000"/>
                <w:sz w:val="20"/>
                <w:szCs w:val="20"/>
              </w:rPr>
              <w:t>100</w:t>
            </w:r>
          </w:p>
        </w:tc>
      </w:tr>
      <w:tr w:rsidR="00EE3F6D" w:rsidRPr="00B92499" w14:paraId="1D0D4AB3" w14:textId="77777777" w:rsidTr="00EE3F6D">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255543E" w14:textId="77777777" w:rsidR="00EE3F6D" w:rsidRPr="00B92499" w:rsidRDefault="00EE3F6D">
            <w:pPr>
              <w:jc w:val="center"/>
              <w:rPr>
                <w:rFonts w:ascii="Arial" w:hAnsi="Arial" w:cs="Arial"/>
                <w:color w:val="000000"/>
                <w:sz w:val="20"/>
                <w:szCs w:val="20"/>
              </w:rPr>
            </w:pPr>
            <w:r w:rsidRPr="00B92499">
              <w:rPr>
                <w:rFonts w:ascii="Arial" w:hAnsi="Arial" w:cs="Arial"/>
                <w:color w:val="000000"/>
                <w:sz w:val="20"/>
                <w:szCs w:val="20"/>
              </w:rPr>
              <w:t>XXI</w:t>
            </w:r>
          </w:p>
        </w:tc>
        <w:tc>
          <w:tcPr>
            <w:tcW w:w="0" w:type="auto"/>
            <w:tcBorders>
              <w:top w:val="nil"/>
              <w:left w:val="nil"/>
              <w:bottom w:val="single" w:sz="4" w:space="0" w:color="auto"/>
              <w:right w:val="single" w:sz="4" w:space="0" w:color="auto"/>
            </w:tcBorders>
            <w:shd w:val="clear" w:color="auto" w:fill="auto"/>
            <w:vAlign w:val="center"/>
            <w:hideMark/>
          </w:tcPr>
          <w:p w14:paraId="6E8D982D" w14:textId="5AFA18D1" w:rsidR="00EE3F6D" w:rsidRPr="00B92499" w:rsidRDefault="00EE3F6D" w:rsidP="00EE3F6D">
            <w:pPr>
              <w:jc w:val="both"/>
              <w:rPr>
                <w:rFonts w:ascii="Arial" w:hAnsi="Arial" w:cs="Arial"/>
                <w:color w:val="000000"/>
                <w:sz w:val="20"/>
                <w:szCs w:val="20"/>
              </w:rPr>
            </w:pPr>
            <w:r w:rsidRPr="00B92499">
              <w:rPr>
                <w:rFonts w:ascii="Arial" w:hAnsi="Arial" w:cs="Arial"/>
                <w:color w:val="000000"/>
                <w:sz w:val="20"/>
                <w:szCs w:val="20"/>
              </w:rPr>
              <w:t>Informe de los viajes oficiales, nacionales y al extranjero, de los Diputados y Diputadas o del personal de las unidades administrativas.</w:t>
            </w:r>
          </w:p>
        </w:tc>
        <w:tc>
          <w:tcPr>
            <w:tcW w:w="1229" w:type="dxa"/>
            <w:tcBorders>
              <w:top w:val="nil"/>
              <w:left w:val="nil"/>
              <w:bottom w:val="single" w:sz="4" w:space="0" w:color="auto"/>
              <w:right w:val="single" w:sz="4" w:space="0" w:color="auto"/>
            </w:tcBorders>
            <w:shd w:val="clear" w:color="auto" w:fill="auto"/>
            <w:vAlign w:val="center"/>
            <w:hideMark/>
          </w:tcPr>
          <w:p w14:paraId="4913F0E5" w14:textId="77777777" w:rsidR="00EE3F6D" w:rsidRPr="00B92499" w:rsidRDefault="00EE3F6D" w:rsidP="00EE3F6D">
            <w:pPr>
              <w:jc w:val="center"/>
              <w:rPr>
                <w:rFonts w:ascii="Arial" w:hAnsi="Arial" w:cs="Arial"/>
                <w:color w:val="000000"/>
                <w:sz w:val="20"/>
                <w:szCs w:val="20"/>
              </w:rPr>
            </w:pPr>
            <w:r w:rsidRPr="00B92499">
              <w:rPr>
                <w:rFonts w:ascii="Arial" w:hAnsi="Arial" w:cs="Arial"/>
                <w:color w:val="000000"/>
                <w:sz w:val="20"/>
                <w:szCs w:val="20"/>
              </w:rPr>
              <w:t>100</w:t>
            </w:r>
          </w:p>
        </w:tc>
      </w:tr>
      <w:tr w:rsidR="00EE3F6D" w:rsidRPr="00B92499" w14:paraId="37E471CA" w14:textId="77777777" w:rsidTr="00EE3F6D">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1F76FC6" w14:textId="77777777" w:rsidR="00EE3F6D" w:rsidRPr="00B92499" w:rsidRDefault="00EE3F6D">
            <w:pPr>
              <w:jc w:val="center"/>
              <w:rPr>
                <w:rFonts w:ascii="Arial" w:hAnsi="Arial" w:cs="Arial"/>
                <w:color w:val="000000"/>
                <w:sz w:val="20"/>
                <w:szCs w:val="20"/>
              </w:rPr>
            </w:pPr>
            <w:r w:rsidRPr="00B92499">
              <w:rPr>
                <w:rFonts w:ascii="Arial" w:hAnsi="Arial" w:cs="Arial"/>
                <w:color w:val="000000"/>
                <w:sz w:val="20"/>
                <w:szCs w:val="20"/>
              </w:rPr>
              <w:t>XXV</w:t>
            </w:r>
          </w:p>
        </w:tc>
        <w:tc>
          <w:tcPr>
            <w:tcW w:w="0" w:type="auto"/>
            <w:tcBorders>
              <w:top w:val="nil"/>
              <w:left w:val="nil"/>
              <w:bottom w:val="single" w:sz="4" w:space="0" w:color="auto"/>
              <w:right w:val="single" w:sz="4" w:space="0" w:color="auto"/>
            </w:tcBorders>
            <w:shd w:val="clear" w:color="auto" w:fill="auto"/>
            <w:vAlign w:val="center"/>
            <w:hideMark/>
          </w:tcPr>
          <w:p w14:paraId="2C87C1FE" w14:textId="4796FB11" w:rsidR="00EE3F6D" w:rsidRPr="00B92499" w:rsidRDefault="00EE3F6D" w:rsidP="00EE3F6D">
            <w:pPr>
              <w:jc w:val="both"/>
              <w:rPr>
                <w:rFonts w:ascii="Arial" w:hAnsi="Arial" w:cs="Arial"/>
                <w:color w:val="000000"/>
                <w:sz w:val="20"/>
                <w:szCs w:val="20"/>
              </w:rPr>
            </w:pPr>
            <w:r w:rsidRPr="00B92499">
              <w:rPr>
                <w:rFonts w:ascii="Arial" w:hAnsi="Arial" w:cs="Arial"/>
                <w:color w:val="000000"/>
                <w:sz w:val="20"/>
                <w:szCs w:val="20"/>
              </w:rPr>
              <w:t>El monto ejercido y detallado de recursos públicos que se reciban para los informes de actividades de cada una de las y los Diputados.</w:t>
            </w:r>
          </w:p>
        </w:tc>
        <w:tc>
          <w:tcPr>
            <w:tcW w:w="1229" w:type="dxa"/>
            <w:tcBorders>
              <w:top w:val="nil"/>
              <w:left w:val="nil"/>
              <w:bottom w:val="single" w:sz="4" w:space="0" w:color="auto"/>
              <w:right w:val="single" w:sz="4" w:space="0" w:color="auto"/>
            </w:tcBorders>
            <w:shd w:val="clear" w:color="auto" w:fill="auto"/>
            <w:vAlign w:val="center"/>
            <w:hideMark/>
          </w:tcPr>
          <w:p w14:paraId="6F29F68D" w14:textId="77777777" w:rsidR="00EE3F6D" w:rsidRPr="00B92499" w:rsidRDefault="00EE3F6D" w:rsidP="00EE3F6D">
            <w:pPr>
              <w:jc w:val="center"/>
              <w:rPr>
                <w:rFonts w:ascii="Arial" w:hAnsi="Arial" w:cs="Arial"/>
                <w:color w:val="000000"/>
                <w:sz w:val="20"/>
                <w:szCs w:val="20"/>
              </w:rPr>
            </w:pPr>
            <w:r w:rsidRPr="00B92499">
              <w:rPr>
                <w:rFonts w:ascii="Arial" w:hAnsi="Arial" w:cs="Arial"/>
                <w:color w:val="000000"/>
                <w:sz w:val="20"/>
                <w:szCs w:val="20"/>
              </w:rPr>
              <w:t>100</w:t>
            </w:r>
          </w:p>
        </w:tc>
      </w:tr>
      <w:tr w:rsidR="00EE3F6D" w:rsidRPr="00B92499" w14:paraId="5A3864BB" w14:textId="77777777" w:rsidTr="00EE3F6D">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1EE21E2" w14:textId="77777777" w:rsidR="00EE3F6D" w:rsidRPr="00B92499" w:rsidRDefault="00EE3F6D">
            <w:pPr>
              <w:jc w:val="center"/>
              <w:rPr>
                <w:rFonts w:ascii="Arial" w:hAnsi="Arial" w:cs="Arial"/>
                <w:color w:val="000000"/>
                <w:sz w:val="20"/>
                <w:szCs w:val="20"/>
              </w:rPr>
            </w:pPr>
            <w:r w:rsidRPr="00B92499">
              <w:rPr>
                <w:rFonts w:ascii="Arial" w:hAnsi="Arial" w:cs="Arial"/>
                <w:color w:val="000000"/>
                <w:sz w:val="20"/>
                <w:szCs w:val="20"/>
              </w:rPr>
              <w:t>XXXI</w:t>
            </w:r>
          </w:p>
        </w:tc>
        <w:tc>
          <w:tcPr>
            <w:tcW w:w="0" w:type="auto"/>
            <w:tcBorders>
              <w:top w:val="nil"/>
              <w:left w:val="nil"/>
              <w:bottom w:val="single" w:sz="4" w:space="0" w:color="auto"/>
              <w:right w:val="single" w:sz="4" w:space="0" w:color="auto"/>
            </w:tcBorders>
            <w:shd w:val="clear" w:color="auto" w:fill="auto"/>
            <w:vAlign w:val="center"/>
            <w:hideMark/>
          </w:tcPr>
          <w:p w14:paraId="3796AA3A" w14:textId="062A9FA9" w:rsidR="00EE3F6D" w:rsidRPr="00B92499" w:rsidRDefault="00EE3F6D" w:rsidP="00EE3F6D">
            <w:pPr>
              <w:jc w:val="both"/>
              <w:rPr>
                <w:rFonts w:ascii="Arial" w:hAnsi="Arial" w:cs="Arial"/>
                <w:color w:val="000000"/>
                <w:sz w:val="20"/>
                <w:szCs w:val="20"/>
              </w:rPr>
            </w:pPr>
            <w:r w:rsidRPr="00B92499">
              <w:rPr>
                <w:rFonts w:ascii="Arial" w:hAnsi="Arial" w:cs="Arial"/>
                <w:color w:val="000000"/>
                <w:sz w:val="20"/>
                <w:szCs w:val="20"/>
              </w:rPr>
              <w:t>La integración del órgano que conduce las sesiones del Pleno, el órgano colegiado de gobierno que dirige el ejercicio de las funciones legislativas, políticas y administrativas del Poder legislativo, así como la Diputación Permanente que entra en funciones en los periodos de receso, indicar de cada uno el periodo de vigencia de dicha integración, especificando fechas.</w:t>
            </w:r>
          </w:p>
        </w:tc>
        <w:tc>
          <w:tcPr>
            <w:tcW w:w="1229" w:type="dxa"/>
            <w:tcBorders>
              <w:top w:val="nil"/>
              <w:left w:val="nil"/>
              <w:bottom w:val="single" w:sz="4" w:space="0" w:color="auto"/>
              <w:right w:val="single" w:sz="4" w:space="0" w:color="auto"/>
            </w:tcBorders>
            <w:shd w:val="clear" w:color="auto" w:fill="auto"/>
            <w:vAlign w:val="center"/>
            <w:hideMark/>
          </w:tcPr>
          <w:p w14:paraId="2A0D45B8" w14:textId="77777777" w:rsidR="00EE3F6D" w:rsidRPr="00B92499" w:rsidRDefault="00EE3F6D" w:rsidP="00EE3F6D">
            <w:pPr>
              <w:jc w:val="center"/>
              <w:rPr>
                <w:rFonts w:ascii="Arial" w:hAnsi="Arial" w:cs="Arial"/>
                <w:color w:val="000000"/>
                <w:sz w:val="20"/>
                <w:szCs w:val="20"/>
              </w:rPr>
            </w:pPr>
            <w:r w:rsidRPr="00B92499">
              <w:rPr>
                <w:rFonts w:ascii="Arial" w:hAnsi="Arial" w:cs="Arial"/>
                <w:color w:val="000000"/>
                <w:sz w:val="20"/>
                <w:szCs w:val="20"/>
              </w:rPr>
              <w:t>100</w:t>
            </w:r>
          </w:p>
        </w:tc>
      </w:tr>
      <w:tr w:rsidR="00EE3F6D" w:rsidRPr="00B92499" w14:paraId="592C2DB1" w14:textId="77777777" w:rsidTr="00EE3F6D">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07D3F50" w14:textId="77777777" w:rsidR="00EE3F6D" w:rsidRPr="00B92499" w:rsidRDefault="00EE3F6D">
            <w:pPr>
              <w:jc w:val="center"/>
              <w:rPr>
                <w:rFonts w:ascii="Arial" w:hAnsi="Arial" w:cs="Arial"/>
                <w:color w:val="000000"/>
                <w:sz w:val="20"/>
                <w:szCs w:val="20"/>
              </w:rPr>
            </w:pPr>
            <w:r w:rsidRPr="00B92499">
              <w:rPr>
                <w:rFonts w:ascii="Arial" w:hAnsi="Arial" w:cs="Arial"/>
                <w:color w:val="000000"/>
                <w:sz w:val="20"/>
                <w:szCs w:val="20"/>
              </w:rPr>
              <w:t>II</w:t>
            </w:r>
          </w:p>
        </w:tc>
        <w:tc>
          <w:tcPr>
            <w:tcW w:w="0" w:type="auto"/>
            <w:tcBorders>
              <w:top w:val="nil"/>
              <w:left w:val="nil"/>
              <w:bottom w:val="single" w:sz="4" w:space="0" w:color="auto"/>
              <w:right w:val="single" w:sz="4" w:space="0" w:color="auto"/>
            </w:tcBorders>
            <w:shd w:val="clear" w:color="auto" w:fill="auto"/>
            <w:vAlign w:val="center"/>
            <w:hideMark/>
          </w:tcPr>
          <w:p w14:paraId="1FF2B0B0" w14:textId="2C3BB9C3" w:rsidR="00EE3F6D" w:rsidRPr="00B92499" w:rsidRDefault="00EE3F6D" w:rsidP="00EE3F6D">
            <w:pPr>
              <w:jc w:val="both"/>
              <w:rPr>
                <w:rFonts w:ascii="Arial" w:hAnsi="Arial" w:cs="Arial"/>
                <w:color w:val="000000"/>
                <w:sz w:val="20"/>
                <w:szCs w:val="20"/>
              </w:rPr>
            </w:pPr>
            <w:r w:rsidRPr="00B92499">
              <w:rPr>
                <w:rFonts w:ascii="Arial" w:hAnsi="Arial" w:cs="Arial"/>
                <w:color w:val="000000"/>
                <w:sz w:val="20"/>
                <w:szCs w:val="20"/>
              </w:rPr>
              <w:t>Agenda legislativa.</w:t>
            </w:r>
          </w:p>
        </w:tc>
        <w:tc>
          <w:tcPr>
            <w:tcW w:w="1229" w:type="dxa"/>
            <w:tcBorders>
              <w:top w:val="nil"/>
              <w:left w:val="nil"/>
              <w:bottom w:val="single" w:sz="4" w:space="0" w:color="auto"/>
              <w:right w:val="single" w:sz="4" w:space="0" w:color="auto"/>
            </w:tcBorders>
            <w:shd w:val="clear" w:color="auto" w:fill="auto"/>
            <w:vAlign w:val="center"/>
            <w:hideMark/>
          </w:tcPr>
          <w:p w14:paraId="3C71147F" w14:textId="77777777" w:rsidR="00EE3F6D" w:rsidRPr="00B92499" w:rsidRDefault="00EE3F6D" w:rsidP="00EE3F6D">
            <w:pPr>
              <w:jc w:val="center"/>
              <w:rPr>
                <w:rFonts w:ascii="Arial" w:hAnsi="Arial" w:cs="Arial"/>
                <w:color w:val="000000"/>
                <w:sz w:val="20"/>
                <w:szCs w:val="20"/>
              </w:rPr>
            </w:pPr>
            <w:r w:rsidRPr="00B92499">
              <w:rPr>
                <w:rFonts w:ascii="Arial" w:hAnsi="Arial" w:cs="Arial"/>
                <w:color w:val="000000"/>
                <w:sz w:val="20"/>
                <w:szCs w:val="20"/>
              </w:rPr>
              <w:t>100</w:t>
            </w:r>
          </w:p>
        </w:tc>
      </w:tr>
      <w:tr w:rsidR="00EE3F6D" w:rsidRPr="00B92499" w14:paraId="079D8CCF" w14:textId="77777777" w:rsidTr="00EE3F6D">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EE1CC2D" w14:textId="77777777" w:rsidR="00EE3F6D" w:rsidRPr="00B92499" w:rsidRDefault="00EE3F6D">
            <w:pPr>
              <w:jc w:val="center"/>
              <w:rPr>
                <w:rFonts w:ascii="Arial" w:hAnsi="Arial" w:cs="Arial"/>
                <w:color w:val="000000"/>
                <w:sz w:val="20"/>
                <w:szCs w:val="20"/>
              </w:rPr>
            </w:pPr>
            <w:r w:rsidRPr="00B92499">
              <w:rPr>
                <w:rFonts w:ascii="Arial" w:hAnsi="Arial" w:cs="Arial"/>
                <w:color w:val="000000"/>
                <w:sz w:val="20"/>
                <w:szCs w:val="20"/>
              </w:rPr>
              <w:lastRenderedPageBreak/>
              <w:t>X</w:t>
            </w:r>
          </w:p>
        </w:tc>
        <w:tc>
          <w:tcPr>
            <w:tcW w:w="0" w:type="auto"/>
            <w:tcBorders>
              <w:top w:val="nil"/>
              <w:left w:val="nil"/>
              <w:bottom w:val="single" w:sz="4" w:space="0" w:color="auto"/>
              <w:right w:val="single" w:sz="4" w:space="0" w:color="auto"/>
            </w:tcBorders>
            <w:shd w:val="clear" w:color="auto" w:fill="auto"/>
            <w:vAlign w:val="center"/>
            <w:hideMark/>
          </w:tcPr>
          <w:p w14:paraId="07628AE8" w14:textId="0A523D7E" w:rsidR="00EE3F6D" w:rsidRPr="00B92499" w:rsidRDefault="00EE3F6D" w:rsidP="00EE3F6D">
            <w:pPr>
              <w:jc w:val="both"/>
              <w:rPr>
                <w:rFonts w:ascii="Arial" w:hAnsi="Arial" w:cs="Arial"/>
                <w:color w:val="000000"/>
                <w:sz w:val="20"/>
                <w:szCs w:val="20"/>
              </w:rPr>
            </w:pPr>
            <w:r w:rsidRPr="00B92499">
              <w:rPr>
                <w:rFonts w:ascii="Arial" w:hAnsi="Arial" w:cs="Arial"/>
                <w:color w:val="000000"/>
                <w:sz w:val="20"/>
                <w:szCs w:val="20"/>
              </w:rPr>
              <w:t>Las iniciativas de Ley o Decretos, Puntos de Acuerdo, la fecha en que se recibió, las Comisiones a las que se turnaron, los dictámenes que, en su caso, recaigan sobre las mismas.</w:t>
            </w:r>
          </w:p>
        </w:tc>
        <w:tc>
          <w:tcPr>
            <w:tcW w:w="1229" w:type="dxa"/>
            <w:tcBorders>
              <w:top w:val="nil"/>
              <w:left w:val="nil"/>
              <w:bottom w:val="single" w:sz="4" w:space="0" w:color="auto"/>
              <w:right w:val="single" w:sz="4" w:space="0" w:color="auto"/>
            </w:tcBorders>
            <w:shd w:val="clear" w:color="auto" w:fill="auto"/>
            <w:vAlign w:val="center"/>
            <w:hideMark/>
          </w:tcPr>
          <w:p w14:paraId="6A778E5E" w14:textId="77777777" w:rsidR="00EE3F6D" w:rsidRPr="00B92499" w:rsidRDefault="00EE3F6D" w:rsidP="00EE3F6D">
            <w:pPr>
              <w:jc w:val="center"/>
              <w:rPr>
                <w:rFonts w:ascii="Arial" w:hAnsi="Arial" w:cs="Arial"/>
                <w:color w:val="000000"/>
                <w:sz w:val="20"/>
                <w:szCs w:val="20"/>
              </w:rPr>
            </w:pPr>
            <w:r w:rsidRPr="00B92499">
              <w:rPr>
                <w:rFonts w:ascii="Arial" w:hAnsi="Arial" w:cs="Arial"/>
                <w:color w:val="000000"/>
                <w:sz w:val="20"/>
                <w:szCs w:val="20"/>
              </w:rPr>
              <w:t>100</w:t>
            </w:r>
          </w:p>
        </w:tc>
      </w:tr>
      <w:tr w:rsidR="00EE3F6D" w:rsidRPr="00B92499" w14:paraId="0A240BD5" w14:textId="77777777" w:rsidTr="00EE3F6D">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22FA0D0" w14:textId="77777777" w:rsidR="00EE3F6D" w:rsidRPr="00B92499" w:rsidRDefault="00EE3F6D">
            <w:pPr>
              <w:jc w:val="center"/>
              <w:rPr>
                <w:rFonts w:ascii="Arial" w:hAnsi="Arial" w:cs="Arial"/>
                <w:color w:val="000000"/>
                <w:sz w:val="20"/>
                <w:szCs w:val="20"/>
              </w:rPr>
            </w:pPr>
            <w:r w:rsidRPr="00B92499">
              <w:rPr>
                <w:rFonts w:ascii="Arial" w:hAnsi="Arial" w:cs="Arial"/>
                <w:color w:val="000000"/>
                <w:sz w:val="20"/>
                <w:szCs w:val="20"/>
              </w:rPr>
              <w:t>XI</w:t>
            </w:r>
          </w:p>
        </w:tc>
        <w:tc>
          <w:tcPr>
            <w:tcW w:w="0" w:type="auto"/>
            <w:tcBorders>
              <w:top w:val="nil"/>
              <w:left w:val="nil"/>
              <w:bottom w:val="single" w:sz="4" w:space="0" w:color="auto"/>
              <w:right w:val="single" w:sz="4" w:space="0" w:color="auto"/>
            </w:tcBorders>
            <w:shd w:val="clear" w:color="auto" w:fill="auto"/>
            <w:vAlign w:val="center"/>
            <w:hideMark/>
          </w:tcPr>
          <w:p w14:paraId="38392D92" w14:textId="100DC179" w:rsidR="00EE3F6D" w:rsidRPr="00B92499" w:rsidRDefault="00EE3F6D" w:rsidP="00EE3F6D">
            <w:pPr>
              <w:jc w:val="both"/>
              <w:rPr>
                <w:rFonts w:ascii="Arial" w:hAnsi="Arial" w:cs="Arial"/>
                <w:color w:val="000000"/>
                <w:sz w:val="20"/>
                <w:szCs w:val="20"/>
              </w:rPr>
            </w:pPr>
            <w:r w:rsidRPr="00B92499">
              <w:rPr>
                <w:rFonts w:ascii="Arial" w:hAnsi="Arial" w:cs="Arial"/>
                <w:color w:val="000000"/>
                <w:sz w:val="20"/>
                <w:szCs w:val="20"/>
              </w:rPr>
              <w:t>Las Leyes, Decretos y Acuerdos aprobados por el Poder Legislativo de la Ciudad de México o por la Diputación Permanente.</w:t>
            </w:r>
          </w:p>
        </w:tc>
        <w:tc>
          <w:tcPr>
            <w:tcW w:w="1229" w:type="dxa"/>
            <w:tcBorders>
              <w:top w:val="nil"/>
              <w:left w:val="nil"/>
              <w:bottom w:val="single" w:sz="4" w:space="0" w:color="auto"/>
              <w:right w:val="single" w:sz="4" w:space="0" w:color="auto"/>
            </w:tcBorders>
            <w:shd w:val="clear" w:color="auto" w:fill="auto"/>
            <w:vAlign w:val="center"/>
            <w:hideMark/>
          </w:tcPr>
          <w:p w14:paraId="049603FF" w14:textId="77777777" w:rsidR="00EE3F6D" w:rsidRPr="00B92499" w:rsidRDefault="00EE3F6D" w:rsidP="00EE3F6D">
            <w:pPr>
              <w:jc w:val="center"/>
              <w:rPr>
                <w:rFonts w:ascii="Arial" w:hAnsi="Arial" w:cs="Arial"/>
                <w:color w:val="000000"/>
                <w:sz w:val="20"/>
                <w:szCs w:val="20"/>
              </w:rPr>
            </w:pPr>
            <w:r w:rsidRPr="00B92499">
              <w:rPr>
                <w:rFonts w:ascii="Arial" w:hAnsi="Arial" w:cs="Arial"/>
                <w:color w:val="000000"/>
                <w:sz w:val="20"/>
                <w:szCs w:val="20"/>
              </w:rPr>
              <w:t>100</w:t>
            </w:r>
          </w:p>
        </w:tc>
      </w:tr>
      <w:tr w:rsidR="00EE3F6D" w:rsidRPr="00B92499" w14:paraId="02243025" w14:textId="77777777" w:rsidTr="00EE3F6D">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3E694B7" w14:textId="77777777" w:rsidR="00EE3F6D" w:rsidRPr="00B92499" w:rsidRDefault="00EE3F6D">
            <w:pPr>
              <w:jc w:val="center"/>
              <w:rPr>
                <w:rFonts w:ascii="Arial" w:hAnsi="Arial" w:cs="Arial"/>
                <w:color w:val="000000"/>
                <w:sz w:val="20"/>
                <w:szCs w:val="20"/>
              </w:rPr>
            </w:pPr>
            <w:r w:rsidRPr="00B92499">
              <w:rPr>
                <w:rFonts w:ascii="Arial" w:hAnsi="Arial" w:cs="Arial"/>
                <w:color w:val="000000"/>
                <w:sz w:val="20"/>
                <w:szCs w:val="20"/>
              </w:rPr>
              <w:t>XVII</w:t>
            </w:r>
          </w:p>
        </w:tc>
        <w:tc>
          <w:tcPr>
            <w:tcW w:w="0" w:type="auto"/>
            <w:tcBorders>
              <w:top w:val="nil"/>
              <w:left w:val="nil"/>
              <w:bottom w:val="single" w:sz="4" w:space="0" w:color="auto"/>
              <w:right w:val="single" w:sz="4" w:space="0" w:color="auto"/>
            </w:tcBorders>
            <w:shd w:val="clear" w:color="auto" w:fill="auto"/>
            <w:vAlign w:val="center"/>
            <w:hideMark/>
          </w:tcPr>
          <w:p w14:paraId="5FE3FC02" w14:textId="3FA56B92" w:rsidR="00EE3F6D" w:rsidRPr="00B92499" w:rsidRDefault="00EE3F6D" w:rsidP="00EE3F6D">
            <w:pPr>
              <w:jc w:val="both"/>
              <w:rPr>
                <w:rFonts w:ascii="Arial" w:hAnsi="Arial" w:cs="Arial"/>
                <w:color w:val="000000"/>
                <w:sz w:val="20"/>
                <w:szCs w:val="20"/>
              </w:rPr>
            </w:pPr>
            <w:r w:rsidRPr="00B92499">
              <w:rPr>
                <w:rFonts w:ascii="Arial" w:hAnsi="Arial" w:cs="Arial"/>
                <w:color w:val="000000"/>
                <w:sz w:val="20"/>
                <w:szCs w:val="20"/>
              </w:rPr>
              <w:t>El informe trimestral del ejercicio presupuestal del uso y destino de los recursos financieros de los Órganos de Gobierno, Comisiones, Comités, Grupos y fracciones Parlamentarios y centros de estudio u órganos de investigación.</w:t>
            </w:r>
          </w:p>
        </w:tc>
        <w:tc>
          <w:tcPr>
            <w:tcW w:w="1229" w:type="dxa"/>
            <w:tcBorders>
              <w:top w:val="nil"/>
              <w:left w:val="nil"/>
              <w:bottom w:val="single" w:sz="4" w:space="0" w:color="auto"/>
              <w:right w:val="single" w:sz="4" w:space="0" w:color="auto"/>
            </w:tcBorders>
            <w:shd w:val="clear" w:color="auto" w:fill="auto"/>
            <w:vAlign w:val="center"/>
            <w:hideMark/>
          </w:tcPr>
          <w:p w14:paraId="4847B629" w14:textId="77777777" w:rsidR="00EE3F6D" w:rsidRPr="00B92499" w:rsidRDefault="00EE3F6D" w:rsidP="00EE3F6D">
            <w:pPr>
              <w:jc w:val="center"/>
              <w:rPr>
                <w:rFonts w:ascii="Arial" w:hAnsi="Arial" w:cs="Arial"/>
                <w:color w:val="000000"/>
                <w:sz w:val="20"/>
                <w:szCs w:val="20"/>
              </w:rPr>
            </w:pPr>
            <w:r w:rsidRPr="00B92499">
              <w:rPr>
                <w:rFonts w:ascii="Arial" w:hAnsi="Arial" w:cs="Arial"/>
                <w:color w:val="000000"/>
                <w:sz w:val="20"/>
                <w:szCs w:val="20"/>
              </w:rPr>
              <w:t>100</w:t>
            </w:r>
          </w:p>
        </w:tc>
      </w:tr>
      <w:tr w:rsidR="00EE3F6D" w:rsidRPr="00B92499" w14:paraId="350BC50D" w14:textId="77777777" w:rsidTr="00EE3F6D">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157A879" w14:textId="77777777" w:rsidR="00EE3F6D" w:rsidRPr="00B92499" w:rsidRDefault="00EE3F6D">
            <w:pPr>
              <w:jc w:val="center"/>
              <w:rPr>
                <w:rFonts w:ascii="Arial" w:hAnsi="Arial" w:cs="Arial"/>
                <w:color w:val="000000"/>
                <w:sz w:val="20"/>
                <w:szCs w:val="20"/>
              </w:rPr>
            </w:pPr>
            <w:r w:rsidRPr="00B92499">
              <w:rPr>
                <w:rFonts w:ascii="Arial" w:hAnsi="Arial" w:cs="Arial"/>
                <w:color w:val="000000"/>
                <w:sz w:val="20"/>
                <w:szCs w:val="20"/>
              </w:rPr>
              <w:t>XIX</w:t>
            </w:r>
          </w:p>
        </w:tc>
        <w:tc>
          <w:tcPr>
            <w:tcW w:w="0" w:type="auto"/>
            <w:tcBorders>
              <w:top w:val="nil"/>
              <w:left w:val="nil"/>
              <w:bottom w:val="single" w:sz="4" w:space="0" w:color="auto"/>
              <w:right w:val="single" w:sz="4" w:space="0" w:color="auto"/>
            </w:tcBorders>
            <w:shd w:val="clear" w:color="auto" w:fill="auto"/>
            <w:vAlign w:val="center"/>
            <w:hideMark/>
          </w:tcPr>
          <w:p w14:paraId="5AE70A2A" w14:textId="481C8DD1" w:rsidR="00EE3F6D" w:rsidRPr="00B92499" w:rsidRDefault="00EE3F6D" w:rsidP="00EE3F6D">
            <w:pPr>
              <w:jc w:val="both"/>
              <w:rPr>
                <w:rFonts w:ascii="Arial" w:hAnsi="Arial" w:cs="Arial"/>
                <w:color w:val="000000"/>
                <w:sz w:val="20"/>
                <w:szCs w:val="20"/>
              </w:rPr>
            </w:pPr>
            <w:r w:rsidRPr="00B92499">
              <w:rPr>
                <w:rFonts w:ascii="Arial" w:hAnsi="Arial" w:cs="Arial"/>
                <w:color w:val="000000"/>
                <w:sz w:val="20"/>
                <w:szCs w:val="20"/>
              </w:rPr>
              <w:t>Metas y objetivos de las unidades administrativas y del órgano de control interno, así como un informe trimestral de su cumplimiento.</w:t>
            </w:r>
          </w:p>
        </w:tc>
        <w:tc>
          <w:tcPr>
            <w:tcW w:w="1229" w:type="dxa"/>
            <w:tcBorders>
              <w:top w:val="nil"/>
              <w:left w:val="nil"/>
              <w:bottom w:val="single" w:sz="4" w:space="0" w:color="auto"/>
              <w:right w:val="single" w:sz="4" w:space="0" w:color="auto"/>
            </w:tcBorders>
            <w:shd w:val="clear" w:color="auto" w:fill="auto"/>
            <w:vAlign w:val="center"/>
            <w:hideMark/>
          </w:tcPr>
          <w:p w14:paraId="6C7DE6CA" w14:textId="77777777" w:rsidR="00EE3F6D" w:rsidRPr="00B92499" w:rsidRDefault="00EE3F6D" w:rsidP="00EE3F6D">
            <w:pPr>
              <w:jc w:val="center"/>
              <w:rPr>
                <w:rFonts w:ascii="Arial" w:hAnsi="Arial" w:cs="Arial"/>
                <w:color w:val="000000"/>
                <w:sz w:val="20"/>
                <w:szCs w:val="20"/>
              </w:rPr>
            </w:pPr>
            <w:r w:rsidRPr="00B92499">
              <w:rPr>
                <w:rFonts w:ascii="Arial" w:hAnsi="Arial" w:cs="Arial"/>
                <w:color w:val="000000"/>
                <w:sz w:val="20"/>
                <w:szCs w:val="20"/>
              </w:rPr>
              <w:t>100</w:t>
            </w:r>
          </w:p>
        </w:tc>
      </w:tr>
      <w:tr w:rsidR="00EE3F6D" w:rsidRPr="00B92499" w14:paraId="7C4680D9" w14:textId="77777777" w:rsidTr="00EE3F6D">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F934C55" w14:textId="77777777" w:rsidR="00EE3F6D" w:rsidRPr="00B92499" w:rsidRDefault="00EE3F6D">
            <w:pPr>
              <w:jc w:val="center"/>
              <w:rPr>
                <w:rFonts w:ascii="Arial" w:hAnsi="Arial" w:cs="Arial"/>
                <w:color w:val="000000"/>
                <w:sz w:val="20"/>
                <w:szCs w:val="20"/>
              </w:rPr>
            </w:pPr>
            <w:r w:rsidRPr="00B92499">
              <w:rPr>
                <w:rFonts w:ascii="Arial" w:hAnsi="Arial" w:cs="Arial"/>
                <w:color w:val="000000"/>
                <w:sz w:val="20"/>
                <w:szCs w:val="20"/>
              </w:rPr>
              <w:t>XXVII</w:t>
            </w:r>
          </w:p>
        </w:tc>
        <w:tc>
          <w:tcPr>
            <w:tcW w:w="0" w:type="auto"/>
            <w:tcBorders>
              <w:top w:val="nil"/>
              <w:left w:val="nil"/>
              <w:bottom w:val="single" w:sz="4" w:space="0" w:color="auto"/>
              <w:right w:val="single" w:sz="4" w:space="0" w:color="auto"/>
            </w:tcBorders>
            <w:shd w:val="clear" w:color="auto" w:fill="auto"/>
            <w:vAlign w:val="center"/>
            <w:hideMark/>
          </w:tcPr>
          <w:p w14:paraId="70E40CBA" w14:textId="0A79533C" w:rsidR="00EE3F6D" w:rsidRPr="00B92499" w:rsidRDefault="00EE3F6D" w:rsidP="00EE3F6D">
            <w:pPr>
              <w:jc w:val="both"/>
              <w:rPr>
                <w:rFonts w:ascii="Arial" w:hAnsi="Arial" w:cs="Arial"/>
                <w:color w:val="000000"/>
                <w:sz w:val="20"/>
                <w:szCs w:val="20"/>
              </w:rPr>
            </w:pPr>
            <w:r w:rsidRPr="00B92499">
              <w:rPr>
                <w:rFonts w:ascii="Arial" w:hAnsi="Arial" w:cs="Arial"/>
                <w:color w:val="000000"/>
                <w:sz w:val="20"/>
                <w:szCs w:val="20"/>
              </w:rPr>
              <w:t>La dirección donde se encuentre ubicado el Módulo de Orientación y Quejas Ciudadanas de cada uno de las y los Diputados, así como el tipo y número de gestiones que presten.</w:t>
            </w:r>
          </w:p>
        </w:tc>
        <w:tc>
          <w:tcPr>
            <w:tcW w:w="1229" w:type="dxa"/>
            <w:tcBorders>
              <w:top w:val="nil"/>
              <w:left w:val="nil"/>
              <w:bottom w:val="single" w:sz="4" w:space="0" w:color="auto"/>
              <w:right w:val="single" w:sz="4" w:space="0" w:color="auto"/>
            </w:tcBorders>
            <w:shd w:val="clear" w:color="auto" w:fill="auto"/>
            <w:vAlign w:val="center"/>
            <w:hideMark/>
          </w:tcPr>
          <w:p w14:paraId="77C93015" w14:textId="77777777" w:rsidR="00EE3F6D" w:rsidRPr="00B92499" w:rsidRDefault="00EE3F6D" w:rsidP="00EE3F6D">
            <w:pPr>
              <w:jc w:val="center"/>
              <w:rPr>
                <w:rFonts w:ascii="Arial" w:hAnsi="Arial" w:cs="Arial"/>
                <w:color w:val="000000"/>
                <w:sz w:val="20"/>
                <w:szCs w:val="20"/>
              </w:rPr>
            </w:pPr>
            <w:r w:rsidRPr="00B92499">
              <w:rPr>
                <w:rFonts w:ascii="Arial" w:hAnsi="Arial" w:cs="Arial"/>
                <w:color w:val="000000"/>
                <w:sz w:val="20"/>
                <w:szCs w:val="20"/>
              </w:rPr>
              <w:t>100</w:t>
            </w:r>
          </w:p>
        </w:tc>
      </w:tr>
      <w:tr w:rsidR="00EE3F6D" w:rsidRPr="00B92499" w14:paraId="4B047F5E" w14:textId="77777777" w:rsidTr="00EE3F6D">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7CA0256" w14:textId="77777777" w:rsidR="00EE3F6D" w:rsidRPr="00B92499" w:rsidRDefault="00EE3F6D">
            <w:pPr>
              <w:jc w:val="center"/>
              <w:rPr>
                <w:rFonts w:ascii="Arial" w:hAnsi="Arial" w:cs="Arial"/>
                <w:color w:val="000000"/>
                <w:sz w:val="20"/>
                <w:szCs w:val="20"/>
              </w:rPr>
            </w:pPr>
            <w:r w:rsidRPr="00B92499">
              <w:rPr>
                <w:rFonts w:ascii="Arial" w:hAnsi="Arial" w:cs="Arial"/>
                <w:color w:val="000000"/>
                <w:sz w:val="20"/>
                <w:szCs w:val="20"/>
              </w:rPr>
              <w:t>XXX</w:t>
            </w:r>
          </w:p>
        </w:tc>
        <w:tc>
          <w:tcPr>
            <w:tcW w:w="0" w:type="auto"/>
            <w:tcBorders>
              <w:top w:val="nil"/>
              <w:left w:val="nil"/>
              <w:bottom w:val="single" w:sz="4" w:space="0" w:color="auto"/>
              <w:right w:val="single" w:sz="4" w:space="0" w:color="auto"/>
            </w:tcBorders>
            <w:shd w:val="clear" w:color="auto" w:fill="auto"/>
            <w:vAlign w:val="center"/>
            <w:hideMark/>
          </w:tcPr>
          <w:p w14:paraId="5BC880AC" w14:textId="6B7AE323" w:rsidR="00EE3F6D" w:rsidRPr="00B92499" w:rsidRDefault="00EE3F6D" w:rsidP="00EE3F6D">
            <w:pPr>
              <w:jc w:val="both"/>
              <w:rPr>
                <w:rFonts w:ascii="Arial" w:hAnsi="Arial" w:cs="Arial"/>
                <w:color w:val="000000"/>
                <w:sz w:val="20"/>
                <w:szCs w:val="20"/>
              </w:rPr>
            </w:pPr>
            <w:r w:rsidRPr="00B92499">
              <w:rPr>
                <w:rFonts w:ascii="Arial" w:hAnsi="Arial" w:cs="Arial"/>
                <w:color w:val="000000"/>
                <w:sz w:val="20"/>
                <w:szCs w:val="20"/>
              </w:rPr>
              <w:t>Las resoluciones definitivas sobre juicios políticos y declaratorios de procedencia.</w:t>
            </w:r>
          </w:p>
        </w:tc>
        <w:tc>
          <w:tcPr>
            <w:tcW w:w="1229" w:type="dxa"/>
            <w:tcBorders>
              <w:top w:val="nil"/>
              <w:left w:val="nil"/>
              <w:bottom w:val="single" w:sz="4" w:space="0" w:color="auto"/>
              <w:right w:val="single" w:sz="4" w:space="0" w:color="auto"/>
            </w:tcBorders>
            <w:shd w:val="clear" w:color="auto" w:fill="auto"/>
            <w:vAlign w:val="center"/>
            <w:hideMark/>
          </w:tcPr>
          <w:p w14:paraId="35FD21BF" w14:textId="77777777" w:rsidR="00EE3F6D" w:rsidRPr="00B92499" w:rsidRDefault="00EE3F6D" w:rsidP="00EE3F6D">
            <w:pPr>
              <w:jc w:val="center"/>
              <w:rPr>
                <w:rFonts w:ascii="Arial" w:hAnsi="Arial" w:cs="Arial"/>
                <w:color w:val="000000"/>
                <w:sz w:val="20"/>
                <w:szCs w:val="20"/>
              </w:rPr>
            </w:pPr>
            <w:r w:rsidRPr="00B92499">
              <w:rPr>
                <w:rFonts w:ascii="Arial" w:hAnsi="Arial" w:cs="Arial"/>
                <w:color w:val="000000"/>
                <w:sz w:val="20"/>
                <w:szCs w:val="20"/>
              </w:rPr>
              <w:t>100</w:t>
            </w:r>
          </w:p>
        </w:tc>
      </w:tr>
      <w:tr w:rsidR="00EE3F6D" w:rsidRPr="00B92499" w14:paraId="2770CD38" w14:textId="77777777" w:rsidTr="00EE3F6D">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69710F8" w14:textId="77777777" w:rsidR="00EE3F6D" w:rsidRPr="00B92499" w:rsidRDefault="00EE3F6D">
            <w:pPr>
              <w:jc w:val="center"/>
              <w:rPr>
                <w:rFonts w:ascii="Arial" w:hAnsi="Arial" w:cs="Arial"/>
                <w:color w:val="000000"/>
                <w:sz w:val="20"/>
                <w:szCs w:val="20"/>
              </w:rPr>
            </w:pPr>
            <w:r w:rsidRPr="00B92499">
              <w:rPr>
                <w:rFonts w:ascii="Arial" w:hAnsi="Arial" w:cs="Arial"/>
                <w:color w:val="000000"/>
                <w:sz w:val="20"/>
                <w:szCs w:val="20"/>
              </w:rPr>
              <w:t>XXXIII</w:t>
            </w:r>
          </w:p>
        </w:tc>
        <w:tc>
          <w:tcPr>
            <w:tcW w:w="0" w:type="auto"/>
            <w:tcBorders>
              <w:top w:val="nil"/>
              <w:left w:val="nil"/>
              <w:bottom w:val="single" w:sz="4" w:space="0" w:color="auto"/>
              <w:right w:val="single" w:sz="4" w:space="0" w:color="auto"/>
            </w:tcBorders>
            <w:shd w:val="clear" w:color="auto" w:fill="auto"/>
            <w:vAlign w:val="center"/>
            <w:hideMark/>
          </w:tcPr>
          <w:p w14:paraId="6C72A912" w14:textId="64689459" w:rsidR="00EE3F6D" w:rsidRPr="00B92499" w:rsidRDefault="00EE3F6D" w:rsidP="00EE3F6D">
            <w:pPr>
              <w:jc w:val="both"/>
              <w:rPr>
                <w:rFonts w:ascii="Arial" w:hAnsi="Arial" w:cs="Arial"/>
                <w:color w:val="000000"/>
                <w:sz w:val="20"/>
                <w:szCs w:val="20"/>
              </w:rPr>
            </w:pPr>
            <w:r w:rsidRPr="00B92499">
              <w:rPr>
                <w:rFonts w:ascii="Arial" w:hAnsi="Arial" w:cs="Arial"/>
                <w:color w:val="000000"/>
                <w:sz w:val="20"/>
                <w:szCs w:val="20"/>
              </w:rPr>
              <w:t>Los informes periódicos de la actividad del Órgano de Control Interno en materia disciplinaria contra funcionarios o empleados.</w:t>
            </w:r>
          </w:p>
        </w:tc>
        <w:tc>
          <w:tcPr>
            <w:tcW w:w="1229" w:type="dxa"/>
            <w:tcBorders>
              <w:top w:val="nil"/>
              <w:left w:val="nil"/>
              <w:bottom w:val="single" w:sz="4" w:space="0" w:color="auto"/>
              <w:right w:val="single" w:sz="4" w:space="0" w:color="auto"/>
            </w:tcBorders>
            <w:shd w:val="clear" w:color="auto" w:fill="auto"/>
            <w:vAlign w:val="center"/>
            <w:hideMark/>
          </w:tcPr>
          <w:p w14:paraId="05CD1379" w14:textId="77777777" w:rsidR="00EE3F6D" w:rsidRPr="00B92499" w:rsidRDefault="00EE3F6D" w:rsidP="00EE3F6D">
            <w:pPr>
              <w:jc w:val="center"/>
              <w:rPr>
                <w:rFonts w:ascii="Arial" w:hAnsi="Arial" w:cs="Arial"/>
                <w:color w:val="000000"/>
                <w:sz w:val="20"/>
                <w:szCs w:val="20"/>
              </w:rPr>
            </w:pPr>
            <w:r w:rsidRPr="00B92499">
              <w:rPr>
                <w:rFonts w:ascii="Arial" w:hAnsi="Arial" w:cs="Arial"/>
                <w:color w:val="000000"/>
                <w:sz w:val="20"/>
                <w:szCs w:val="20"/>
              </w:rPr>
              <w:t>100</w:t>
            </w:r>
          </w:p>
        </w:tc>
      </w:tr>
      <w:tr w:rsidR="00EE3F6D" w:rsidRPr="00B92499" w14:paraId="294B40FA" w14:textId="77777777" w:rsidTr="00EE3F6D">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D7DA307" w14:textId="77777777" w:rsidR="00EE3F6D" w:rsidRPr="00B92499" w:rsidRDefault="00EE3F6D">
            <w:pPr>
              <w:jc w:val="center"/>
              <w:rPr>
                <w:rFonts w:ascii="Arial" w:hAnsi="Arial" w:cs="Arial"/>
                <w:color w:val="000000"/>
                <w:sz w:val="20"/>
                <w:szCs w:val="20"/>
              </w:rPr>
            </w:pPr>
            <w:r w:rsidRPr="00B92499">
              <w:rPr>
                <w:rFonts w:ascii="Arial" w:hAnsi="Arial" w:cs="Arial"/>
                <w:color w:val="000000"/>
                <w:sz w:val="20"/>
                <w:szCs w:val="20"/>
              </w:rPr>
              <w:t>V</w:t>
            </w:r>
          </w:p>
        </w:tc>
        <w:tc>
          <w:tcPr>
            <w:tcW w:w="0" w:type="auto"/>
            <w:tcBorders>
              <w:top w:val="nil"/>
              <w:left w:val="nil"/>
              <w:bottom w:val="single" w:sz="4" w:space="0" w:color="auto"/>
              <w:right w:val="single" w:sz="4" w:space="0" w:color="auto"/>
            </w:tcBorders>
            <w:shd w:val="clear" w:color="auto" w:fill="auto"/>
            <w:vAlign w:val="center"/>
            <w:hideMark/>
          </w:tcPr>
          <w:p w14:paraId="47E41A89" w14:textId="1B10040F" w:rsidR="00EE3F6D" w:rsidRPr="00B92499" w:rsidRDefault="00EE3F6D" w:rsidP="00EE3F6D">
            <w:pPr>
              <w:jc w:val="both"/>
              <w:rPr>
                <w:rFonts w:ascii="Arial" w:hAnsi="Arial" w:cs="Arial"/>
                <w:color w:val="000000"/>
                <w:sz w:val="20"/>
                <w:szCs w:val="20"/>
              </w:rPr>
            </w:pPr>
            <w:r w:rsidRPr="00B92499">
              <w:rPr>
                <w:rFonts w:ascii="Arial" w:hAnsi="Arial" w:cs="Arial"/>
                <w:color w:val="000000"/>
                <w:sz w:val="20"/>
                <w:szCs w:val="20"/>
              </w:rPr>
              <w:t>Orden del Día de las sesiones del Pleno, de las Comisiones y Comités.</w:t>
            </w:r>
          </w:p>
        </w:tc>
        <w:tc>
          <w:tcPr>
            <w:tcW w:w="1229" w:type="dxa"/>
            <w:tcBorders>
              <w:top w:val="nil"/>
              <w:left w:val="nil"/>
              <w:bottom w:val="single" w:sz="4" w:space="0" w:color="auto"/>
              <w:right w:val="single" w:sz="4" w:space="0" w:color="auto"/>
            </w:tcBorders>
            <w:shd w:val="clear" w:color="auto" w:fill="auto"/>
            <w:vAlign w:val="center"/>
            <w:hideMark/>
          </w:tcPr>
          <w:p w14:paraId="14DACF31" w14:textId="75FA7880" w:rsidR="00EE3F6D" w:rsidRPr="00B92499" w:rsidRDefault="00EE3F6D" w:rsidP="00830529">
            <w:pPr>
              <w:jc w:val="center"/>
              <w:rPr>
                <w:rFonts w:ascii="Arial" w:hAnsi="Arial" w:cs="Arial"/>
                <w:color w:val="000000"/>
                <w:sz w:val="20"/>
                <w:szCs w:val="20"/>
              </w:rPr>
            </w:pPr>
            <w:r w:rsidRPr="00B92499">
              <w:rPr>
                <w:rFonts w:ascii="Arial" w:hAnsi="Arial" w:cs="Arial"/>
                <w:color w:val="000000"/>
                <w:sz w:val="20"/>
                <w:szCs w:val="20"/>
              </w:rPr>
              <w:t>99.5</w:t>
            </w:r>
            <w:r w:rsidR="00830529" w:rsidRPr="00B92499">
              <w:rPr>
                <w:rFonts w:ascii="Arial" w:hAnsi="Arial" w:cs="Arial"/>
                <w:color w:val="000000"/>
                <w:sz w:val="20"/>
                <w:szCs w:val="20"/>
              </w:rPr>
              <w:t>7</w:t>
            </w:r>
          </w:p>
        </w:tc>
      </w:tr>
      <w:tr w:rsidR="00EE3F6D" w:rsidRPr="00B92499" w14:paraId="1FCF00F3" w14:textId="77777777" w:rsidTr="00EE3F6D">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70876CF" w14:textId="77777777" w:rsidR="00EE3F6D" w:rsidRPr="00B92499" w:rsidRDefault="00EE3F6D">
            <w:pPr>
              <w:jc w:val="center"/>
              <w:rPr>
                <w:rFonts w:ascii="Arial" w:hAnsi="Arial" w:cs="Arial"/>
                <w:color w:val="000000"/>
                <w:sz w:val="20"/>
                <w:szCs w:val="20"/>
              </w:rPr>
            </w:pPr>
            <w:r w:rsidRPr="00B92499">
              <w:rPr>
                <w:rFonts w:ascii="Arial" w:hAnsi="Arial" w:cs="Arial"/>
                <w:color w:val="000000"/>
                <w:sz w:val="20"/>
                <w:szCs w:val="20"/>
              </w:rPr>
              <w:t>XII</w:t>
            </w:r>
          </w:p>
        </w:tc>
        <w:tc>
          <w:tcPr>
            <w:tcW w:w="0" w:type="auto"/>
            <w:tcBorders>
              <w:top w:val="nil"/>
              <w:left w:val="nil"/>
              <w:bottom w:val="single" w:sz="4" w:space="0" w:color="auto"/>
              <w:right w:val="single" w:sz="4" w:space="0" w:color="auto"/>
            </w:tcBorders>
            <w:shd w:val="clear" w:color="auto" w:fill="auto"/>
            <w:vAlign w:val="center"/>
            <w:hideMark/>
          </w:tcPr>
          <w:p w14:paraId="2AC2C1AF" w14:textId="5078723D" w:rsidR="00EE3F6D" w:rsidRPr="00B92499" w:rsidRDefault="00EE3F6D" w:rsidP="00EE3F6D">
            <w:pPr>
              <w:jc w:val="both"/>
              <w:rPr>
                <w:rFonts w:ascii="Arial" w:hAnsi="Arial" w:cs="Arial"/>
                <w:color w:val="000000"/>
                <w:sz w:val="20"/>
                <w:szCs w:val="20"/>
              </w:rPr>
            </w:pPr>
            <w:r w:rsidRPr="00B92499">
              <w:rPr>
                <w:rFonts w:ascii="Arial" w:hAnsi="Arial" w:cs="Arial"/>
                <w:color w:val="000000"/>
                <w:sz w:val="20"/>
                <w:szCs w:val="20"/>
              </w:rPr>
              <w:t>Convocatorias, actas y acuerdos de cada una de las sesiones del Pleno, la Mesa Directiva, Órgano de Gobierno, las comisiones de análisis y dictamen legislativo o comités.</w:t>
            </w:r>
          </w:p>
        </w:tc>
        <w:tc>
          <w:tcPr>
            <w:tcW w:w="1229" w:type="dxa"/>
            <w:tcBorders>
              <w:top w:val="nil"/>
              <w:left w:val="nil"/>
              <w:bottom w:val="single" w:sz="4" w:space="0" w:color="auto"/>
              <w:right w:val="single" w:sz="4" w:space="0" w:color="auto"/>
            </w:tcBorders>
            <w:shd w:val="clear" w:color="auto" w:fill="auto"/>
            <w:vAlign w:val="center"/>
            <w:hideMark/>
          </w:tcPr>
          <w:p w14:paraId="0C8D324A" w14:textId="4E82B4DE" w:rsidR="00EE3F6D" w:rsidRPr="00B92499" w:rsidRDefault="00EE3F6D" w:rsidP="00830529">
            <w:pPr>
              <w:jc w:val="center"/>
              <w:rPr>
                <w:rFonts w:ascii="Arial" w:hAnsi="Arial" w:cs="Arial"/>
                <w:color w:val="000000"/>
                <w:sz w:val="20"/>
                <w:szCs w:val="20"/>
              </w:rPr>
            </w:pPr>
            <w:r w:rsidRPr="00B92499">
              <w:rPr>
                <w:rFonts w:ascii="Arial" w:hAnsi="Arial" w:cs="Arial"/>
                <w:color w:val="000000"/>
                <w:sz w:val="20"/>
                <w:szCs w:val="20"/>
              </w:rPr>
              <w:t>98.9</w:t>
            </w:r>
            <w:r w:rsidR="00830529" w:rsidRPr="00B92499">
              <w:rPr>
                <w:rFonts w:ascii="Arial" w:hAnsi="Arial" w:cs="Arial"/>
                <w:color w:val="000000"/>
                <w:sz w:val="20"/>
                <w:szCs w:val="20"/>
              </w:rPr>
              <w:t>6</w:t>
            </w:r>
          </w:p>
        </w:tc>
      </w:tr>
      <w:tr w:rsidR="00EE3F6D" w:rsidRPr="00B92499" w14:paraId="0FA827CD" w14:textId="77777777" w:rsidTr="00EE3F6D">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364295D" w14:textId="77777777" w:rsidR="00EE3F6D" w:rsidRPr="00B92499" w:rsidRDefault="00EE3F6D">
            <w:pPr>
              <w:jc w:val="center"/>
              <w:rPr>
                <w:rFonts w:ascii="Arial" w:hAnsi="Arial" w:cs="Arial"/>
                <w:color w:val="000000"/>
                <w:sz w:val="20"/>
                <w:szCs w:val="20"/>
              </w:rPr>
            </w:pPr>
            <w:r w:rsidRPr="00B92499">
              <w:rPr>
                <w:rFonts w:ascii="Arial" w:hAnsi="Arial" w:cs="Arial"/>
                <w:color w:val="000000"/>
                <w:sz w:val="20"/>
                <w:szCs w:val="20"/>
              </w:rPr>
              <w:t>XXIII</w:t>
            </w:r>
          </w:p>
        </w:tc>
        <w:tc>
          <w:tcPr>
            <w:tcW w:w="0" w:type="auto"/>
            <w:tcBorders>
              <w:top w:val="nil"/>
              <w:left w:val="nil"/>
              <w:bottom w:val="single" w:sz="4" w:space="0" w:color="auto"/>
              <w:right w:val="single" w:sz="4" w:space="0" w:color="auto"/>
            </w:tcBorders>
            <w:shd w:val="clear" w:color="auto" w:fill="auto"/>
            <w:vAlign w:val="center"/>
            <w:hideMark/>
          </w:tcPr>
          <w:p w14:paraId="1493D2BE" w14:textId="37C3703E" w:rsidR="00EE3F6D" w:rsidRPr="00B92499" w:rsidRDefault="00EE3F6D" w:rsidP="00EE3F6D">
            <w:pPr>
              <w:jc w:val="both"/>
              <w:rPr>
                <w:rFonts w:ascii="Arial" w:hAnsi="Arial" w:cs="Arial"/>
                <w:color w:val="000000"/>
                <w:sz w:val="20"/>
                <w:szCs w:val="20"/>
              </w:rPr>
            </w:pPr>
            <w:r w:rsidRPr="00B92499">
              <w:rPr>
                <w:rFonts w:ascii="Arial" w:hAnsi="Arial" w:cs="Arial"/>
                <w:color w:val="000000"/>
                <w:sz w:val="20"/>
                <w:szCs w:val="20"/>
              </w:rPr>
              <w:t>Los convenios, acuerdos de colaboración, contrataciones de servicios personales o figuras análogas que se celebren.</w:t>
            </w:r>
          </w:p>
        </w:tc>
        <w:tc>
          <w:tcPr>
            <w:tcW w:w="1229" w:type="dxa"/>
            <w:tcBorders>
              <w:top w:val="nil"/>
              <w:left w:val="nil"/>
              <w:bottom w:val="single" w:sz="4" w:space="0" w:color="auto"/>
              <w:right w:val="single" w:sz="4" w:space="0" w:color="auto"/>
            </w:tcBorders>
            <w:shd w:val="clear" w:color="auto" w:fill="auto"/>
            <w:vAlign w:val="center"/>
            <w:hideMark/>
          </w:tcPr>
          <w:p w14:paraId="06088377" w14:textId="43536185" w:rsidR="00EE3F6D" w:rsidRPr="00B92499" w:rsidRDefault="00EE3F6D" w:rsidP="00830529">
            <w:pPr>
              <w:jc w:val="center"/>
              <w:rPr>
                <w:rFonts w:ascii="Arial" w:hAnsi="Arial" w:cs="Arial"/>
                <w:color w:val="000000"/>
                <w:sz w:val="20"/>
                <w:szCs w:val="20"/>
              </w:rPr>
            </w:pPr>
            <w:r w:rsidRPr="00B92499">
              <w:rPr>
                <w:rFonts w:ascii="Arial" w:hAnsi="Arial" w:cs="Arial"/>
                <w:color w:val="000000"/>
                <w:sz w:val="20"/>
                <w:szCs w:val="20"/>
              </w:rPr>
              <w:t>98.9</w:t>
            </w:r>
            <w:r w:rsidR="00830529" w:rsidRPr="00B92499">
              <w:rPr>
                <w:rFonts w:ascii="Arial" w:hAnsi="Arial" w:cs="Arial"/>
                <w:color w:val="000000"/>
                <w:sz w:val="20"/>
                <w:szCs w:val="20"/>
              </w:rPr>
              <w:t>6</w:t>
            </w:r>
          </w:p>
        </w:tc>
      </w:tr>
      <w:tr w:rsidR="00EE3F6D" w:rsidRPr="00B92499" w14:paraId="2252E052" w14:textId="77777777" w:rsidTr="00EE3F6D">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10BA675" w14:textId="77777777" w:rsidR="00EE3F6D" w:rsidRPr="00B92499" w:rsidRDefault="00EE3F6D">
            <w:pPr>
              <w:jc w:val="center"/>
              <w:rPr>
                <w:rFonts w:ascii="Arial" w:hAnsi="Arial" w:cs="Arial"/>
                <w:color w:val="000000"/>
                <w:sz w:val="20"/>
                <w:szCs w:val="20"/>
              </w:rPr>
            </w:pPr>
            <w:r w:rsidRPr="00B92499">
              <w:rPr>
                <w:rFonts w:ascii="Arial" w:hAnsi="Arial" w:cs="Arial"/>
                <w:color w:val="000000"/>
                <w:sz w:val="20"/>
                <w:szCs w:val="20"/>
              </w:rPr>
              <w:t>XXXII</w:t>
            </w:r>
          </w:p>
        </w:tc>
        <w:tc>
          <w:tcPr>
            <w:tcW w:w="0" w:type="auto"/>
            <w:tcBorders>
              <w:top w:val="nil"/>
              <w:left w:val="nil"/>
              <w:bottom w:val="single" w:sz="4" w:space="0" w:color="auto"/>
              <w:right w:val="single" w:sz="4" w:space="0" w:color="auto"/>
            </w:tcBorders>
            <w:shd w:val="clear" w:color="auto" w:fill="auto"/>
            <w:vAlign w:val="center"/>
            <w:hideMark/>
          </w:tcPr>
          <w:p w14:paraId="76FDBF2D" w14:textId="5FB5CB72" w:rsidR="00EE3F6D" w:rsidRPr="00B92499" w:rsidRDefault="00EE3F6D" w:rsidP="00EE3F6D">
            <w:pPr>
              <w:jc w:val="both"/>
              <w:rPr>
                <w:rFonts w:ascii="Arial" w:hAnsi="Arial" w:cs="Arial"/>
                <w:color w:val="000000"/>
                <w:sz w:val="20"/>
                <w:szCs w:val="20"/>
              </w:rPr>
            </w:pPr>
            <w:r w:rsidRPr="00B92499">
              <w:rPr>
                <w:rFonts w:ascii="Arial" w:hAnsi="Arial" w:cs="Arial"/>
                <w:color w:val="000000"/>
                <w:sz w:val="20"/>
                <w:szCs w:val="20"/>
              </w:rPr>
              <w:t>La lista de los integrantes del comité de adquisiciones que vigila y/o revisa las compras, el método de selección de los integrantes descrito en el reglamento interno y el acta de instalación con el nombre de los integrantes, procedencia y cargos asignados.</w:t>
            </w:r>
          </w:p>
        </w:tc>
        <w:tc>
          <w:tcPr>
            <w:tcW w:w="1229" w:type="dxa"/>
            <w:tcBorders>
              <w:top w:val="nil"/>
              <w:left w:val="nil"/>
              <w:bottom w:val="single" w:sz="4" w:space="0" w:color="auto"/>
              <w:right w:val="single" w:sz="4" w:space="0" w:color="auto"/>
            </w:tcBorders>
            <w:shd w:val="clear" w:color="auto" w:fill="auto"/>
            <w:vAlign w:val="center"/>
            <w:hideMark/>
          </w:tcPr>
          <w:p w14:paraId="7F9C1808" w14:textId="77777777" w:rsidR="00EE3F6D" w:rsidRPr="00B92499" w:rsidRDefault="00EE3F6D" w:rsidP="00EE3F6D">
            <w:pPr>
              <w:jc w:val="center"/>
              <w:rPr>
                <w:rFonts w:ascii="Arial" w:hAnsi="Arial" w:cs="Arial"/>
                <w:color w:val="000000"/>
                <w:sz w:val="20"/>
                <w:szCs w:val="20"/>
              </w:rPr>
            </w:pPr>
            <w:r w:rsidRPr="00B92499">
              <w:rPr>
                <w:rFonts w:ascii="Arial" w:hAnsi="Arial" w:cs="Arial"/>
                <w:color w:val="000000"/>
                <w:sz w:val="20"/>
                <w:szCs w:val="20"/>
              </w:rPr>
              <w:t>98.75</w:t>
            </w:r>
          </w:p>
        </w:tc>
      </w:tr>
      <w:tr w:rsidR="00EE3F6D" w:rsidRPr="00B92499" w14:paraId="5CF1AFB3" w14:textId="77777777" w:rsidTr="00EE3F6D">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074758A" w14:textId="77777777" w:rsidR="00EE3F6D" w:rsidRPr="00B92499" w:rsidRDefault="00EE3F6D">
            <w:pPr>
              <w:jc w:val="center"/>
              <w:rPr>
                <w:rFonts w:ascii="Arial" w:hAnsi="Arial" w:cs="Arial"/>
                <w:color w:val="000000"/>
                <w:sz w:val="20"/>
                <w:szCs w:val="20"/>
              </w:rPr>
            </w:pPr>
            <w:r w:rsidRPr="00B92499">
              <w:rPr>
                <w:rFonts w:ascii="Arial" w:hAnsi="Arial" w:cs="Arial"/>
                <w:color w:val="000000"/>
                <w:sz w:val="20"/>
                <w:szCs w:val="20"/>
              </w:rPr>
              <w:t>XXVIII</w:t>
            </w:r>
          </w:p>
        </w:tc>
        <w:tc>
          <w:tcPr>
            <w:tcW w:w="0" w:type="auto"/>
            <w:tcBorders>
              <w:top w:val="nil"/>
              <w:left w:val="nil"/>
              <w:bottom w:val="single" w:sz="4" w:space="0" w:color="auto"/>
              <w:right w:val="single" w:sz="4" w:space="0" w:color="auto"/>
            </w:tcBorders>
            <w:shd w:val="clear" w:color="auto" w:fill="auto"/>
            <w:vAlign w:val="center"/>
            <w:hideMark/>
          </w:tcPr>
          <w:p w14:paraId="6ECE2179" w14:textId="5C4AB4D8" w:rsidR="00EE3F6D" w:rsidRPr="00B92499" w:rsidRDefault="00EE3F6D" w:rsidP="00EE3F6D">
            <w:pPr>
              <w:jc w:val="both"/>
              <w:rPr>
                <w:rFonts w:ascii="Arial" w:hAnsi="Arial" w:cs="Arial"/>
                <w:color w:val="000000"/>
                <w:sz w:val="20"/>
                <w:szCs w:val="20"/>
              </w:rPr>
            </w:pPr>
            <w:r w:rsidRPr="00B92499">
              <w:rPr>
                <w:rFonts w:ascii="Arial" w:hAnsi="Arial" w:cs="Arial"/>
                <w:color w:val="000000"/>
                <w:sz w:val="20"/>
                <w:szCs w:val="20"/>
              </w:rPr>
              <w:t>Los demás informes que deban presentarse conforme a su Ley Orgánica y demás normatividad interna.</w:t>
            </w:r>
          </w:p>
        </w:tc>
        <w:tc>
          <w:tcPr>
            <w:tcW w:w="1229" w:type="dxa"/>
            <w:tcBorders>
              <w:top w:val="nil"/>
              <w:left w:val="nil"/>
              <w:bottom w:val="single" w:sz="4" w:space="0" w:color="auto"/>
              <w:right w:val="single" w:sz="4" w:space="0" w:color="auto"/>
            </w:tcBorders>
            <w:shd w:val="clear" w:color="auto" w:fill="auto"/>
            <w:vAlign w:val="center"/>
            <w:hideMark/>
          </w:tcPr>
          <w:p w14:paraId="74E6FFD6" w14:textId="1FDEE8C3" w:rsidR="00EE3F6D" w:rsidRPr="00B92499" w:rsidRDefault="00EE3F6D" w:rsidP="00830529">
            <w:pPr>
              <w:jc w:val="center"/>
              <w:rPr>
                <w:rFonts w:ascii="Arial" w:hAnsi="Arial" w:cs="Arial"/>
                <w:color w:val="000000"/>
                <w:sz w:val="20"/>
                <w:szCs w:val="20"/>
              </w:rPr>
            </w:pPr>
            <w:r w:rsidRPr="00B92499">
              <w:rPr>
                <w:rFonts w:ascii="Arial" w:hAnsi="Arial" w:cs="Arial"/>
                <w:color w:val="000000"/>
                <w:sz w:val="20"/>
                <w:szCs w:val="20"/>
              </w:rPr>
              <w:t>98.4</w:t>
            </w:r>
            <w:r w:rsidR="00830529" w:rsidRPr="00B92499">
              <w:rPr>
                <w:rFonts w:ascii="Arial" w:hAnsi="Arial" w:cs="Arial"/>
                <w:color w:val="000000"/>
                <w:sz w:val="20"/>
                <w:szCs w:val="20"/>
              </w:rPr>
              <w:t>4</w:t>
            </w:r>
          </w:p>
        </w:tc>
      </w:tr>
      <w:tr w:rsidR="00EE3F6D" w:rsidRPr="00B92499" w14:paraId="3C07D2A4" w14:textId="77777777" w:rsidTr="00EE3F6D">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EEE42B7" w14:textId="77777777" w:rsidR="00EE3F6D" w:rsidRPr="00B92499" w:rsidRDefault="00EE3F6D">
            <w:pPr>
              <w:jc w:val="center"/>
              <w:rPr>
                <w:rFonts w:ascii="Arial" w:hAnsi="Arial" w:cs="Arial"/>
                <w:color w:val="000000"/>
                <w:sz w:val="20"/>
                <w:szCs w:val="20"/>
              </w:rPr>
            </w:pPr>
            <w:r w:rsidRPr="00B92499">
              <w:rPr>
                <w:rFonts w:ascii="Arial" w:hAnsi="Arial" w:cs="Arial"/>
                <w:color w:val="000000"/>
                <w:sz w:val="20"/>
                <w:szCs w:val="20"/>
              </w:rPr>
              <w:t>VIII</w:t>
            </w:r>
          </w:p>
        </w:tc>
        <w:tc>
          <w:tcPr>
            <w:tcW w:w="0" w:type="auto"/>
            <w:tcBorders>
              <w:top w:val="nil"/>
              <w:left w:val="nil"/>
              <w:bottom w:val="single" w:sz="4" w:space="0" w:color="auto"/>
              <w:right w:val="single" w:sz="4" w:space="0" w:color="auto"/>
            </w:tcBorders>
            <w:shd w:val="clear" w:color="auto" w:fill="auto"/>
            <w:vAlign w:val="center"/>
            <w:hideMark/>
          </w:tcPr>
          <w:p w14:paraId="55823468" w14:textId="3908B9E8" w:rsidR="00EE3F6D" w:rsidRPr="00B92499" w:rsidRDefault="00EE3F6D" w:rsidP="00EE3F6D">
            <w:pPr>
              <w:jc w:val="both"/>
              <w:rPr>
                <w:rFonts w:ascii="Arial" w:hAnsi="Arial" w:cs="Arial"/>
                <w:color w:val="000000"/>
                <w:sz w:val="20"/>
                <w:szCs w:val="20"/>
              </w:rPr>
            </w:pPr>
            <w:r w:rsidRPr="00B92499">
              <w:rPr>
                <w:rFonts w:ascii="Arial" w:hAnsi="Arial" w:cs="Arial"/>
                <w:color w:val="000000"/>
                <w:sz w:val="20"/>
                <w:szCs w:val="20"/>
              </w:rPr>
              <w:t>La lista de asistencia a las sesiones del Pleno, Órgano de Gobierno y de Comisiones y Comités.</w:t>
            </w:r>
          </w:p>
        </w:tc>
        <w:tc>
          <w:tcPr>
            <w:tcW w:w="1229" w:type="dxa"/>
            <w:tcBorders>
              <w:top w:val="nil"/>
              <w:left w:val="nil"/>
              <w:bottom w:val="single" w:sz="4" w:space="0" w:color="auto"/>
              <w:right w:val="single" w:sz="4" w:space="0" w:color="auto"/>
            </w:tcBorders>
            <w:shd w:val="clear" w:color="auto" w:fill="auto"/>
            <w:vAlign w:val="center"/>
            <w:hideMark/>
          </w:tcPr>
          <w:p w14:paraId="7F215005" w14:textId="659BAB93" w:rsidR="00EE3F6D" w:rsidRPr="00B92499" w:rsidRDefault="00EE3F6D" w:rsidP="00830529">
            <w:pPr>
              <w:jc w:val="center"/>
              <w:rPr>
                <w:rFonts w:ascii="Arial" w:hAnsi="Arial" w:cs="Arial"/>
                <w:color w:val="000000"/>
                <w:sz w:val="20"/>
                <w:szCs w:val="20"/>
              </w:rPr>
            </w:pPr>
            <w:r w:rsidRPr="00B92499">
              <w:rPr>
                <w:rFonts w:ascii="Arial" w:hAnsi="Arial" w:cs="Arial"/>
                <w:color w:val="000000"/>
                <w:sz w:val="20"/>
                <w:szCs w:val="20"/>
              </w:rPr>
              <w:t>98.3</w:t>
            </w:r>
            <w:r w:rsidR="00830529" w:rsidRPr="00B92499">
              <w:rPr>
                <w:rFonts w:ascii="Arial" w:hAnsi="Arial" w:cs="Arial"/>
                <w:color w:val="000000"/>
                <w:sz w:val="20"/>
                <w:szCs w:val="20"/>
              </w:rPr>
              <w:t>6</w:t>
            </w:r>
          </w:p>
        </w:tc>
      </w:tr>
      <w:tr w:rsidR="00EE3F6D" w:rsidRPr="00B92499" w14:paraId="311D381A" w14:textId="77777777" w:rsidTr="00EE3F6D">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328BD1D" w14:textId="77777777" w:rsidR="00EE3F6D" w:rsidRPr="00B92499" w:rsidRDefault="00EE3F6D">
            <w:pPr>
              <w:jc w:val="center"/>
              <w:rPr>
                <w:rFonts w:ascii="Arial" w:hAnsi="Arial" w:cs="Arial"/>
                <w:color w:val="000000"/>
                <w:sz w:val="20"/>
                <w:szCs w:val="20"/>
              </w:rPr>
            </w:pPr>
            <w:r w:rsidRPr="00B92499">
              <w:rPr>
                <w:rFonts w:ascii="Arial" w:hAnsi="Arial" w:cs="Arial"/>
                <w:color w:val="000000"/>
                <w:sz w:val="20"/>
                <w:szCs w:val="20"/>
              </w:rPr>
              <w:t>IX</w:t>
            </w:r>
          </w:p>
        </w:tc>
        <w:tc>
          <w:tcPr>
            <w:tcW w:w="0" w:type="auto"/>
            <w:tcBorders>
              <w:top w:val="nil"/>
              <w:left w:val="nil"/>
              <w:bottom w:val="single" w:sz="4" w:space="0" w:color="auto"/>
              <w:right w:val="single" w:sz="4" w:space="0" w:color="auto"/>
            </w:tcBorders>
            <w:shd w:val="clear" w:color="auto" w:fill="auto"/>
            <w:vAlign w:val="center"/>
            <w:hideMark/>
          </w:tcPr>
          <w:p w14:paraId="1CEBCBB7" w14:textId="1ED0C14A" w:rsidR="00EE3F6D" w:rsidRPr="00B92499" w:rsidRDefault="00EE3F6D" w:rsidP="00EE3F6D">
            <w:pPr>
              <w:jc w:val="both"/>
              <w:rPr>
                <w:rFonts w:ascii="Arial" w:hAnsi="Arial" w:cs="Arial"/>
                <w:color w:val="000000"/>
                <w:sz w:val="20"/>
                <w:szCs w:val="20"/>
              </w:rPr>
            </w:pPr>
            <w:r w:rsidRPr="00B92499">
              <w:rPr>
                <w:rFonts w:ascii="Arial" w:hAnsi="Arial" w:cs="Arial"/>
                <w:color w:val="000000"/>
                <w:sz w:val="20"/>
                <w:szCs w:val="20"/>
              </w:rPr>
              <w:t>Las Convocatorias, Acta, Acuerdos, Lista de Asistencia y Votación de los diversos tipos de comisiones, comités y de las sesiones del Pleno.</w:t>
            </w:r>
          </w:p>
        </w:tc>
        <w:tc>
          <w:tcPr>
            <w:tcW w:w="1229" w:type="dxa"/>
            <w:tcBorders>
              <w:top w:val="nil"/>
              <w:left w:val="nil"/>
              <w:bottom w:val="single" w:sz="4" w:space="0" w:color="auto"/>
              <w:right w:val="single" w:sz="4" w:space="0" w:color="auto"/>
            </w:tcBorders>
            <w:shd w:val="clear" w:color="auto" w:fill="auto"/>
            <w:vAlign w:val="center"/>
            <w:hideMark/>
          </w:tcPr>
          <w:p w14:paraId="1CF2FE94" w14:textId="6EA2D08E" w:rsidR="00EE3F6D" w:rsidRPr="00B92499" w:rsidRDefault="00EE3F6D" w:rsidP="00830529">
            <w:pPr>
              <w:jc w:val="center"/>
              <w:rPr>
                <w:rFonts w:ascii="Arial" w:hAnsi="Arial" w:cs="Arial"/>
                <w:color w:val="000000"/>
                <w:sz w:val="20"/>
                <w:szCs w:val="20"/>
              </w:rPr>
            </w:pPr>
            <w:r w:rsidRPr="00B92499">
              <w:rPr>
                <w:rFonts w:ascii="Arial" w:hAnsi="Arial" w:cs="Arial"/>
                <w:color w:val="000000"/>
                <w:sz w:val="20"/>
                <w:szCs w:val="20"/>
              </w:rPr>
              <w:t>98.3</w:t>
            </w:r>
            <w:r w:rsidR="00830529" w:rsidRPr="00B92499">
              <w:rPr>
                <w:rFonts w:ascii="Arial" w:hAnsi="Arial" w:cs="Arial"/>
                <w:color w:val="000000"/>
                <w:sz w:val="20"/>
                <w:szCs w:val="20"/>
              </w:rPr>
              <w:t>5</w:t>
            </w:r>
          </w:p>
        </w:tc>
      </w:tr>
      <w:tr w:rsidR="00EE3F6D" w:rsidRPr="00B92499" w14:paraId="1E089457" w14:textId="77777777" w:rsidTr="00EE3F6D">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8FE0A19" w14:textId="77777777" w:rsidR="00EE3F6D" w:rsidRPr="00B92499" w:rsidRDefault="00EE3F6D">
            <w:pPr>
              <w:jc w:val="center"/>
              <w:rPr>
                <w:rFonts w:ascii="Arial" w:hAnsi="Arial" w:cs="Arial"/>
                <w:color w:val="000000"/>
                <w:sz w:val="20"/>
                <w:szCs w:val="20"/>
              </w:rPr>
            </w:pPr>
            <w:r w:rsidRPr="00B92499">
              <w:rPr>
                <w:rFonts w:ascii="Arial" w:hAnsi="Arial" w:cs="Arial"/>
                <w:color w:val="000000"/>
                <w:sz w:val="20"/>
                <w:szCs w:val="20"/>
              </w:rPr>
              <w:t>I</w:t>
            </w:r>
          </w:p>
        </w:tc>
        <w:tc>
          <w:tcPr>
            <w:tcW w:w="0" w:type="auto"/>
            <w:tcBorders>
              <w:top w:val="nil"/>
              <w:left w:val="nil"/>
              <w:bottom w:val="single" w:sz="4" w:space="0" w:color="auto"/>
              <w:right w:val="single" w:sz="4" w:space="0" w:color="auto"/>
            </w:tcBorders>
            <w:shd w:val="clear" w:color="auto" w:fill="auto"/>
            <w:vAlign w:val="center"/>
            <w:hideMark/>
          </w:tcPr>
          <w:p w14:paraId="54D633F4" w14:textId="4993FCB6" w:rsidR="00EE3F6D" w:rsidRPr="00B92499" w:rsidRDefault="00EE3F6D" w:rsidP="00EE3F6D">
            <w:pPr>
              <w:jc w:val="both"/>
              <w:rPr>
                <w:rFonts w:ascii="Arial" w:hAnsi="Arial" w:cs="Arial"/>
                <w:color w:val="000000"/>
                <w:sz w:val="20"/>
                <w:szCs w:val="20"/>
              </w:rPr>
            </w:pPr>
            <w:r w:rsidRPr="00B92499">
              <w:rPr>
                <w:rFonts w:ascii="Arial" w:hAnsi="Arial" w:cs="Arial"/>
                <w:color w:val="000000"/>
                <w:sz w:val="20"/>
                <w:szCs w:val="20"/>
              </w:rPr>
              <w:t>Ficha técnica por cada Diputado y Diputada.</w:t>
            </w:r>
          </w:p>
        </w:tc>
        <w:tc>
          <w:tcPr>
            <w:tcW w:w="1229" w:type="dxa"/>
            <w:tcBorders>
              <w:top w:val="nil"/>
              <w:left w:val="nil"/>
              <w:bottom w:val="single" w:sz="4" w:space="0" w:color="auto"/>
              <w:right w:val="single" w:sz="4" w:space="0" w:color="auto"/>
            </w:tcBorders>
            <w:shd w:val="clear" w:color="auto" w:fill="auto"/>
            <w:vAlign w:val="center"/>
            <w:hideMark/>
          </w:tcPr>
          <w:p w14:paraId="3893ED6F" w14:textId="7727BDB6" w:rsidR="00EE3F6D" w:rsidRPr="00B92499" w:rsidRDefault="00EE3F6D" w:rsidP="00830529">
            <w:pPr>
              <w:jc w:val="center"/>
              <w:rPr>
                <w:rFonts w:ascii="Arial" w:hAnsi="Arial" w:cs="Arial"/>
                <w:color w:val="000000"/>
                <w:sz w:val="20"/>
                <w:szCs w:val="20"/>
              </w:rPr>
            </w:pPr>
            <w:r w:rsidRPr="00B92499">
              <w:rPr>
                <w:rFonts w:ascii="Arial" w:hAnsi="Arial" w:cs="Arial"/>
                <w:color w:val="000000"/>
                <w:sz w:val="20"/>
                <w:szCs w:val="20"/>
              </w:rPr>
              <w:t>98.33</w:t>
            </w:r>
          </w:p>
        </w:tc>
      </w:tr>
      <w:tr w:rsidR="00EE3F6D" w:rsidRPr="00B92499" w14:paraId="7AB0BAED" w14:textId="77777777" w:rsidTr="00EE3F6D">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A2F9F5A" w14:textId="77777777" w:rsidR="00EE3F6D" w:rsidRPr="00B92499" w:rsidRDefault="00EE3F6D">
            <w:pPr>
              <w:jc w:val="center"/>
              <w:rPr>
                <w:rFonts w:ascii="Arial" w:hAnsi="Arial" w:cs="Arial"/>
                <w:color w:val="000000"/>
                <w:sz w:val="20"/>
                <w:szCs w:val="20"/>
              </w:rPr>
            </w:pPr>
            <w:r w:rsidRPr="00B92499">
              <w:rPr>
                <w:rFonts w:ascii="Arial" w:hAnsi="Arial" w:cs="Arial"/>
                <w:color w:val="000000"/>
                <w:sz w:val="20"/>
                <w:szCs w:val="20"/>
              </w:rPr>
              <w:t>XXXIV</w:t>
            </w:r>
          </w:p>
        </w:tc>
        <w:tc>
          <w:tcPr>
            <w:tcW w:w="0" w:type="auto"/>
            <w:tcBorders>
              <w:top w:val="nil"/>
              <w:left w:val="nil"/>
              <w:bottom w:val="single" w:sz="4" w:space="0" w:color="auto"/>
              <w:right w:val="single" w:sz="4" w:space="0" w:color="auto"/>
            </w:tcBorders>
            <w:shd w:val="clear" w:color="auto" w:fill="auto"/>
            <w:vAlign w:val="center"/>
            <w:hideMark/>
          </w:tcPr>
          <w:p w14:paraId="2001200E" w14:textId="4D52C13C" w:rsidR="00EE3F6D" w:rsidRPr="00B92499" w:rsidRDefault="00EE3F6D" w:rsidP="00EE3F6D">
            <w:pPr>
              <w:jc w:val="both"/>
              <w:rPr>
                <w:rFonts w:ascii="Arial" w:hAnsi="Arial" w:cs="Arial"/>
                <w:color w:val="000000"/>
                <w:sz w:val="20"/>
                <w:szCs w:val="20"/>
              </w:rPr>
            </w:pPr>
            <w:r w:rsidRPr="00B92499">
              <w:rPr>
                <w:rFonts w:ascii="Arial" w:hAnsi="Arial" w:cs="Arial"/>
                <w:color w:val="000000"/>
                <w:sz w:val="20"/>
                <w:szCs w:val="20"/>
              </w:rPr>
              <w:t>Las observaciones y acciones promovidas por la contraloría a órganos, dependencias, diputados, funcionarios, empleados, en el ejercicio y aplicación del gasto.</w:t>
            </w:r>
          </w:p>
        </w:tc>
        <w:tc>
          <w:tcPr>
            <w:tcW w:w="1229" w:type="dxa"/>
            <w:tcBorders>
              <w:top w:val="nil"/>
              <w:left w:val="nil"/>
              <w:bottom w:val="single" w:sz="4" w:space="0" w:color="auto"/>
              <w:right w:val="single" w:sz="4" w:space="0" w:color="auto"/>
            </w:tcBorders>
            <w:shd w:val="clear" w:color="auto" w:fill="auto"/>
            <w:vAlign w:val="center"/>
            <w:hideMark/>
          </w:tcPr>
          <w:p w14:paraId="66378330" w14:textId="4AA5DF22" w:rsidR="00EE3F6D" w:rsidRPr="00B92499" w:rsidRDefault="00EE3F6D" w:rsidP="00830529">
            <w:pPr>
              <w:jc w:val="center"/>
              <w:rPr>
                <w:rFonts w:ascii="Arial" w:hAnsi="Arial" w:cs="Arial"/>
                <w:color w:val="000000"/>
                <w:sz w:val="20"/>
                <w:szCs w:val="20"/>
              </w:rPr>
            </w:pPr>
            <w:r w:rsidRPr="00B92499">
              <w:rPr>
                <w:rFonts w:ascii="Arial" w:hAnsi="Arial" w:cs="Arial"/>
                <w:color w:val="000000"/>
                <w:sz w:val="20"/>
                <w:szCs w:val="20"/>
              </w:rPr>
              <w:t>98.21</w:t>
            </w:r>
          </w:p>
        </w:tc>
      </w:tr>
      <w:tr w:rsidR="00EE3F6D" w:rsidRPr="00B92499" w14:paraId="632E8DF3" w14:textId="77777777" w:rsidTr="00EE3F6D">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90004EA" w14:textId="77777777" w:rsidR="00EE3F6D" w:rsidRPr="00B92499" w:rsidRDefault="00EE3F6D">
            <w:pPr>
              <w:jc w:val="center"/>
              <w:rPr>
                <w:rFonts w:ascii="Arial" w:hAnsi="Arial" w:cs="Arial"/>
                <w:color w:val="000000"/>
                <w:sz w:val="20"/>
                <w:szCs w:val="20"/>
              </w:rPr>
            </w:pPr>
            <w:r w:rsidRPr="00B92499">
              <w:rPr>
                <w:rFonts w:ascii="Arial" w:hAnsi="Arial" w:cs="Arial"/>
                <w:color w:val="000000"/>
                <w:sz w:val="20"/>
                <w:szCs w:val="20"/>
              </w:rPr>
              <w:t>XVIII</w:t>
            </w:r>
          </w:p>
        </w:tc>
        <w:tc>
          <w:tcPr>
            <w:tcW w:w="0" w:type="auto"/>
            <w:tcBorders>
              <w:top w:val="nil"/>
              <w:left w:val="nil"/>
              <w:bottom w:val="single" w:sz="4" w:space="0" w:color="auto"/>
              <w:right w:val="single" w:sz="4" w:space="0" w:color="auto"/>
            </w:tcBorders>
            <w:shd w:val="clear" w:color="auto" w:fill="auto"/>
            <w:vAlign w:val="center"/>
            <w:hideMark/>
          </w:tcPr>
          <w:p w14:paraId="40C977B9" w14:textId="7ACC02F2" w:rsidR="00EE3F6D" w:rsidRPr="00B92499" w:rsidRDefault="00EE3F6D" w:rsidP="00EE3F6D">
            <w:pPr>
              <w:jc w:val="both"/>
              <w:rPr>
                <w:rFonts w:ascii="Arial" w:hAnsi="Arial" w:cs="Arial"/>
                <w:color w:val="000000"/>
                <w:sz w:val="20"/>
                <w:szCs w:val="20"/>
              </w:rPr>
            </w:pPr>
            <w:r w:rsidRPr="00B92499">
              <w:rPr>
                <w:rFonts w:ascii="Arial" w:hAnsi="Arial" w:cs="Arial"/>
                <w:color w:val="000000"/>
                <w:sz w:val="20"/>
                <w:szCs w:val="20"/>
              </w:rPr>
              <w:t>Los resultados de los estudios o investigaciones de naturaleza económica, política y social que realicen los centros de estudio o investigación legislativa.</w:t>
            </w:r>
          </w:p>
        </w:tc>
        <w:tc>
          <w:tcPr>
            <w:tcW w:w="1229" w:type="dxa"/>
            <w:tcBorders>
              <w:top w:val="nil"/>
              <w:left w:val="nil"/>
              <w:bottom w:val="single" w:sz="4" w:space="0" w:color="auto"/>
              <w:right w:val="single" w:sz="4" w:space="0" w:color="auto"/>
            </w:tcBorders>
            <w:shd w:val="clear" w:color="auto" w:fill="auto"/>
            <w:vAlign w:val="center"/>
            <w:hideMark/>
          </w:tcPr>
          <w:p w14:paraId="0C02D192" w14:textId="109485BF" w:rsidR="00EE3F6D" w:rsidRPr="00B92499" w:rsidRDefault="00EE3F6D" w:rsidP="00830529">
            <w:pPr>
              <w:jc w:val="center"/>
              <w:rPr>
                <w:rFonts w:ascii="Arial" w:hAnsi="Arial" w:cs="Arial"/>
                <w:color w:val="000000"/>
                <w:sz w:val="20"/>
                <w:szCs w:val="20"/>
              </w:rPr>
            </w:pPr>
            <w:r w:rsidRPr="00B92499">
              <w:rPr>
                <w:rFonts w:ascii="Arial" w:hAnsi="Arial" w:cs="Arial"/>
                <w:color w:val="000000"/>
                <w:sz w:val="20"/>
                <w:szCs w:val="20"/>
              </w:rPr>
              <w:t>97.9</w:t>
            </w:r>
            <w:r w:rsidR="00830529" w:rsidRPr="00B92499">
              <w:rPr>
                <w:rFonts w:ascii="Arial" w:hAnsi="Arial" w:cs="Arial"/>
                <w:color w:val="000000"/>
                <w:sz w:val="20"/>
                <w:szCs w:val="20"/>
              </w:rPr>
              <w:t>2</w:t>
            </w:r>
          </w:p>
        </w:tc>
      </w:tr>
      <w:tr w:rsidR="00EE3F6D" w:rsidRPr="00B92499" w14:paraId="6E33CEB7" w14:textId="77777777" w:rsidTr="00EE3F6D">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C08A129" w14:textId="77777777" w:rsidR="00EE3F6D" w:rsidRPr="00B92499" w:rsidRDefault="00EE3F6D">
            <w:pPr>
              <w:jc w:val="center"/>
              <w:rPr>
                <w:rFonts w:ascii="Arial" w:hAnsi="Arial" w:cs="Arial"/>
                <w:color w:val="000000"/>
                <w:sz w:val="20"/>
                <w:szCs w:val="20"/>
              </w:rPr>
            </w:pPr>
            <w:r w:rsidRPr="00B92499">
              <w:rPr>
                <w:rFonts w:ascii="Arial" w:hAnsi="Arial" w:cs="Arial"/>
                <w:color w:val="000000"/>
                <w:sz w:val="20"/>
                <w:szCs w:val="20"/>
              </w:rPr>
              <w:t>VI</w:t>
            </w:r>
          </w:p>
        </w:tc>
        <w:tc>
          <w:tcPr>
            <w:tcW w:w="0" w:type="auto"/>
            <w:tcBorders>
              <w:top w:val="nil"/>
              <w:left w:val="nil"/>
              <w:bottom w:val="single" w:sz="4" w:space="0" w:color="auto"/>
              <w:right w:val="single" w:sz="4" w:space="0" w:color="auto"/>
            </w:tcBorders>
            <w:shd w:val="clear" w:color="auto" w:fill="auto"/>
            <w:vAlign w:val="center"/>
            <w:hideMark/>
          </w:tcPr>
          <w:p w14:paraId="421B5B5D" w14:textId="7F99EA2F" w:rsidR="00EE3F6D" w:rsidRPr="00B92499" w:rsidRDefault="00EE3F6D" w:rsidP="00EE3F6D">
            <w:pPr>
              <w:jc w:val="both"/>
              <w:rPr>
                <w:rFonts w:ascii="Arial" w:hAnsi="Arial" w:cs="Arial"/>
                <w:color w:val="000000"/>
                <w:sz w:val="20"/>
                <w:szCs w:val="20"/>
              </w:rPr>
            </w:pPr>
            <w:r w:rsidRPr="00B92499">
              <w:rPr>
                <w:rFonts w:ascii="Arial" w:hAnsi="Arial" w:cs="Arial"/>
                <w:color w:val="000000"/>
                <w:sz w:val="20"/>
                <w:szCs w:val="20"/>
              </w:rPr>
              <w:t>El Diario de Debates.</w:t>
            </w:r>
          </w:p>
        </w:tc>
        <w:tc>
          <w:tcPr>
            <w:tcW w:w="1229" w:type="dxa"/>
            <w:tcBorders>
              <w:top w:val="nil"/>
              <w:left w:val="nil"/>
              <w:bottom w:val="single" w:sz="4" w:space="0" w:color="auto"/>
              <w:right w:val="single" w:sz="4" w:space="0" w:color="auto"/>
            </w:tcBorders>
            <w:shd w:val="clear" w:color="auto" w:fill="auto"/>
            <w:vAlign w:val="center"/>
            <w:hideMark/>
          </w:tcPr>
          <w:p w14:paraId="2E8CE4D7" w14:textId="2CDBB64C" w:rsidR="00EE3F6D" w:rsidRPr="00B92499" w:rsidRDefault="00EE3F6D" w:rsidP="00830529">
            <w:pPr>
              <w:jc w:val="center"/>
              <w:rPr>
                <w:rFonts w:ascii="Arial" w:hAnsi="Arial" w:cs="Arial"/>
                <w:color w:val="000000"/>
                <w:sz w:val="20"/>
                <w:szCs w:val="20"/>
              </w:rPr>
            </w:pPr>
            <w:r w:rsidRPr="00B92499">
              <w:rPr>
                <w:rFonts w:ascii="Arial" w:hAnsi="Arial" w:cs="Arial"/>
                <w:color w:val="000000"/>
                <w:sz w:val="20"/>
                <w:szCs w:val="20"/>
              </w:rPr>
              <w:t>97.02</w:t>
            </w:r>
          </w:p>
        </w:tc>
      </w:tr>
      <w:tr w:rsidR="00EE3F6D" w:rsidRPr="00B92499" w14:paraId="5AB29B07" w14:textId="77777777" w:rsidTr="00EE3F6D">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48E2EAD" w14:textId="77777777" w:rsidR="00EE3F6D" w:rsidRPr="00B92499" w:rsidRDefault="00EE3F6D">
            <w:pPr>
              <w:jc w:val="center"/>
              <w:rPr>
                <w:rFonts w:ascii="Arial" w:hAnsi="Arial" w:cs="Arial"/>
                <w:color w:val="000000"/>
                <w:sz w:val="20"/>
                <w:szCs w:val="20"/>
              </w:rPr>
            </w:pPr>
            <w:r w:rsidRPr="00B92499">
              <w:rPr>
                <w:rFonts w:ascii="Arial" w:hAnsi="Arial" w:cs="Arial"/>
                <w:color w:val="000000"/>
                <w:sz w:val="20"/>
                <w:szCs w:val="20"/>
              </w:rPr>
              <w:t>VII</w:t>
            </w:r>
          </w:p>
        </w:tc>
        <w:tc>
          <w:tcPr>
            <w:tcW w:w="0" w:type="auto"/>
            <w:tcBorders>
              <w:top w:val="nil"/>
              <w:left w:val="nil"/>
              <w:bottom w:val="single" w:sz="4" w:space="0" w:color="auto"/>
              <w:right w:val="single" w:sz="4" w:space="0" w:color="auto"/>
            </w:tcBorders>
            <w:shd w:val="clear" w:color="auto" w:fill="auto"/>
            <w:vAlign w:val="center"/>
            <w:hideMark/>
          </w:tcPr>
          <w:p w14:paraId="6DA187C6" w14:textId="4EB9F90C" w:rsidR="00EE3F6D" w:rsidRPr="00B92499" w:rsidRDefault="00EE3F6D" w:rsidP="00EE3F6D">
            <w:pPr>
              <w:jc w:val="both"/>
              <w:rPr>
                <w:rFonts w:ascii="Arial" w:hAnsi="Arial" w:cs="Arial"/>
                <w:color w:val="000000"/>
                <w:sz w:val="20"/>
                <w:szCs w:val="20"/>
              </w:rPr>
            </w:pPr>
            <w:r w:rsidRPr="00B92499">
              <w:rPr>
                <w:rFonts w:ascii="Arial" w:hAnsi="Arial" w:cs="Arial"/>
                <w:color w:val="000000"/>
                <w:sz w:val="20"/>
                <w:szCs w:val="20"/>
              </w:rPr>
              <w:t>Las versiones estenográficas del Pleno, Mesa Directiva, Comisiones (permanente, ordinarias y especiales) y Comités.</w:t>
            </w:r>
          </w:p>
        </w:tc>
        <w:tc>
          <w:tcPr>
            <w:tcW w:w="1229" w:type="dxa"/>
            <w:tcBorders>
              <w:top w:val="nil"/>
              <w:left w:val="nil"/>
              <w:bottom w:val="single" w:sz="4" w:space="0" w:color="auto"/>
              <w:right w:val="single" w:sz="4" w:space="0" w:color="auto"/>
            </w:tcBorders>
            <w:shd w:val="clear" w:color="auto" w:fill="auto"/>
            <w:vAlign w:val="center"/>
            <w:hideMark/>
          </w:tcPr>
          <w:p w14:paraId="68E2AA78" w14:textId="40CF1F7F" w:rsidR="00EE3F6D" w:rsidRPr="00B92499" w:rsidRDefault="00EE3F6D" w:rsidP="00830529">
            <w:pPr>
              <w:jc w:val="center"/>
              <w:rPr>
                <w:rFonts w:ascii="Arial" w:hAnsi="Arial" w:cs="Arial"/>
                <w:color w:val="000000"/>
                <w:sz w:val="20"/>
                <w:szCs w:val="20"/>
              </w:rPr>
            </w:pPr>
            <w:r w:rsidRPr="00B92499">
              <w:rPr>
                <w:rFonts w:ascii="Arial" w:hAnsi="Arial" w:cs="Arial"/>
                <w:color w:val="000000"/>
                <w:sz w:val="20"/>
                <w:szCs w:val="20"/>
              </w:rPr>
              <w:t>96.9</w:t>
            </w:r>
            <w:r w:rsidR="00830529" w:rsidRPr="00B92499">
              <w:rPr>
                <w:rFonts w:ascii="Arial" w:hAnsi="Arial" w:cs="Arial"/>
                <w:color w:val="000000"/>
                <w:sz w:val="20"/>
                <w:szCs w:val="20"/>
              </w:rPr>
              <w:t>3</w:t>
            </w:r>
          </w:p>
        </w:tc>
      </w:tr>
      <w:tr w:rsidR="00EE3F6D" w:rsidRPr="00B92499" w14:paraId="5297FB08" w14:textId="77777777" w:rsidTr="00EE3F6D">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0F248CB" w14:textId="77777777" w:rsidR="00EE3F6D" w:rsidRPr="00B92499" w:rsidRDefault="00EE3F6D">
            <w:pPr>
              <w:jc w:val="center"/>
              <w:rPr>
                <w:rFonts w:ascii="Arial" w:hAnsi="Arial" w:cs="Arial"/>
                <w:color w:val="000000"/>
                <w:sz w:val="20"/>
                <w:szCs w:val="20"/>
              </w:rPr>
            </w:pPr>
            <w:r w:rsidRPr="00B92499">
              <w:rPr>
                <w:rFonts w:ascii="Arial" w:hAnsi="Arial" w:cs="Arial"/>
                <w:color w:val="000000"/>
                <w:sz w:val="20"/>
                <w:szCs w:val="20"/>
              </w:rPr>
              <w:t>XVI</w:t>
            </w:r>
          </w:p>
        </w:tc>
        <w:tc>
          <w:tcPr>
            <w:tcW w:w="0" w:type="auto"/>
            <w:tcBorders>
              <w:top w:val="nil"/>
              <w:left w:val="nil"/>
              <w:bottom w:val="single" w:sz="4" w:space="0" w:color="auto"/>
              <w:right w:val="single" w:sz="4" w:space="0" w:color="auto"/>
            </w:tcBorders>
            <w:shd w:val="clear" w:color="auto" w:fill="auto"/>
            <w:vAlign w:val="center"/>
            <w:hideMark/>
          </w:tcPr>
          <w:p w14:paraId="39DF40C7" w14:textId="4F941175" w:rsidR="00EE3F6D" w:rsidRPr="00B92499" w:rsidRDefault="00EE3F6D" w:rsidP="00EE3F6D">
            <w:pPr>
              <w:jc w:val="both"/>
              <w:rPr>
                <w:rFonts w:ascii="Arial" w:hAnsi="Arial" w:cs="Arial"/>
                <w:color w:val="000000"/>
                <w:sz w:val="20"/>
                <w:szCs w:val="20"/>
              </w:rPr>
            </w:pPr>
            <w:r w:rsidRPr="00B92499">
              <w:rPr>
                <w:rFonts w:ascii="Arial" w:hAnsi="Arial" w:cs="Arial"/>
                <w:color w:val="000000"/>
                <w:sz w:val="20"/>
                <w:szCs w:val="20"/>
              </w:rPr>
              <w:t>Las contrataciones de asesorías y servicios personales de los Órganos de Gobierno, Comisiones, Comités, Grupos Parlamentarios y centros de estudio u órganos de investigación.</w:t>
            </w:r>
          </w:p>
        </w:tc>
        <w:tc>
          <w:tcPr>
            <w:tcW w:w="1229" w:type="dxa"/>
            <w:tcBorders>
              <w:top w:val="nil"/>
              <w:left w:val="nil"/>
              <w:bottom w:val="single" w:sz="4" w:space="0" w:color="auto"/>
              <w:right w:val="single" w:sz="4" w:space="0" w:color="auto"/>
            </w:tcBorders>
            <w:shd w:val="clear" w:color="auto" w:fill="auto"/>
            <w:vAlign w:val="center"/>
            <w:hideMark/>
          </w:tcPr>
          <w:p w14:paraId="44C4F280" w14:textId="64F828CC" w:rsidR="00EE3F6D" w:rsidRPr="00B92499" w:rsidRDefault="00EE3F6D" w:rsidP="00830529">
            <w:pPr>
              <w:jc w:val="center"/>
              <w:rPr>
                <w:rFonts w:ascii="Arial" w:hAnsi="Arial" w:cs="Arial"/>
                <w:color w:val="000000"/>
                <w:sz w:val="20"/>
                <w:szCs w:val="20"/>
              </w:rPr>
            </w:pPr>
            <w:r w:rsidRPr="00B92499">
              <w:rPr>
                <w:rFonts w:ascii="Arial" w:hAnsi="Arial" w:cs="Arial"/>
                <w:color w:val="000000"/>
                <w:sz w:val="20"/>
                <w:szCs w:val="20"/>
              </w:rPr>
              <w:t>96.56</w:t>
            </w:r>
          </w:p>
        </w:tc>
      </w:tr>
      <w:tr w:rsidR="00EE3F6D" w:rsidRPr="00B92499" w14:paraId="5023BF87" w14:textId="77777777" w:rsidTr="00EE3F6D">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B863647" w14:textId="77777777" w:rsidR="00EE3F6D" w:rsidRPr="00B92499" w:rsidRDefault="00EE3F6D">
            <w:pPr>
              <w:jc w:val="center"/>
              <w:rPr>
                <w:rFonts w:ascii="Arial" w:hAnsi="Arial" w:cs="Arial"/>
                <w:color w:val="000000"/>
                <w:sz w:val="20"/>
                <w:szCs w:val="20"/>
              </w:rPr>
            </w:pPr>
            <w:r w:rsidRPr="00B92499">
              <w:rPr>
                <w:rFonts w:ascii="Arial" w:hAnsi="Arial" w:cs="Arial"/>
                <w:color w:val="000000"/>
                <w:sz w:val="20"/>
                <w:szCs w:val="20"/>
              </w:rPr>
              <w:t>IV</w:t>
            </w:r>
          </w:p>
        </w:tc>
        <w:tc>
          <w:tcPr>
            <w:tcW w:w="0" w:type="auto"/>
            <w:tcBorders>
              <w:top w:val="nil"/>
              <w:left w:val="nil"/>
              <w:bottom w:val="single" w:sz="4" w:space="0" w:color="auto"/>
              <w:right w:val="single" w:sz="4" w:space="0" w:color="auto"/>
            </w:tcBorders>
            <w:shd w:val="clear" w:color="auto" w:fill="auto"/>
            <w:vAlign w:val="center"/>
            <w:hideMark/>
          </w:tcPr>
          <w:p w14:paraId="56DD0980" w14:textId="7E6E9602" w:rsidR="00EE3F6D" w:rsidRPr="00B92499" w:rsidRDefault="00EE3F6D" w:rsidP="00EE3F6D">
            <w:pPr>
              <w:jc w:val="both"/>
              <w:rPr>
                <w:rFonts w:ascii="Arial" w:hAnsi="Arial" w:cs="Arial"/>
                <w:color w:val="000000"/>
                <w:sz w:val="20"/>
                <w:szCs w:val="20"/>
              </w:rPr>
            </w:pPr>
            <w:r w:rsidRPr="00B92499">
              <w:rPr>
                <w:rFonts w:ascii="Arial" w:hAnsi="Arial" w:cs="Arial"/>
                <w:color w:val="000000"/>
                <w:sz w:val="20"/>
                <w:szCs w:val="20"/>
              </w:rPr>
              <w:t>Gaceta Parlamentaria.</w:t>
            </w:r>
          </w:p>
        </w:tc>
        <w:tc>
          <w:tcPr>
            <w:tcW w:w="1229" w:type="dxa"/>
            <w:tcBorders>
              <w:top w:val="nil"/>
              <w:left w:val="nil"/>
              <w:bottom w:val="single" w:sz="4" w:space="0" w:color="auto"/>
              <w:right w:val="single" w:sz="4" w:space="0" w:color="auto"/>
            </w:tcBorders>
            <w:shd w:val="clear" w:color="auto" w:fill="auto"/>
            <w:vAlign w:val="center"/>
            <w:hideMark/>
          </w:tcPr>
          <w:p w14:paraId="78C246D1" w14:textId="1F41F5E6" w:rsidR="00EE3F6D" w:rsidRPr="00B92499" w:rsidRDefault="00EE3F6D" w:rsidP="00830529">
            <w:pPr>
              <w:jc w:val="center"/>
              <w:rPr>
                <w:rFonts w:ascii="Arial" w:hAnsi="Arial" w:cs="Arial"/>
                <w:color w:val="000000"/>
                <w:sz w:val="20"/>
                <w:szCs w:val="20"/>
              </w:rPr>
            </w:pPr>
            <w:r w:rsidRPr="00B92499">
              <w:rPr>
                <w:rFonts w:ascii="Arial" w:hAnsi="Arial" w:cs="Arial"/>
                <w:color w:val="000000"/>
                <w:sz w:val="20"/>
                <w:szCs w:val="20"/>
              </w:rPr>
              <w:t>95.83</w:t>
            </w:r>
          </w:p>
        </w:tc>
      </w:tr>
      <w:tr w:rsidR="00EE3F6D" w:rsidRPr="00B92499" w14:paraId="6AB705E3" w14:textId="77777777" w:rsidTr="00EE3F6D">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67784C6" w14:textId="77777777" w:rsidR="00EE3F6D" w:rsidRPr="00B92499" w:rsidRDefault="00EE3F6D">
            <w:pPr>
              <w:jc w:val="center"/>
              <w:rPr>
                <w:rFonts w:ascii="Arial" w:hAnsi="Arial" w:cs="Arial"/>
                <w:color w:val="000000"/>
                <w:sz w:val="20"/>
                <w:szCs w:val="20"/>
              </w:rPr>
            </w:pPr>
            <w:r w:rsidRPr="00B92499">
              <w:rPr>
                <w:rFonts w:ascii="Arial" w:hAnsi="Arial" w:cs="Arial"/>
                <w:color w:val="000000"/>
                <w:sz w:val="20"/>
                <w:szCs w:val="20"/>
              </w:rPr>
              <w:t>XXXV</w:t>
            </w:r>
          </w:p>
        </w:tc>
        <w:tc>
          <w:tcPr>
            <w:tcW w:w="0" w:type="auto"/>
            <w:tcBorders>
              <w:top w:val="nil"/>
              <w:left w:val="nil"/>
              <w:bottom w:val="single" w:sz="4" w:space="0" w:color="auto"/>
              <w:right w:val="single" w:sz="4" w:space="0" w:color="auto"/>
            </w:tcBorders>
            <w:shd w:val="clear" w:color="auto" w:fill="auto"/>
            <w:vAlign w:val="center"/>
            <w:hideMark/>
          </w:tcPr>
          <w:p w14:paraId="322D5488" w14:textId="77777777" w:rsidR="00EE3F6D" w:rsidRPr="00B92499" w:rsidRDefault="00EE3F6D" w:rsidP="00EE3F6D">
            <w:pPr>
              <w:jc w:val="both"/>
              <w:rPr>
                <w:rFonts w:ascii="Arial" w:hAnsi="Arial" w:cs="Arial"/>
                <w:color w:val="000000"/>
                <w:sz w:val="20"/>
                <w:szCs w:val="20"/>
              </w:rPr>
            </w:pPr>
            <w:r w:rsidRPr="00B92499">
              <w:rPr>
                <w:rFonts w:ascii="Arial" w:hAnsi="Arial" w:cs="Arial"/>
                <w:color w:val="000000"/>
                <w:sz w:val="20"/>
                <w:szCs w:val="20"/>
              </w:rPr>
              <w:t>Una descripción general del proceso legislativo.</w:t>
            </w:r>
          </w:p>
        </w:tc>
        <w:tc>
          <w:tcPr>
            <w:tcW w:w="1229" w:type="dxa"/>
            <w:tcBorders>
              <w:top w:val="nil"/>
              <w:left w:val="nil"/>
              <w:bottom w:val="single" w:sz="4" w:space="0" w:color="auto"/>
              <w:right w:val="single" w:sz="4" w:space="0" w:color="auto"/>
            </w:tcBorders>
            <w:shd w:val="clear" w:color="auto" w:fill="auto"/>
            <w:vAlign w:val="center"/>
            <w:hideMark/>
          </w:tcPr>
          <w:p w14:paraId="1010AC84" w14:textId="40833F96" w:rsidR="00EE3F6D" w:rsidRPr="00B92499" w:rsidRDefault="00EE3F6D" w:rsidP="00830529">
            <w:pPr>
              <w:jc w:val="center"/>
              <w:rPr>
                <w:rFonts w:ascii="Arial" w:hAnsi="Arial" w:cs="Arial"/>
                <w:color w:val="000000"/>
                <w:sz w:val="20"/>
                <w:szCs w:val="20"/>
              </w:rPr>
            </w:pPr>
            <w:r w:rsidRPr="00B92499">
              <w:rPr>
                <w:rFonts w:ascii="Arial" w:hAnsi="Arial" w:cs="Arial"/>
                <w:color w:val="000000"/>
                <w:sz w:val="20"/>
                <w:szCs w:val="20"/>
              </w:rPr>
              <w:t>95.83</w:t>
            </w:r>
          </w:p>
        </w:tc>
      </w:tr>
      <w:tr w:rsidR="00EE3F6D" w:rsidRPr="00B92499" w14:paraId="5143EFB8" w14:textId="77777777" w:rsidTr="00EE3F6D">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A69CFAD" w14:textId="77777777" w:rsidR="00EE3F6D" w:rsidRPr="00B92499" w:rsidRDefault="00EE3F6D">
            <w:pPr>
              <w:jc w:val="center"/>
              <w:rPr>
                <w:rFonts w:ascii="Arial" w:hAnsi="Arial" w:cs="Arial"/>
                <w:color w:val="000000"/>
                <w:sz w:val="20"/>
                <w:szCs w:val="20"/>
              </w:rPr>
            </w:pPr>
            <w:r w:rsidRPr="00B92499">
              <w:rPr>
                <w:rFonts w:ascii="Arial" w:hAnsi="Arial" w:cs="Arial"/>
                <w:color w:val="000000"/>
                <w:sz w:val="20"/>
                <w:szCs w:val="20"/>
              </w:rPr>
              <w:t>III</w:t>
            </w:r>
          </w:p>
        </w:tc>
        <w:tc>
          <w:tcPr>
            <w:tcW w:w="0" w:type="auto"/>
            <w:tcBorders>
              <w:top w:val="nil"/>
              <w:left w:val="nil"/>
              <w:bottom w:val="single" w:sz="4" w:space="0" w:color="auto"/>
              <w:right w:val="single" w:sz="4" w:space="0" w:color="auto"/>
            </w:tcBorders>
            <w:shd w:val="clear" w:color="auto" w:fill="auto"/>
            <w:vAlign w:val="center"/>
            <w:hideMark/>
          </w:tcPr>
          <w:p w14:paraId="1850DD24" w14:textId="737DC921" w:rsidR="00EE3F6D" w:rsidRPr="00B92499" w:rsidRDefault="00EE3F6D" w:rsidP="00EE3F6D">
            <w:pPr>
              <w:jc w:val="both"/>
              <w:rPr>
                <w:rFonts w:ascii="Arial" w:hAnsi="Arial" w:cs="Arial"/>
                <w:color w:val="000000"/>
                <w:sz w:val="20"/>
                <w:szCs w:val="20"/>
              </w:rPr>
            </w:pPr>
            <w:r w:rsidRPr="00B92499">
              <w:rPr>
                <w:rFonts w:ascii="Arial" w:hAnsi="Arial" w:cs="Arial"/>
                <w:color w:val="000000"/>
                <w:sz w:val="20"/>
                <w:szCs w:val="20"/>
              </w:rPr>
              <w:t>Agenda Legislativa de los Grupos Parlamentarios.</w:t>
            </w:r>
          </w:p>
        </w:tc>
        <w:tc>
          <w:tcPr>
            <w:tcW w:w="1229" w:type="dxa"/>
            <w:tcBorders>
              <w:top w:val="nil"/>
              <w:left w:val="nil"/>
              <w:bottom w:val="single" w:sz="4" w:space="0" w:color="auto"/>
              <w:right w:val="single" w:sz="4" w:space="0" w:color="auto"/>
            </w:tcBorders>
            <w:shd w:val="clear" w:color="auto" w:fill="auto"/>
            <w:vAlign w:val="center"/>
            <w:hideMark/>
          </w:tcPr>
          <w:p w14:paraId="714077E1" w14:textId="062B3ED4" w:rsidR="00EE3F6D" w:rsidRPr="00B92499" w:rsidRDefault="00EE3F6D" w:rsidP="00830529">
            <w:pPr>
              <w:jc w:val="center"/>
              <w:rPr>
                <w:rFonts w:ascii="Arial" w:hAnsi="Arial" w:cs="Arial"/>
                <w:color w:val="000000"/>
                <w:sz w:val="20"/>
                <w:szCs w:val="20"/>
              </w:rPr>
            </w:pPr>
            <w:r w:rsidRPr="00B92499">
              <w:rPr>
                <w:rFonts w:ascii="Arial" w:hAnsi="Arial" w:cs="Arial"/>
                <w:color w:val="000000"/>
                <w:sz w:val="20"/>
                <w:szCs w:val="20"/>
              </w:rPr>
              <w:t>89.46</w:t>
            </w:r>
          </w:p>
        </w:tc>
      </w:tr>
      <w:tr w:rsidR="00EE3F6D" w:rsidRPr="00B92499" w14:paraId="21286F96" w14:textId="77777777" w:rsidTr="00EE3F6D">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6503EC9" w14:textId="77777777" w:rsidR="00EE3F6D" w:rsidRPr="00B92499" w:rsidRDefault="00EE3F6D">
            <w:pPr>
              <w:jc w:val="center"/>
              <w:rPr>
                <w:rFonts w:ascii="Arial" w:hAnsi="Arial" w:cs="Arial"/>
                <w:color w:val="000000"/>
                <w:sz w:val="20"/>
                <w:szCs w:val="20"/>
              </w:rPr>
            </w:pPr>
            <w:r w:rsidRPr="00B92499">
              <w:rPr>
                <w:rFonts w:ascii="Arial" w:hAnsi="Arial" w:cs="Arial"/>
                <w:color w:val="000000"/>
                <w:sz w:val="20"/>
                <w:szCs w:val="20"/>
              </w:rPr>
              <w:t>XX</w:t>
            </w:r>
          </w:p>
        </w:tc>
        <w:tc>
          <w:tcPr>
            <w:tcW w:w="0" w:type="auto"/>
            <w:tcBorders>
              <w:top w:val="nil"/>
              <w:left w:val="nil"/>
              <w:bottom w:val="single" w:sz="4" w:space="0" w:color="auto"/>
              <w:right w:val="single" w:sz="4" w:space="0" w:color="auto"/>
            </w:tcBorders>
            <w:shd w:val="clear" w:color="auto" w:fill="auto"/>
            <w:vAlign w:val="center"/>
            <w:hideMark/>
          </w:tcPr>
          <w:p w14:paraId="3F856FCC" w14:textId="3B99E150" w:rsidR="00EE3F6D" w:rsidRPr="00B92499" w:rsidRDefault="00EE3F6D" w:rsidP="00EE3F6D">
            <w:pPr>
              <w:jc w:val="both"/>
              <w:rPr>
                <w:rFonts w:ascii="Arial" w:hAnsi="Arial" w:cs="Arial"/>
                <w:color w:val="000000"/>
                <w:sz w:val="20"/>
                <w:szCs w:val="20"/>
              </w:rPr>
            </w:pPr>
            <w:r w:rsidRPr="00B92499">
              <w:rPr>
                <w:rFonts w:ascii="Arial" w:hAnsi="Arial" w:cs="Arial"/>
                <w:color w:val="000000"/>
                <w:sz w:val="20"/>
                <w:szCs w:val="20"/>
              </w:rPr>
              <w:t>Asignación y destino final de los bienes materiales.</w:t>
            </w:r>
          </w:p>
        </w:tc>
        <w:tc>
          <w:tcPr>
            <w:tcW w:w="1229" w:type="dxa"/>
            <w:tcBorders>
              <w:top w:val="nil"/>
              <w:left w:val="nil"/>
              <w:bottom w:val="single" w:sz="4" w:space="0" w:color="auto"/>
              <w:right w:val="single" w:sz="4" w:space="0" w:color="auto"/>
            </w:tcBorders>
            <w:shd w:val="clear" w:color="auto" w:fill="auto"/>
            <w:vAlign w:val="center"/>
            <w:hideMark/>
          </w:tcPr>
          <w:p w14:paraId="7D1EC996" w14:textId="4415FC9E" w:rsidR="00EE3F6D" w:rsidRPr="00B92499" w:rsidRDefault="00EE3F6D" w:rsidP="00EE3F6D">
            <w:pPr>
              <w:jc w:val="center"/>
              <w:rPr>
                <w:rFonts w:ascii="Arial" w:hAnsi="Arial" w:cs="Arial"/>
                <w:color w:val="000000"/>
                <w:sz w:val="20"/>
                <w:szCs w:val="20"/>
              </w:rPr>
            </w:pPr>
            <w:r w:rsidRPr="00B92499">
              <w:rPr>
                <w:rFonts w:ascii="Arial" w:hAnsi="Arial" w:cs="Arial"/>
                <w:color w:val="000000"/>
                <w:sz w:val="20"/>
                <w:szCs w:val="20"/>
              </w:rPr>
              <w:t>87.5</w:t>
            </w:r>
            <w:r w:rsidR="00830529" w:rsidRPr="00B92499">
              <w:rPr>
                <w:rFonts w:ascii="Arial" w:hAnsi="Arial" w:cs="Arial"/>
                <w:color w:val="000000"/>
                <w:sz w:val="20"/>
                <w:szCs w:val="20"/>
              </w:rPr>
              <w:t>0</w:t>
            </w:r>
          </w:p>
        </w:tc>
      </w:tr>
      <w:tr w:rsidR="00EE3F6D" w:rsidRPr="00B92499" w14:paraId="6BF04CAF" w14:textId="77777777" w:rsidTr="00EE3F6D">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74D9D25" w14:textId="77777777" w:rsidR="00EE3F6D" w:rsidRPr="00B92499" w:rsidRDefault="00EE3F6D">
            <w:pPr>
              <w:jc w:val="center"/>
              <w:rPr>
                <w:rFonts w:ascii="Arial" w:hAnsi="Arial" w:cs="Arial"/>
                <w:color w:val="000000"/>
                <w:sz w:val="20"/>
                <w:szCs w:val="20"/>
              </w:rPr>
            </w:pPr>
            <w:r w:rsidRPr="00B92499">
              <w:rPr>
                <w:rFonts w:ascii="Arial" w:hAnsi="Arial" w:cs="Arial"/>
                <w:color w:val="000000"/>
                <w:sz w:val="20"/>
                <w:szCs w:val="20"/>
              </w:rPr>
              <w:t>XXIV</w:t>
            </w:r>
          </w:p>
        </w:tc>
        <w:tc>
          <w:tcPr>
            <w:tcW w:w="0" w:type="auto"/>
            <w:tcBorders>
              <w:top w:val="nil"/>
              <w:left w:val="nil"/>
              <w:bottom w:val="single" w:sz="4" w:space="0" w:color="auto"/>
              <w:right w:val="single" w:sz="4" w:space="0" w:color="auto"/>
            </w:tcBorders>
            <w:shd w:val="clear" w:color="auto" w:fill="auto"/>
            <w:vAlign w:val="center"/>
            <w:hideMark/>
          </w:tcPr>
          <w:p w14:paraId="67924B23" w14:textId="45F27D28" w:rsidR="00EE3F6D" w:rsidRPr="00B92499" w:rsidRDefault="00EE3F6D" w:rsidP="00EE3F6D">
            <w:pPr>
              <w:jc w:val="both"/>
              <w:rPr>
                <w:rFonts w:ascii="Arial" w:hAnsi="Arial" w:cs="Arial"/>
                <w:color w:val="000000"/>
                <w:sz w:val="20"/>
                <w:szCs w:val="20"/>
              </w:rPr>
            </w:pPr>
            <w:r w:rsidRPr="00B92499">
              <w:rPr>
                <w:rFonts w:ascii="Arial" w:hAnsi="Arial" w:cs="Arial"/>
                <w:color w:val="000000"/>
                <w:sz w:val="20"/>
                <w:szCs w:val="20"/>
              </w:rPr>
              <w:t>Los recursos económicos, el proceso de asignación y los capítulos y partidas de gasto pertenecientes a ese total; así como los informes que éstos presenten sobre su uso y destino final.</w:t>
            </w:r>
          </w:p>
        </w:tc>
        <w:tc>
          <w:tcPr>
            <w:tcW w:w="1229" w:type="dxa"/>
            <w:tcBorders>
              <w:top w:val="nil"/>
              <w:left w:val="nil"/>
              <w:bottom w:val="single" w:sz="4" w:space="0" w:color="auto"/>
              <w:right w:val="single" w:sz="4" w:space="0" w:color="auto"/>
            </w:tcBorders>
            <w:shd w:val="clear" w:color="auto" w:fill="auto"/>
            <w:vAlign w:val="center"/>
            <w:hideMark/>
          </w:tcPr>
          <w:p w14:paraId="72596E7B" w14:textId="1A891CAE" w:rsidR="00EE3F6D" w:rsidRPr="00B92499" w:rsidRDefault="00EE3F6D" w:rsidP="00830529">
            <w:pPr>
              <w:jc w:val="center"/>
              <w:rPr>
                <w:rFonts w:ascii="Arial" w:hAnsi="Arial" w:cs="Arial"/>
                <w:color w:val="000000"/>
                <w:sz w:val="20"/>
                <w:szCs w:val="20"/>
              </w:rPr>
            </w:pPr>
            <w:r w:rsidRPr="00B92499">
              <w:rPr>
                <w:rFonts w:ascii="Arial" w:hAnsi="Arial" w:cs="Arial"/>
                <w:color w:val="000000"/>
                <w:sz w:val="20"/>
                <w:szCs w:val="20"/>
              </w:rPr>
              <w:t>86.11</w:t>
            </w:r>
          </w:p>
        </w:tc>
      </w:tr>
      <w:tr w:rsidR="00EE3F6D" w:rsidRPr="00B92499" w14:paraId="5F678E99" w14:textId="77777777" w:rsidTr="00EE3F6D">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CBAB3E8" w14:textId="77777777" w:rsidR="00EE3F6D" w:rsidRPr="00B92499" w:rsidRDefault="00EE3F6D">
            <w:pPr>
              <w:jc w:val="center"/>
              <w:rPr>
                <w:rFonts w:ascii="Arial" w:hAnsi="Arial" w:cs="Arial"/>
                <w:color w:val="000000"/>
                <w:sz w:val="20"/>
                <w:szCs w:val="20"/>
              </w:rPr>
            </w:pPr>
            <w:r w:rsidRPr="00B92499">
              <w:rPr>
                <w:rFonts w:ascii="Arial" w:hAnsi="Arial" w:cs="Arial"/>
                <w:color w:val="000000"/>
                <w:sz w:val="20"/>
                <w:szCs w:val="20"/>
              </w:rPr>
              <w:lastRenderedPageBreak/>
              <w:t>XXII</w:t>
            </w:r>
          </w:p>
        </w:tc>
        <w:tc>
          <w:tcPr>
            <w:tcW w:w="0" w:type="auto"/>
            <w:tcBorders>
              <w:top w:val="nil"/>
              <w:left w:val="nil"/>
              <w:bottom w:val="single" w:sz="4" w:space="0" w:color="auto"/>
              <w:right w:val="single" w:sz="4" w:space="0" w:color="auto"/>
            </w:tcBorders>
            <w:shd w:val="clear" w:color="auto" w:fill="auto"/>
            <w:vAlign w:val="center"/>
            <w:hideMark/>
          </w:tcPr>
          <w:p w14:paraId="2194BF7F" w14:textId="0AE3594C" w:rsidR="00EE3F6D" w:rsidRPr="00B92499" w:rsidRDefault="00EE3F6D" w:rsidP="00EE3F6D">
            <w:pPr>
              <w:jc w:val="both"/>
              <w:rPr>
                <w:rFonts w:ascii="Arial" w:hAnsi="Arial" w:cs="Arial"/>
                <w:color w:val="000000"/>
                <w:sz w:val="20"/>
                <w:szCs w:val="20"/>
              </w:rPr>
            </w:pPr>
            <w:r w:rsidRPr="00B92499">
              <w:rPr>
                <w:rFonts w:ascii="Arial" w:hAnsi="Arial" w:cs="Arial"/>
                <w:color w:val="000000"/>
                <w:sz w:val="20"/>
                <w:szCs w:val="20"/>
              </w:rPr>
              <w:t xml:space="preserve">Los dictámenes de cuenta </w:t>
            </w:r>
            <w:r w:rsidR="00C7683E" w:rsidRPr="00B92499">
              <w:rPr>
                <w:rFonts w:ascii="Arial" w:hAnsi="Arial" w:cs="Arial"/>
                <w:color w:val="000000"/>
                <w:sz w:val="20"/>
                <w:szCs w:val="20"/>
              </w:rPr>
              <w:t>pública,</w:t>
            </w:r>
            <w:r w:rsidRPr="00B92499">
              <w:rPr>
                <w:rFonts w:ascii="Arial" w:hAnsi="Arial" w:cs="Arial"/>
                <w:color w:val="000000"/>
                <w:sz w:val="20"/>
                <w:szCs w:val="20"/>
              </w:rPr>
              <w:t xml:space="preserve"> así como los estados financieros y demás información que los órganos de fiscalización superior utilizan para emitir dichos dictámenes.</w:t>
            </w:r>
          </w:p>
        </w:tc>
        <w:tc>
          <w:tcPr>
            <w:tcW w:w="1229" w:type="dxa"/>
            <w:tcBorders>
              <w:top w:val="nil"/>
              <w:left w:val="nil"/>
              <w:bottom w:val="single" w:sz="4" w:space="0" w:color="auto"/>
              <w:right w:val="single" w:sz="4" w:space="0" w:color="auto"/>
            </w:tcBorders>
            <w:shd w:val="clear" w:color="auto" w:fill="auto"/>
            <w:vAlign w:val="center"/>
            <w:hideMark/>
          </w:tcPr>
          <w:p w14:paraId="62833A7C" w14:textId="191E0C8A" w:rsidR="00EE3F6D" w:rsidRPr="00B92499" w:rsidRDefault="00EE3F6D" w:rsidP="00EE3F6D">
            <w:pPr>
              <w:jc w:val="center"/>
              <w:rPr>
                <w:rFonts w:ascii="Arial" w:hAnsi="Arial" w:cs="Arial"/>
                <w:color w:val="000000"/>
                <w:sz w:val="20"/>
                <w:szCs w:val="20"/>
              </w:rPr>
            </w:pPr>
            <w:r w:rsidRPr="00B92499">
              <w:rPr>
                <w:rFonts w:ascii="Arial" w:hAnsi="Arial" w:cs="Arial"/>
                <w:color w:val="000000"/>
                <w:sz w:val="20"/>
                <w:szCs w:val="20"/>
              </w:rPr>
              <w:t>50</w:t>
            </w:r>
            <w:r w:rsidR="00830529" w:rsidRPr="00B92499">
              <w:rPr>
                <w:rFonts w:ascii="Arial" w:hAnsi="Arial" w:cs="Arial"/>
                <w:color w:val="000000"/>
                <w:sz w:val="20"/>
                <w:szCs w:val="20"/>
              </w:rPr>
              <w:t>.00</w:t>
            </w:r>
          </w:p>
        </w:tc>
      </w:tr>
      <w:tr w:rsidR="00EE3F6D" w:rsidRPr="00B92499" w14:paraId="3B89D18D" w14:textId="77777777" w:rsidTr="00EE3F6D">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2D65E79" w14:textId="77777777" w:rsidR="00EE3F6D" w:rsidRPr="00B92499" w:rsidRDefault="00EE3F6D">
            <w:pPr>
              <w:jc w:val="center"/>
              <w:rPr>
                <w:rFonts w:ascii="Arial" w:hAnsi="Arial" w:cs="Arial"/>
                <w:color w:val="000000"/>
                <w:sz w:val="20"/>
                <w:szCs w:val="20"/>
              </w:rPr>
            </w:pPr>
            <w:r w:rsidRPr="00B92499">
              <w:rPr>
                <w:rFonts w:ascii="Arial" w:hAnsi="Arial" w:cs="Arial"/>
                <w:color w:val="000000"/>
                <w:sz w:val="20"/>
                <w:szCs w:val="20"/>
              </w:rPr>
              <w:t>XXVI</w:t>
            </w:r>
          </w:p>
        </w:tc>
        <w:tc>
          <w:tcPr>
            <w:tcW w:w="0" w:type="auto"/>
            <w:tcBorders>
              <w:top w:val="nil"/>
              <w:left w:val="nil"/>
              <w:bottom w:val="single" w:sz="4" w:space="0" w:color="auto"/>
              <w:right w:val="single" w:sz="4" w:space="0" w:color="auto"/>
            </w:tcBorders>
            <w:shd w:val="clear" w:color="auto" w:fill="auto"/>
            <w:vAlign w:val="center"/>
            <w:hideMark/>
          </w:tcPr>
          <w:p w14:paraId="14F30819" w14:textId="73E411D5" w:rsidR="00EE3F6D" w:rsidRPr="00B92499" w:rsidRDefault="00EE3F6D" w:rsidP="00EE3F6D">
            <w:pPr>
              <w:jc w:val="both"/>
              <w:rPr>
                <w:rFonts w:ascii="Arial" w:hAnsi="Arial" w:cs="Arial"/>
                <w:color w:val="000000"/>
                <w:sz w:val="20"/>
                <w:szCs w:val="20"/>
              </w:rPr>
            </w:pPr>
            <w:r w:rsidRPr="00B92499">
              <w:rPr>
                <w:rFonts w:ascii="Arial" w:hAnsi="Arial" w:cs="Arial"/>
                <w:color w:val="000000"/>
                <w:sz w:val="20"/>
                <w:szCs w:val="20"/>
              </w:rPr>
              <w:t>El informe anual del ejercicio del gasto, que elabora el Comité de Administración, una vez que haya sido conocido por el Pleno.</w:t>
            </w:r>
          </w:p>
        </w:tc>
        <w:tc>
          <w:tcPr>
            <w:tcW w:w="1229" w:type="dxa"/>
            <w:tcBorders>
              <w:top w:val="nil"/>
              <w:left w:val="nil"/>
              <w:bottom w:val="single" w:sz="4" w:space="0" w:color="auto"/>
              <w:right w:val="single" w:sz="4" w:space="0" w:color="auto"/>
            </w:tcBorders>
            <w:shd w:val="clear" w:color="auto" w:fill="auto"/>
            <w:vAlign w:val="center"/>
            <w:hideMark/>
          </w:tcPr>
          <w:p w14:paraId="4A8A6D24" w14:textId="30D3CEFE" w:rsidR="00EE3F6D" w:rsidRPr="00B92499" w:rsidRDefault="00EE3F6D" w:rsidP="00EE3F6D">
            <w:pPr>
              <w:jc w:val="center"/>
              <w:rPr>
                <w:rFonts w:ascii="Arial" w:hAnsi="Arial" w:cs="Arial"/>
                <w:color w:val="000000"/>
                <w:sz w:val="20"/>
                <w:szCs w:val="20"/>
              </w:rPr>
            </w:pPr>
            <w:r w:rsidRPr="00B92499">
              <w:rPr>
                <w:rFonts w:ascii="Arial" w:hAnsi="Arial" w:cs="Arial"/>
                <w:color w:val="000000"/>
                <w:sz w:val="20"/>
                <w:szCs w:val="20"/>
              </w:rPr>
              <w:t>50</w:t>
            </w:r>
            <w:r w:rsidR="00830529" w:rsidRPr="00B92499">
              <w:rPr>
                <w:rFonts w:ascii="Arial" w:hAnsi="Arial" w:cs="Arial"/>
                <w:color w:val="000000"/>
                <w:sz w:val="20"/>
                <w:szCs w:val="20"/>
              </w:rPr>
              <w:t>.00</w:t>
            </w:r>
          </w:p>
        </w:tc>
      </w:tr>
    </w:tbl>
    <w:p w14:paraId="05609A20" w14:textId="77777777" w:rsidR="00323ABF" w:rsidRPr="00B92499" w:rsidRDefault="00323ABF" w:rsidP="00323ABF">
      <w:pPr>
        <w:rPr>
          <w:lang w:eastAsia="en-US"/>
        </w:rPr>
      </w:pPr>
    </w:p>
    <w:p w14:paraId="660565DC" w14:textId="536A6E69" w:rsidR="00323ABF" w:rsidRPr="00B92499" w:rsidRDefault="00323ABF" w:rsidP="009F64B5">
      <w:pPr>
        <w:pStyle w:val="Ttulo2"/>
        <w:numPr>
          <w:ilvl w:val="1"/>
          <w:numId w:val="22"/>
        </w:numPr>
        <w:contextualSpacing/>
        <w:jc w:val="both"/>
        <w:rPr>
          <w:rFonts w:ascii="Arial" w:hAnsi="Arial" w:cs="Arial"/>
          <w:b/>
          <w:color w:val="auto"/>
          <w:sz w:val="24"/>
          <w:szCs w:val="24"/>
        </w:rPr>
      </w:pPr>
      <w:bookmarkStart w:id="43" w:name="_Toc23252999"/>
      <w:r w:rsidRPr="00B92499">
        <w:rPr>
          <w:rFonts w:ascii="Arial" w:hAnsi="Arial" w:cs="Arial"/>
          <w:b/>
          <w:color w:val="auto"/>
          <w:sz w:val="24"/>
          <w:szCs w:val="24"/>
        </w:rPr>
        <w:t>Análisis de</w:t>
      </w:r>
      <w:r w:rsidR="00C7683E" w:rsidRPr="00B92499">
        <w:rPr>
          <w:rFonts w:ascii="Arial" w:hAnsi="Arial" w:cs="Arial"/>
          <w:b/>
          <w:color w:val="auto"/>
          <w:sz w:val="24"/>
          <w:szCs w:val="24"/>
        </w:rPr>
        <w:t xml:space="preserve"> </w:t>
      </w:r>
      <w:r w:rsidRPr="00B92499">
        <w:rPr>
          <w:rFonts w:ascii="Arial" w:hAnsi="Arial" w:cs="Arial"/>
          <w:b/>
          <w:color w:val="auto"/>
          <w:sz w:val="24"/>
          <w:szCs w:val="24"/>
        </w:rPr>
        <w:t>l</w:t>
      </w:r>
      <w:r w:rsidR="00C7683E" w:rsidRPr="00B92499">
        <w:rPr>
          <w:rFonts w:ascii="Arial" w:hAnsi="Arial" w:cs="Arial"/>
          <w:b/>
          <w:color w:val="auto"/>
          <w:sz w:val="24"/>
          <w:szCs w:val="24"/>
        </w:rPr>
        <w:t>os</w:t>
      </w:r>
      <w:r w:rsidRPr="00B92499">
        <w:rPr>
          <w:rFonts w:ascii="Arial" w:hAnsi="Arial" w:cs="Arial"/>
          <w:b/>
          <w:color w:val="auto"/>
          <w:sz w:val="24"/>
          <w:szCs w:val="24"/>
        </w:rPr>
        <w:t xml:space="preserve"> </w:t>
      </w:r>
      <w:r w:rsidR="008F67E4" w:rsidRPr="00B92499">
        <w:rPr>
          <w:rFonts w:ascii="Arial" w:hAnsi="Arial" w:cs="Arial"/>
          <w:b/>
          <w:color w:val="auto"/>
          <w:sz w:val="24"/>
          <w:szCs w:val="24"/>
        </w:rPr>
        <w:t>artículo</w:t>
      </w:r>
      <w:r w:rsidR="00C7683E" w:rsidRPr="00B92499">
        <w:rPr>
          <w:rFonts w:ascii="Arial" w:hAnsi="Arial" w:cs="Arial"/>
          <w:b/>
          <w:color w:val="auto"/>
          <w:sz w:val="24"/>
          <w:szCs w:val="24"/>
        </w:rPr>
        <w:t>s</w:t>
      </w:r>
      <w:r w:rsidRPr="00B92499">
        <w:rPr>
          <w:rFonts w:ascii="Arial" w:hAnsi="Arial" w:cs="Arial"/>
          <w:b/>
          <w:color w:val="auto"/>
          <w:sz w:val="24"/>
          <w:szCs w:val="24"/>
        </w:rPr>
        <w:t xml:space="preserve"> 145</w:t>
      </w:r>
      <w:r w:rsidR="00EE3F6D" w:rsidRPr="00B92499">
        <w:rPr>
          <w:rFonts w:ascii="Arial" w:hAnsi="Arial" w:cs="Arial"/>
          <w:b/>
          <w:color w:val="auto"/>
          <w:sz w:val="24"/>
          <w:szCs w:val="24"/>
        </w:rPr>
        <w:t xml:space="preserve"> y 146</w:t>
      </w:r>
      <w:bookmarkEnd w:id="43"/>
    </w:p>
    <w:p w14:paraId="78219783" w14:textId="3EE38B02" w:rsidR="00323ABF" w:rsidRPr="00B92499" w:rsidRDefault="00EE3F6D" w:rsidP="00323ABF">
      <w:pPr>
        <w:spacing w:before="100" w:beforeAutospacing="1" w:after="100" w:afterAutospacing="1" w:line="360" w:lineRule="auto"/>
        <w:contextualSpacing/>
        <w:jc w:val="both"/>
        <w:rPr>
          <w:rFonts w:ascii="Arial" w:hAnsi="Arial" w:cs="Arial"/>
        </w:rPr>
      </w:pPr>
      <w:r w:rsidRPr="00B92499">
        <w:rPr>
          <w:rFonts w:ascii="Arial" w:hAnsi="Arial" w:cs="Arial"/>
        </w:rPr>
        <w:t>El Congreso de la Ciudad de México alcanzó un cumplimiento total en los artículos 145 y 146, por lo que cumplió a ca</w:t>
      </w:r>
      <w:r w:rsidR="005D21D2" w:rsidRPr="00B92499">
        <w:rPr>
          <w:rFonts w:ascii="Arial" w:hAnsi="Arial" w:cs="Arial"/>
        </w:rPr>
        <w:t>balidad</w:t>
      </w:r>
      <w:r w:rsidRPr="00B92499">
        <w:rPr>
          <w:rFonts w:ascii="Arial" w:hAnsi="Arial" w:cs="Arial"/>
        </w:rPr>
        <w:t xml:space="preserve"> con la obligación de contar en su página de inicio con una señalización fácilmente identificable y accesible que cumplan con los requerimientos de sistematización, comprensión y organización de la información; así como con el calendario de actualización de las obligaciones de transparencia. </w:t>
      </w:r>
    </w:p>
    <w:p w14:paraId="594BC972" w14:textId="351AA4A3" w:rsidR="00323ABF" w:rsidRPr="00B92499" w:rsidRDefault="00323ABF" w:rsidP="009F64B5">
      <w:pPr>
        <w:pStyle w:val="Ttulo2"/>
        <w:numPr>
          <w:ilvl w:val="1"/>
          <w:numId w:val="22"/>
        </w:numPr>
        <w:contextualSpacing/>
        <w:jc w:val="both"/>
        <w:rPr>
          <w:rFonts w:ascii="Arial" w:hAnsi="Arial" w:cs="Arial"/>
          <w:b/>
          <w:color w:val="auto"/>
          <w:sz w:val="24"/>
          <w:szCs w:val="24"/>
        </w:rPr>
      </w:pPr>
      <w:bookmarkStart w:id="44" w:name="_Toc23253000"/>
      <w:r w:rsidRPr="00B92499">
        <w:rPr>
          <w:rFonts w:ascii="Arial" w:hAnsi="Arial" w:cs="Arial"/>
          <w:b/>
          <w:color w:val="auto"/>
          <w:sz w:val="24"/>
          <w:szCs w:val="24"/>
        </w:rPr>
        <w:t xml:space="preserve">Análisis del </w:t>
      </w:r>
      <w:r w:rsidR="008F67E4" w:rsidRPr="00B92499">
        <w:rPr>
          <w:rFonts w:ascii="Arial" w:hAnsi="Arial" w:cs="Arial"/>
          <w:b/>
          <w:color w:val="auto"/>
          <w:sz w:val="24"/>
          <w:szCs w:val="24"/>
        </w:rPr>
        <w:t>artículo</w:t>
      </w:r>
      <w:r w:rsidRPr="00B92499">
        <w:rPr>
          <w:rFonts w:ascii="Arial" w:hAnsi="Arial" w:cs="Arial"/>
          <w:b/>
          <w:color w:val="auto"/>
          <w:sz w:val="24"/>
          <w:szCs w:val="24"/>
        </w:rPr>
        <w:t xml:space="preserve"> 147</w:t>
      </w:r>
      <w:bookmarkEnd w:id="44"/>
      <w:r w:rsidRPr="00B92499">
        <w:rPr>
          <w:rFonts w:ascii="Arial" w:hAnsi="Arial" w:cs="Arial"/>
          <w:b/>
          <w:color w:val="auto"/>
          <w:sz w:val="24"/>
          <w:szCs w:val="24"/>
        </w:rPr>
        <w:t xml:space="preserve"> </w:t>
      </w:r>
    </w:p>
    <w:p w14:paraId="4B7BF800" w14:textId="28C05A7C" w:rsidR="00323ABF" w:rsidRPr="00B92499" w:rsidRDefault="00EE3F6D" w:rsidP="00323ABF">
      <w:pPr>
        <w:spacing w:before="100" w:beforeAutospacing="1" w:after="100" w:afterAutospacing="1" w:line="360" w:lineRule="auto"/>
        <w:contextualSpacing/>
        <w:jc w:val="both"/>
        <w:rPr>
          <w:rFonts w:ascii="Arial" w:hAnsi="Arial" w:cs="Arial"/>
        </w:rPr>
      </w:pPr>
      <w:r w:rsidRPr="00B92499">
        <w:rPr>
          <w:rFonts w:ascii="Arial" w:hAnsi="Arial" w:cs="Arial"/>
        </w:rPr>
        <w:t>El Congreso</w:t>
      </w:r>
      <w:r w:rsidR="00323ABF" w:rsidRPr="00B92499">
        <w:rPr>
          <w:rFonts w:ascii="Arial" w:hAnsi="Arial" w:cs="Arial"/>
        </w:rPr>
        <w:t xml:space="preserve"> obtuvo un ICP en este artículo de </w:t>
      </w:r>
      <w:r w:rsidRPr="00B92499">
        <w:rPr>
          <w:rFonts w:ascii="Arial" w:hAnsi="Arial" w:cs="Arial"/>
        </w:rPr>
        <w:t>94.28</w:t>
      </w:r>
      <w:r w:rsidR="00323ABF" w:rsidRPr="00B92499">
        <w:rPr>
          <w:rFonts w:ascii="Arial" w:hAnsi="Arial" w:cs="Arial"/>
        </w:rPr>
        <w:t xml:space="preserve">%; por lo que se encuentra dentro del área de cumplimiento </w:t>
      </w:r>
      <w:r w:rsidRPr="00B92499">
        <w:rPr>
          <w:rFonts w:ascii="Arial" w:hAnsi="Arial" w:cs="Arial"/>
        </w:rPr>
        <w:t>parcial</w:t>
      </w:r>
      <w:r w:rsidR="00323ABF" w:rsidRPr="00B92499">
        <w:rPr>
          <w:rFonts w:ascii="Arial" w:hAnsi="Arial" w:cs="Arial"/>
        </w:rPr>
        <w:t xml:space="preserve"> en lo que respecta a la publicación de los informes de las personas morales, organizaciones de la sociedad civil o cualquier otro análogo que recibían recursos por cualquier concepto</w:t>
      </w:r>
      <w:r w:rsidRPr="00B92499">
        <w:rPr>
          <w:rFonts w:ascii="Arial" w:hAnsi="Arial" w:cs="Arial"/>
        </w:rPr>
        <w:t xml:space="preserve">; toda vez que </w:t>
      </w:r>
      <w:r w:rsidR="003864F7" w:rsidRPr="00B92499">
        <w:rPr>
          <w:rFonts w:ascii="Arial" w:hAnsi="Arial" w:cs="Arial"/>
        </w:rPr>
        <w:t xml:space="preserve">existen hipervínculos rotos y, por ende, no es posible acceder a cierta información que publican. </w:t>
      </w:r>
    </w:p>
    <w:p w14:paraId="6166B70A" w14:textId="77777777" w:rsidR="00323ABF" w:rsidRPr="00B92499" w:rsidRDefault="00323ABF" w:rsidP="00323ABF">
      <w:pPr>
        <w:spacing w:before="100" w:beforeAutospacing="1" w:after="100" w:afterAutospacing="1" w:line="360" w:lineRule="auto"/>
        <w:contextualSpacing/>
        <w:jc w:val="both"/>
        <w:rPr>
          <w:rFonts w:ascii="Arial" w:hAnsi="Arial" w:cs="Arial"/>
        </w:rPr>
      </w:pPr>
    </w:p>
    <w:p w14:paraId="17B4AEDD" w14:textId="77777777" w:rsidR="00AF69FA" w:rsidRPr="00B92499" w:rsidRDefault="00AF69FA" w:rsidP="002E7D47">
      <w:pPr>
        <w:contextualSpacing/>
        <w:rPr>
          <w:rFonts w:ascii="Arial" w:eastAsiaTheme="majorEastAsia" w:hAnsi="Arial" w:cs="Arial"/>
          <w:b/>
        </w:rPr>
      </w:pPr>
      <w:r w:rsidRPr="00B92499">
        <w:rPr>
          <w:rFonts w:ascii="Arial" w:hAnsi="Arial" w:cs="Arial"/>
          <w:b/>
        </w:rPr>
        <w:br w:type="page"/>
      </w:r>
    </w:p>
    <w:p w14:paraId="0912BEEB" w14:textId="1618620E" w:rsidR="000B0B2E" w:rsidRPr="00B92499" w:rsidRDefault="00AF69FA" w:rsidP="009F64B5">
      <w:pPr>
        <w:pStyle w:val="Ttulo1"/>
        <w:numPr>
          <w:ilvl w:val="0"/>
          <w:numId w:val="5"/>
        </w:numPr>
        <w:contextualSpacing/>
        <w:rPr>
          <w:rFonts w:ascii="Arial" w:hAnsi="Arial" w:cs="Arial"/>
          <w:b/>
          <w:color w:val="auto"/>
          <w:sz w:val="24"/>
          <w:szCs w:val="24"/>
        </w:rPr>
      </w:pPr>
      <w:bookmarkStart w:id="45" w:name="_Toc23253001"/>
      <w:r w:rsidRPr="00B92499">
        <w:rPr>
          <w:rFonts w:ascii="Arial" w:hAnsi="Arial" w:cs="Arial"/>
          <w:b/>
          <w:color w:val="auto"/>
          <w:sz w:val="24"/>
          <w:szCs w:val="24"/>
        </w:rPr>
        <w:lastRenderedPageBreak/>
        <w:t>ÓRGANOS AUTÓNOMOS</w:t>
      </w:r>
      <w:bookmarkEnd w:id="45"/>
      <w:r w:rsidRPr="00B92499">
        <w:rPr>
          <w:rFonts w:ascii="Arial" w:hAnsi="Arial" w:cs="Arial"/>
          <w:b/>
          <w:color w:val="auto"/>
          <w:sz w:val="24"/>
          <w:szCs w:val="24"/>
        </w:rPr>
        <w:t xml:space="preserve"> </w:t>
      </w:r>
    </w:p>
    <w:p w14:paraId="49964814" w14:textId="77777777" w:rsidR="000B0B2E" w:rsidRPr="00B92499" w:rsidRDefault="000B0B2E" w:rsidP="002E7D47">
      <w:pPr>
        <w:contextualSpacing/>
        <w:rPr>
          <w:rFonts w:ascii="Arial" w:hAnsi="Arial" w:cs="Arial"/>
          <w:b/>
        </w:rPr>
      </w:pPr>
    </w:p>
    <w:p w14:paraId="2558029B" w14:textId="0C4C3194" w:rsidR="000B0B2E" w:rsidRPr="00B92499" w:rsidRDefault="000B0B2E" w:rsidP="000B0B2E">
      <w:pPr>
        <w:spacing w:before="100" w:beforeAutospacing="1" w:after="100" w:afterAutospacing="1" w:line="360" w:lineRule="auto"/>
        <w:contextualSpacing/>
        <w:jc w:val="both"/>
        <w:rPr>
          <w:rFonts w:ascii="Arial" w:hAnsi="Arial" w:cs="Arial"/>
        </w:rPr>
      </w:pPr>
      <w:r w:rsidRPr="00B92499">
        <w:rPr>
          <w:rFonts w:ascii="Arial" w:hAnsi="Arial" w:cs="Arial"/>
        </w:rPr>
        <w:t>El ámbito de los Órganos Autónomos está conformado por</w:t>
      </w:r>
      <w:r w:rsidR="000D67A7" w:rsidRPr="00B92499">
        <w:rPr>
          <w:rFonts w:ascii="Arial" w:hAnsi="Arial" w:cs="Arial"/>
        </w:rPr>
        <w:t xml:space="preserve"> 7 </w:t>
      </w:r>
      <w:r w:rsidR="008710F6" w:rsidRPr="00B92499">
        <w:rPr>
          <w:rFonts w:ascii="Arial" w:hAnsi="Arial" w:cs="Arial"/>
        </w:rPr>
        <w:t>sujeto</w:t>
      </w:r>
      <w:r w:rsidRPr="00B92499">
        <w:rPr>
          <w:rFonts w:ascii="Arial" w:hAnsi="Arial" w:cs="Arial"/>
        </w:rPr>
        <w:t xml:space="preserve">s </w:t>
      </w:r>
      <w:r w:rsidR="008710F6" w:rsidRPr="00B92499">
        <w:rPr>
          <w:rFonts w:ascii="Arial" w:hAnsi="Arial" w:cs="Arial"/>
        </w:rPr>
        <w:t>obligado</w:t>
      </w:r>
      <w:r w:rsidRPr="00B92499">
        <w:rPr>
          <w:rFonts w:ascii="Arial" w:hAnsi="Arial" w:cs="Arial"/>
        </w:rPr>
        <w:t xml:space="preserve">s, de conformidad con el Padrón de </w:t>
      </w:r>
      <w:r w:rsidR="008710F6" w:rsidRPr="00B92499">
        <w:rPr>
          <w:rFonts w:ascii="Arial" w:hAnsi="Arial" w:cs="Arial"/>
        </w:rPr>
        <w:t>sujeto</w:t>
      </w:r>
      <w:r w:rsidRPr="00B92499">
        <w:rPr>
          <w:rFonts w:ascii="Arial" w:hAnsi="Arial" w:cs="Arial"/>
        </w:rPr>
        <w:t xml:space="preserve">s </w:t>
      </w:r>
      <w:r w:rsidR="008710F6" w:rsidRPr="00B92499">
        <w:rPr>
          <w:rFonts w:ascii="Arial" w:hAnsi="Arial" w:cs="Arial"/>
        </w:rPr>
        <w:t>obligado</w:t>
      </w:r>
      <w:r w:rsidRPr="00B92499">
        <w:rPr>
          <w:rFonts w:ascii="Arial" w:hAnsi="Arial" w:cs="Arial"/>
        </w:rPr>
        <w:t>s supeditados al cumplimiento de la Ley de Transparencia, Acceso a la Información Pública y Rendición de Cuentas de la Ciudad de México</w:t>
      </w:r>
      <w:r w:rsidRPr="00B92499" w:rsidDel="005B5D1B">
        <w:rPr>
          <w:rFonts w:ascii="Arial" w:hAnsi="Arial" w:cs="Arial"/>
        </w:rPr>
        <w:t xml:space="preserve"> </w:t>
      </w:r>
      <w:r w:rsidRPr="00B92499">
        <w:rPr>
          <w:rFonts w:ascii="Arial" w:hAnsi="Arial" w:cs="Arial"/>
        </w:rPr>
        <w:t xml:space="preserve">y de la Ley de Protección de Datos Personales en Posesión de los </w:t>
      </w:r>
      <w:r w:rsidR="008710F6" w:rsidRPr="00B92499">
        <w:rPr>
          <w:rFonts w:ascii="Arial" w:hAnsi="Arial" w:cs="Arial"/>
        </w:rPr>
        <w:t>sujeto</w:t>
      </w:r>
      <w:r w:rsidRPr="00B92499">
        <w:rPr>
          <w:rFonts w:ascii="Arial" w:hAnsi="Arial" w:cs="Arial"/>
        </w:rPr>
        <w:t xml:space="preserve">s </w:t>
      </w:r>
      <w:r w:rsidR="008710F6" w:rsidRPr="00B92499">
        <w:rPr>
          <w:rFonts w:ascii="Arial" w:hAnsi="Arial" w:cs="Arial"/>
        </w:rPr>
        <w:t>obligado</w:t>
      </w:r>
      <w:r w:rsidRPr="00B92499">
        <w:rPr>
          <w:rFonts w:ascii="Arial" w:hAnsi="Arial" w:cs="Arial"/>
        </w:rPr>
        <w:t xml:space="preserve">s de la Ciudad de México vigente. No obstante, en este apartado únicamente se analizará al </w:t>
      </w:r>
      <w:r w:rsidR="00AA1246" w:rsidRPr="00B92499">
        <w:rPr>
          <w:rFonts w:ascii="Arial" w:hAnsi="Arial" w:cs="Arial"/>
        </w:rPr>
        <w:t>Instituto de Transparencia, Acceso a la Información Pública, Protección de Datos Personales y Rendición de Cuentas (Instituto)</w:t>
      </w:r>
      <w:r w:rsidRPr="00B92499">
        <w:rPr>
          <w:rFonts w:ascii="Arial" w:hAnsi="Arial" w:cs="Arial"/>
        </w:rPr>
        <w:t xml:space="preserve"> por haber sido incorporado recientemente al Padrón de </w:t>
      </w:r>
      <w:r w:rsidR="008710F6" w:rsidRPr="00B92499">
        <w:rPr>
          <w:rFonts w:ascii="Arial" w:hAnsi="Arial" w:cs="Arial"/>
        </w:rPr>
        <w:t>sujeto</w:t>
      </w:r>
      <w:r w:rsidRPr="00B92499">
        <w:rPr>
          <w:rFonts w:ascii="Arial" w:hAnsi="Arial" w:cs="Arial"/>
        </w:rPr>
        <w:t xml:space="preserve">s </w:t>
      </w:r>
      <w:r w:rsidR="008710F6" w:rsidRPr="00B92499">
        <w:rPr>
          <w:rFonts w:ascii="Arial" w:hAnsi="Arial" w:cs="Arial"/>
        </w:rPr>
        <w:t>obligado</w:t>
      </w:r>
      <w:r w:rsidRPr="00B92499">
        <w:rPr>
          <w:rFonts w:ascii="Arial" w:hAnsi="Arial" w:cs="Arial"/>
        </w:rPr>
        <w:t xml:space="preserve">s vigentes. </w:t>
      </w:r>
    </w:p>
    <w:p w14:paraId="3C68B7E5" w14:textId="77777777" w:rsidR="000B0B2E" w:rsidRPr="00B92499" w:rsidRDefault="000B0B2E" w:rsidP="000B0B2E">
      <w:pPr>
        <w:spacing w:before="100" w:beforeAutospacing="1" w:after="100" w:afterAutospacing="1" w:line="360" w:lineRule="auto"/>
        <w:contextualSpacing/>
        <w:jc w:val="both"/>
        <w:rPr>
          <w:rFonts w:ascii="Arial" w:hAnsi="Arial" w:cs="Arial"/>
        </w:rPr>
      </w:pPr>
    </w:p>
    <w:p w14:paraId="18639FE4" w14:textId="74B283B7" w:rsidR="000B0B2E" w:rsidRPr="00B92499" w:rsidRDefault="000B0B2E" w:rsidP="000B0B2E">
      <w:pPr>
        <w:spacing w:before="100" w:beforeAutospacing="1" w:after="100" w:afterAutospacing="1" w:line="360" w:lineRule="auto"/>
        <w:contextualSpacing/>
        <w:jc w:val="both"/>
        <w:rPr>
          <w:rFonts w:ascii="Arial" w:hAnsi="Arial" w:cs="Arial"/>
        </w:rPr>
      </w:pPr>
      <w:r w:rsidRPr="00B92499">
        <w:rPr>
          <w:rFonts w:ascii="Arial" w:hAnsi="Arial" w:cs="Arial"/>
        </w:rPr>
        <w:t xml:space="preserve">El </w:t>
      </w:r>
      <w:r w:rsidR="008710F6" w:rsidRPr="00B92499">
        <w:rPr>
          <w:rFonts w:ascii="Arial" w:hAnsi="Arial" w:cs="Arial"/>
        </w:rPr>
        <w:t>sujeto obligado</w:t>
      </w:r>
      <w:r w:rsidRPr="00B92499">
        <w:rPr>
          <w:rFonts w:ascii="Arial" w:hAnsi="Arial" w:cs="Arial"/>
        </w:rPr>
        <w:t xml:space="preserve">, así como su Índice de Cumplimiento de </w:t>
      </w:r>
      <w:r w:rsidR="008710F6" w:rsidRPr="00B92499">
        <w:rPr>
          <w:rFonts w:ascii="Arial" w:hAnsi="Arial" w:cs="Arial"/>
        </w:rPr>
        <w:t>obligaciones de transparencia</w:t>
      </w:r>
      <w:r w:rsidRPr="00B92499">
        <w:rPr>
          <w:rFonts w:ascii="Arial" w:hAnsi="Arial" w:cs="Arial"/>
        </w:rPr>
        <w:t xml:space="preserve"> del Portal de Internet (ICOT-PT), el de la Plataforma Nacional de Transparencia (ICOT-PNT) y el Índice General de Cumplimiento de </w:t>
      </w:r>
      <w:r w:rsidR="008710F6" w:rsidRPr="00B92499">
        <w:rPr>
          <w:rFonts w:ascii="Arial" w:hAnsi="Arial" w:cs="Arial"/>
        </w:rPr>
        <w:t>obligaciones de transparencia</w:t>
      </w:r>
      <w:r w:rsidRPr="00B92499">
        <w:rPr>
          <w:rFonts w:ascii="Arial" w:hAnsi="Arial" w:cs="Arial"/>
        </w:rPr>
        <w:t xml:space="preserve"> (IGOT) se presentan en la siguiente tabla, ordenados de forma descendente, respecto del IGOT: </w:t>
      </w:r>
    </w:p>
    <w:p w14:paraId="40F99D2F" w14:textId="77777777" w:rsidR="000B0B2E" w:rsidRPr="00B92499" w:rsidRDefault="000B0B2E" w:rsidP="000B0B2E">
      <w:pPr>
        <w:spacing w:before="100" w:beforeAutospacing="1" w:after="100" w:afterAutospacing="1" w:line="360" w:lineRule="auto"/>
        <w:contextualSpacing/>
        <w:jc w:val="both"/>
        <w:rPr>
          <w:rFonts w:ascii="Arial" w:hAnsi="Arial" w:cs="Arial"/>
        </w:rPr>
      </w:pPr>
    </w:p>
    <w:tbl>
      <w:tblPr>
        <w:tblW w:w="9375" w:type="dxa"/>
        <w:tblLayout w:type="fixed"/>
        <w:tblCellMar>
          <w:left w:w="70" w:type="dxa"/>
          <w:right w:w="70" w:type="dxa"/>
        </w:tblCellMar>
        <w:tblLook w:val="04A0" w:firstRow="1" w:lastRow="0" w:firstColumn="1" w:lastColumn="0" w:noHBand="0" w:noVBand="1"/>
      </w:tblPr>
      <w:tblGrid>
        <w:gridCol w:w="421"/>
        <w:gridCol w:w="1304"/>
        <w:gridCol w:w="850"/>
        <w:gridCol w:w="850"/>
        <w:gridCol w:w="850"/>
        <w:gridCol w:w="850"/>
        <w:gridCol w:w="850"/>
        <w:gridCol w:w="850"/>
        <w:gridCol w:w="850"/>
        <w:gridCol w:w="850"/>
        <w:gridCol w:w="850"/>
      </w:tblGrid>
      <w:tr w:rsidR="000B0B2E" w:rsidRPr="00B92499" w14:paraId="53FC0921" w14:textId="77777777" w:rsidTr="008710F6">
        <w:trPr>
          <w:trHeight w:val="217"/>
          <w:tblHeader/>
        </w:trPr>
        <w:tc>
          <w:tcPr>
            <w:tcW w:w="9375" w:type="dxa"/>
            <w:gridSpan w:val="11"/>
            <w:tcBorders>
              <w:top w:val="single" w:sz="4" w:space="0" w:color="auto"/>
              <w:left w:val="single" w:sz="4" w:space="0" w:color="auto"/>
              <w:bottom w:val="single" w:sz="4" w:space="0" w:color="auto"/>
              <w:right w:val="single" w:sz="4" w:space="0" w:color="auto"/>
            </w:tcBorders>
            <w:shd w:val="clear" w:color="auto" w:fill="00B0F0"/>
            <w:noWrap/>
            <w:vAlign w:val="center"/>
          </w:tcPr>
          <w:p w14:paraId="430FE61F" w14:textId="77777777" w:rsidR="000B0B2E" w:rsidRPr="00B92499" w:rsidRDefault="000B0B2E" w:rsidP="008710F6">
            <w:pPr>
              <w:jc w:val="center"/>
              <w:rPr>
                <w:rFonts w:ascii="Arial" w:hAnsi="Arial" w:cs="Arial"/>
                <w:b/>
                <w:bCs/>
                <w:color w:val="000000"/>
                <w:sz w:val="16"/>
                <w:szCs w:val="16"/>
              </w:rPr>
            </w:pPr>
            <w:r w:rsidRPr="00B92499">
              <w:rPr>
                <w:rFonts w:ascii="Arial" w:hAnsi="Arial" w:cs="Arial"/>
                <w:b/>
                <w:bCs/>
                <w:color w:val="000000"/>
                <w:sz w:val="16"/>
                <w:szCs w:val="16"/>
              </w:rPr>
              <w:t>Resultados de la Segunda Evaluación Vinculante 2019, respecto del primer semestre del año 2019</w:t>
            </w:r>
          </w:p>
        </w:tc>
      </w:tr>
      <w:tr w:rsidR="000B0B2E" w:rsidRPr="00B92499" w14:paraId="50C34A02" w14:textId="77777777" w:rsidTr="008710F6">
        <w:trPr>
          <w:trHeight w:val="217"/>
          <w:tblHeader/>
        </w:trPr>
        <w:tc>
          <w:tcPr>
            <w:tcW w:w="421" w:type="dxa"/>
            <w:tcBorders>
              <w:top w:val="single" w:sz="4" w:space="0" w:color="auto"/>
              <w:left w:val="single" w:sz="4" w:space="0" w:color="auto"/>
              <w:bottom w:val="single" w:sz="4" w:space="0" w:color="auto"/>
              <w:right w:val="single" w:sz="4" w:space="0" w:color="auto"/>
            </w:tcBorders>
            <w:shd w:val="clear" w:color="auto" w:fill="00B0F0"/>
            <w:noWrap/>
            <w:vAlign w:val="center"/>
            <w:hideMark/>
          </w:tcPr>
          <w:p w14:paraId="06F716FA" w14:textId="77777777" w:rsidR="000B0B2E" w:rsidRPr="00B92499" w:rsidRDefault="000B0B2E" w:rsidP="008710F6">
            <w:pPr>
              <w:jc w:val="center"/>
              <w:rPr>
                <w:rFonts w:ascii="Arial" w:hAnsi="Arial" w:cs="Arial"/>
                <w:b/>
                <w:bCs/>
                <w:color w:val="000000"/>
                <w:sz w:val="16"/>
                <w:szCs w:val="16"/>
              </w:rPr>
            </w:pPr>
            <w:r w:rsidRPr="00B92499">
              <w:rPr>
                <w:rFonts w:ascii="Arial" w:hAnsi="Arial" w:cs="Arial"/>
                <w:b/>
                <w:bCs/>
                <w:color w:val="000000"/>
                <w:sz w:val="16"/>
                <w:szCs w:val="16"/>
              </w:rPr>
              <w:t>No.</w:t>
            </w:r>
          </w:p>
        </w:tc>
        <w:tc>
          <w:tcPr>
            <w:tcW w:w="1304" w:type="dxa"/>
            <w:tcBorders>
              <w:top w:val="single" w:sz="4" w:space="0" w:color="auto"/>
              <w:left w:val="nil"/>
              <w:bottom w:val="single" w:sz="4" w:space="0" w:color="auto"/>
              <w:right w:val="single" w:sz="4" w:space="0" w:color="auto"/>
            </w:tcBorders>
            <w:shd w:val="clear" w:color="auto" w:fill="00B0F0"/>
            <w:vAlign w:val="center"/>
            <w:hideMark/>
          </w:tcPr>
          <w:p w14:paraId="50391C15" w14:textId="737F58B7" w:rsidR="000B0B2E" w:rsidRPr="00B92499" w:rsidRDefault="000B0B2E" w:rsidP="008710F6">
            <w:pPr>
              <w:jc w:val="center"/>
              <w:rPr>
                <w:rFonts w:ascii="Arial" w:hAnsi="Arial" w:cs="Arial"/>
                <w:b/>
                <w:bCs/>
                <w:color w:val="000000"/>
                <w:sz w:val="16"/>
                <w:szCs w:val="16"/>
              </w:rPr>
            </w:pPr>
            <w:r w:rsidRPr="00B92499">
              <w:rPr>
                <w:rFonts w:ascii="Arial" w:hAnsi="Arial" w:cs="Arial"/>
                <w:b/>
                <w:bCs/>
                <w:color w:val="000000"/>
                <w:sz w:val="16"/>
                <w:szCs w:val="16"/>
              </w:rPr>
              <w:t xml:space="preserve">Denominación del </w:t>
            </w:r>
            <w:r w:rsidR="008710F6" w:rsidRPr="00B92499">
              <w:rPr>
                <w:rFonts w:ascii="Arial" w:hAnsi="Arial" w:cs="Arial"/>
                <w:b/>
                <w:bCs/>
                <w:color w:val="000000"/>
                <w:sz w:val="16"/>
                <w:szCs w:val="16"/>
              </w:rPr>
              <w:t>sujeto obligado</w:t>
            </w:r>
          </w:p>
        </w:tc>
        <w:tc>
          <w:tcPr>
            <w:tcW w:w="850" w:type="dxa"/>
            <w:tcBorders>
              <w:top w:val="single" w:sz="4" w:space="0" w:color="auto"/>
              <w:left w:val="nil"/>
              <w:bottom w:val="single" w:sz="4" w:space="0" w:color="auto"/>
              <w:right w:val="single" w:sz="4" w:space="0" w:color="auto"/>
            </w:tcBorders>
            <w:shd w:val="clear" w:color="auto" w:fill="00B0F0"/>
            <w:vAlign w:val="center"/>
            <w:hideMark/>
          </w:tcPr>
          <w:p w14:paraId="39F7325D" w14:textId="77777777" w:rsidR="000B0B2E" w:rsidRPr="00B92499" w:rsidRDefault="000B0B2E" w:rsidP="008710F6">
            <w:pPr>
              <w:jc w:val="center"/>
              <w:rPr>
                <w:rFonts w:ascii="Arial" w:hAnsi="Arial" w:cs="Arial"/>
                <w:b/>
                <w:bCs/>
                <w:color w:val="000000"/>
                <w:sz w:val="16"/>
                <w:szCs w:val="16"/>
              </w:rPr>
            </w:pPr>
            <w:r w:rsidRPr="00B92499">
              <w:rPr>
                <w:rFonts w:ascii="Arial" w:hAnsi="Arial" w:cs="Arial"/>
                <w:b/>
                <w:bCs/>
                <w:color w:val="000000"/>
                <w:sz w:val="16"/>
                <w:szCs w:val="16"/>
              </w:rPr>
              <w:t>%Inf PT</w:t>
            </w:r>
          </w:p>
        </w:tc>
        <w:tc>
          <w:tcPr>
            <w:tcW w:w="850" w:type="dxa"/>
            <w:tcBorders>
              <w:top w:val="single" w:sz="4" w:space="0" w:color="auto"/>
              <w:left w:val="nil"/>
              <w:bottom w:val="single" w:sz="4" w:space="0" w:color="auto"/>
              <w:right w:val="single" w:sz="4" w:space="0" w:color="auto"/>
            </w:tcBorders>
            <w:shd w:val="clear" w:color="auto" w:fill="00B0F0"/>
            <w:vAlign w:val="center"/>
            <w:hideMark/>
          </w:tcPr>
          <w:p w14:paraId="5B53E05E" w14:textId="77777777" w:rsidR="000B0B2E" w:rsidRPr="00B92499" w:rsidRDefault="000B0B2E" w:rsidP="008710F6">
            <w:pPr>
              <w:jc w:val="center"/>
              <w:rPr>
                <w:rFonts w:ascii="Arial" w:hAnsi="Arial" w:cs="Arial"/>
                <w:b/>
                <w:bCs/>
                <w:color w:val="000000"/>
                <w:sz w:val="16"/>
                <w:szCs w:val="16"/>
              </w:rPr>
            </w:pPr>
            <w:r w:rsidRPr="00B92499">
              <w:rPr>
                <w:rFonts w:ascii="Arial" w:hAnsi="Arial" w:cs="Arial"/>
                <w:b/>
                <w:bCs/>
                <w:color w:val="000000"/>
                <w:sz w:val="16"/>
                <w:szCs w:val="16"/>
              </w:rPr>
              <w:t>% Nota PT</w:t>
            </w:r>
          </w:p>
        </w:tc>
        <w:tc>
          <w:tcPr>
            <w:tcW w:w="850" w:type="dxa"/>
            <w:tcBorders>
              <w:top w:val="single" w:sz="4" w:space="0" w:color="auto"/>
              <w:left w:val="nil"/>
              <w:bottom w:val="single" w:sz="4" w:space="0" w:color="auto"/>
              <w:right w:val="single" w:sz="4" w:space="0" w:color="auto"/>
            </w:tcBorders>
            <w:shd w:val="clear" w:color="auto" w:fill="00B0F0"/>
            <w:vAlign w:val="center"/>
            <w:hideMark/>
          </w:tcPr>
          <w:p w14:paraId="3BD35409" w14:textId="77777777" w:rsidR="000B0B2E" w:rsidRPr="00B92499" w:rsidRDefault="000B0B2E" w:rsidP="008710F6">
            <w:pPr>
              <w:jc w:val="center"/>
              <w:rPr>
                <w:rFonts w:ascii="Arial" w:hAnsi="Arial" w:cs="Arial"/>
                <w:b/>
                <w:bCs/>
                <w:color w:val="000000"/>
                <w:sz w:val="16"/>
                <w:szCs w:val="16"/>
              </w:rPr>
            </w:pPr>
            <w:r w:rsidRPr="00B92499">
              <w:rPr>
                <w:rFonts w:ascii="Arial" w:hAnsi="Arial" w:cs="Arial"/>
                <w:b/>
                <w:bCs/>
                <w:color w:val="000000"/>
                <w:sz w:val="16"/>
                <w:szCs w:val="16"/>
              </w:rPr>
              <w:t>ICOT-PT</w:t>
            </w:r>
          </w:p>
        </w:tc>
        <w:tc>
          <w:tcPr>
            <w:tcW w:w="850" w:type="dxa"/>
            <w:tcBorders>
              <w:top w:val="single" w:sz="4" w:space="0" w:color="auto"/>
              <w:left w:val="nil"/>
              <w:bottom w:val="single" w:sz="4" w:space="0" w:color="auto"/>
              <w:right w:val="single" w:sz="4" w:space="0" w:color="auto"/>
            </w:tcBorders>
            <w:shd w:val="clear" w:color="auto" w:fill="00B0F0"/>
            <w:vAlign w:val="center"/>
            <w:hideMark/>
          </w:tcPr>
          <w:p w14:paraId="354BA799" w14:textId="77777777" w:rsidR="000B0B2E" w:rsidRPr="00B92499" w:rsidRDefault="000B0B2E" w:rsidP="008710F6">
            <w:pPr>
              <w:jc w:val="center"/>
              <w:rPr>
                <w:rFonts w:ascii="Arial" w:hAnsi="Arial" w:cs="Arial"/>
                <w:b/>
                <w:bCs/>
                <w:color w:val="000000"/>
                <w:sz w:val="16"/>
                <w:szCs w:val="16"/>
              </w:rPr>
            </w:pPr>
            <w:r w:rsidRPr="00B92499">
              <w:rPr>
                <w:rFonts w:ascii="Arial" w:hAnsi="Arial" w:cs="Arial"/>
                <w:b/>
                <w:bCs/>
                <w:color w:val="000000"/>
                <w:sz w:val="16"/>
                <w:szCs w:val="16"/>
              </w:rPr>
              <w:t>%Inf PNT</w:t>
            </w:r>
          </w:p>
        </w:tc>
        <w:tc>
          <w:tcPr>
            <w:tcW w:w="850" w:type="dxa"/>
            <w:tcBorders>
              <w:top w:val="single" w:sz="4" w:space="0" w:color="auto"/>
              <w:left w:val="nil"/>
              <w:bottom w:val="single" w:sz="4" w:space="0" w:color="auto"/>
              <w:right w:val="single" w:sz="4" w:space="0" w:color="auto"/>
            </w:tcBorders>
            <w:shd w:val="clear" w:color="auto" w:fill="00B0F0"/>
            <w:vAlign w:val="center"/>
            <w:hideMark/>
          </w:tcPr>
          <w:p w14:paraId="3269799E" w14:textId="77777777" w:rsidR="000B0B2E" w:rsidRPr="00B92499" w:rsidRDefault="000B0B2E" w:rsidP="008710F6">
            <w:pPr>
              <w:jc w:val="center"/>
              <w:rPr>
                <w:rFonts w:ascii="Arial" w:hAnsi="Arial" w:cs="Arial"/>
                <w:b/>
                <w:bCs/>
                <w:color w:val="000000"/>
                <w:sz w:val="16"/>
                <w:szCs w:val="16"/>
              </w:rPr>
            </w:pPr>
            <w:r w:rsidRPr="00B92499">
              <w:rPr>
                <w:rFonts w:ascii="Arial" w:hAnsi="Arial" w:cs="Arial"/>
                <w:b/>
                <w:bCs/>
                <w:color w:val="000000"/>
                <w:sz w:val="16"/>
                <w:szCs w:val="16"/>
              </w:rPr>
              <w:t>% Notas PNT</w:t>
            </w:r>
          </w:p>
        </w:tc>
        <w:tc>
          <w:tcPr>
            <w:tcW w:w="850" w:type="dxa"/>
            <w:tcBorders>
              <w:top w:val="single" w:sz="4" w:space="0" w:color="auto"/>
              <w:left w:val="nil"/>
              <w:bottom w:val="single" w:sz="4" w:space="0" w:color="auto"/>
              <w:right w:val="single" w:sz="4" w:space="0" w:color="auto"/>
            </w:tcBorders>
            <w:shd w:val="clear" w:color="auto" w:fill="00B0F0"/>
            <w:vAlign w:val="center"/>
            <w:hideMark/>
          </w:tcPr>
          <w:p w14:paraId="136B5E7E" w14:textId="77777777" w:rsidR="000B0B2E" w:rsidRPr="00B92499" w:rsidRDefault="000B0B2E" w:rsidP="008710F6">
            <w:pPr>
              <w:jc w:val="center"/>
              <w:rPr>
                <w:rFonts w:ascii="Arial" w:hAnsi="Arial" w:cs="Arial"/>
                <w:b/>
                <w:bCs/>
                <w:color w:val="000000"/>
                <w:sz w:val="16"/>
                <w:szCs w:val="16"/>
              </w:rPr>
            </w:pPr>
            <w:r w:rsidRPr="00B92499">
              <w:rPr>
                <w:rFonts w:ascii="Arial" w:hAnsi="Arial" w:cs="Arial"/>
                <w:b/>
                <w:bCs/>
                <w:color w:val="000000"/>
                <w:sz w:val="16"/>
                <w:szCs w:val="16"/>
              </w:rPr>
              <w:t>ICOT-PNT</w:t>
            </w:r>
          </w:p>
        </w:tc>
        <w:tc>
          <w:tcPr>
            <w:tcW w:w="850" w:type="dxa"/>
            <w:tcBorders>
              <w:top w:val="single" w:sz="4" w:space="0" w:color="auto"/>
              <w:left w:val="nil"/>
              <w:bottom w:val="single" w:sz="4" w:space="0" w:color="auto"/>
              <w:right w:val="single" w:sz="4" w:space="0" w:color="auto"/>
            </w:tcBorders>
            <w:shd w:val="clear" w:color="auto" w:fill="00B0F0"/>
            <w:vAlign w:val="center"/>
            <w:hideMark/>
          </w:tcPr>
          <w:p w14:paraId="1914D52D" w14:textId="77777777" w:rsidR="000B0B2E" w:rsidRPr="00B92499" w:rsidRDefault="000B0B2E" w:rsidP="008710F6">
            <w:pPr>
              <w:jc w:val="center"/>
              <w:rPr>
                <w:rFonts w:ascii="Arial" w:hAnsi="Arial" w:cs="Arial"/>
                <w:b/>
                <w:bCs/>
                <w:color w:val="000000"/>
                <w:sz w:val="16"/>
                <w:szCs w:val="16"/>
              </w:rPr>
            </w:pPr>
            <w:r w:rsidRPr="00B92499">
              <w:rPr>
                <w:rFonts w:ascii="Arial" w:hAnsi="Arial" w:cs="Arial"/>
                <w:b/>
                <w:bCs/>
                <w:color w:val="000000"/>
                <w:sz w:val="16"/>
                <w:szCs w:val="16"/>
              </w:rPr>
              <w:t>%Inf IGOT</w:t>
            </w:r>
          </w:p>
        </w:tc>
        <w:tc>
          <w:tcPr>
            <w:tcW w:w="850" w:type="dxa"/>
            <w:tcBorders>
              <w:top w:val="single" w:sz="4" w:space="0" w:color="auto"/>
              <w:left w:val="nil"/>
              <w:bottom w:val="single" w:sz="4" w:space="0" w:color="auto"/>
              <w:right w:val="single" w:sz="4" w:space="0" w:color="auto"/>
            </w:tcBorders>
            <w:shd w:val="clear" w:color="auto" w:fill="00B0F0"/>
            <w:vAlign w:val="center"/>
            <w:hideMark/>
          </w:tcPr>
          <w:p w14:paraId="4F42EB2D" w14:textId="77777777" w:rsidR="000B0B2E" w:rsidRPr="00B92499" w:rsidRDefault="000B0B2E" w:rsidP="008710F6">
            <w:pPr>
              <w:jc w:val="center"/>
              <w:rPr>
                <w:rFonts w:ascii="Arial" w:hAnsi="Arial" w:cs="Arial"/>
                <w:b/>
                <w:bCs/>
                <w:color w:val="000000"/>
                <w:sz w:val="16"/>
                <w:szCs w:val="16"/>
              </w:rPr>
            </w:pPr>
            <w:r w:rsidRPr="00B92499">
              <w:rPr>
                <w:rFonts w:ascii="Arial" w:hAnsi="Arial" w:cs="Arial"/>
                <w:b/>
                <w:bCs/>
                <w:color w:val="000000"/>
                <w:sz w:val="16"/>
                <w:szCs w:val="16"/>
              </w:rPr>
              <w:t>% Notas IGOT</w:t>
            </w:r>
          </w:p>
        </w:tc>
        <w:tc>
          <w:tcPr>
            <w:tcW w:w="850" w:type="dxa"/>
            <w:tcBorders>
              <w:top w:val="single" w:sz="4" w:space="0" w:color="auto"/>
              <w:left w:val="nil"/>
              <w:bottom w:val="single" w:sz="4" w:space="0" w:color="auto"/>
              <w:right w:val="single" w:sz="4" w:space="0" w:color="auto"/>
            </w:tcBorders>
            <w:shd w:val="clear" w:color="auto" w:fill="00B0F0"/>
            <w:vAlign w:val="center"/>
            <w:hideMark/>
          </w:tcPr>
          <w:p w14:paraId="5544F04B" w14:textId="77777777" w:rsidR="000B0B2E" w:rsidRPr="00B92499" w:rsidRDefault="000B0B2E" w:rsidP="008710F6">
            <w:pPr>
              <w:jc w:val="center"/>
              <w:rPr>
                <w:rFonts w:ascii="Arial" w:hAnsi="Arial" w:cs="Arial"/>
                <w:b/>
                <w:bCs/>
                <w:color w:val="000000"/>
                <w:sz w:val="16"/>
                <w:szCs w:val="16"/>
              </w:rPr>
            </w:pPr>
            <w:r w:rsidRPr="00B92499">
              <w:rPr>
                <w:rFonts w:ascii="Arial" w:hAnsi="Arial" w:cs="Arial"/>
                <w:b/>
                <w:bCs/>
                <w:color w:val="000000"/>
                <w:sz w:val="16"/>
                <w:szCs w:val="16"/>
              </w:rPr>
              <w:t>IGOT</w:t>
            </w:r>
          </w:p>
        </w:tc>
      </w:tr>
      <w:tr w:rsidR="00AA1246" w:rsidRPr="00B92499" w14:paraId="70573505" w14:textId="77777777" w:rsidTr="00AA1246">
        <w:trPr>
          <w:trHeight w:val="680"/>
        </w:trPr>
        <w:tc>
          <w:tcPr>
            <w:tcW w:w="421" w:type="dxa"/>
            <w:tcBorders>
              <w:top w:val="nil"/>
              <w:left w:val="single" w:sz="4" w:space="0" w:color="auto"/>
              <w:bottom w:val="single" w:sz="4" w:space="0" w:color="auto"/>
              <w:right w:val="single" w:sz="4" w:space="0" w:color="auto"/>
            </w:tcBorders>
            <w:shd w:val="clear" w:color="000000" w:fill="FFFFFF"/>
            <w:vAlign w:val="center"/>
            <w:hideMark/>
          </w:tcPr>
          <w:p w14:paraId="618AA4CD" w14:textId="77777777" w:rsidR="00AA1246" w:rsidRPr="00B92499" w:rsidRDefault="00AA1246">
            <w:pPr>
              <w:jc w:val="center"/>
              <w:rPr>
                <w:rFonts w:ascii="Arial" w:hAnsi="Arial" w:cs="Arial"/>
                <w:color w:val="000000"/>
                <w:sz w:val="16"/>
                <w:szCs w:val="16"/>
              </w:rPr>
            </w:pPr>
            <w:r w:rsidRPr="00B92499">
              <w:rPr>
                <w:rFonts w:ascii="Arial" w:hAnsi="Arial" w:cs="Arial"/>
                <w:color w:val="000000"/>
                <w:sz w:val="16"/>
                <w:szCs w:val="16"/>
              </w:rPr>
              <w:t>1</w:t>
            </w:r>
          </w:p>
        </w:tc>
        <w:tc>
          <w:tcPr>
            <w:tcW w:w="1304" w:type="dxa"/>
            <w:tcBorders>
              <w:top w:val="nil"/>
              <w:left w:val="nil"/>
              <w:bottom w:val="single" w:sz="4" w:space="0" w:color="auto"/>
              <w:right w:val="single" w:sz="4" w:space="0" w:color="auto"/>
            </w:tcBorders>
            <w:shd w:val="clear" w:color="000000" w:fill="FFFFFF"/>
            <w:vAlign w:val="center"/>
            <w:hideMark/>
          </w:tcPr>
          <w:p w14:paraId="1EE1415D" w14:textId="77777777" w:rsidR="00AA1246" w:rsidRPr="00B92499" w:rsidRDefault="00AA1246" w:rsidP="00AA1246">
            <w:pPr>
              <w:jc w:val="both"/>
              <w:rPr>
                <w:rFonts w:ascii="Arial" w:hAnsi="Arial" w:cs="Arial"/>
                <w:color w:val="000000"/>
                <w:sz w:val="16"/>
                <w:szCs w:val="16"/>
              </w:rPr>
            </w:pPr>
            <w:r w:rsidRPr="00B92499">
              <w:rPr>
                <w:rFonts w:ascii="Arial" w:hAnsi="Arial" w:cs="Arial"/>
                <w:color w:val="000000"/>
                <w:sz w:val="16"/>
                <w:szCs w:val="16"/>
              </w:rPr>
              <w:t>Instituto de Transparencia, Acceso a la Información Pública, Protección de Datos Personales y Rendición de Cuentas de la Ciudad de México</w:t>
            </w:r>
          </w:p>
        </w:tc>
        <w:tc>
          <w:tcPr>
            <w:tcW w:w="850" w:type="dxa"/>
            <w:tcBorders>
              <w:top w:val="nil"/>
              <w:left w:val="nil"/>
              <w:bottom w:val="single" w:sz="4" w:space="0" w:color="auto"/>
              <w:right w:val="single" w:sz="4" w:space="0" w:color="auto"/>
            </w:tcBorders>
            <w:shd w:val="clear" w:color="000000" w:fill="BDD7EE"/>
            <w:noWrap/>
            <w:vAlign w:val="center"/>
            <w:hideMark/>
          </w:tcPr>
          <w:p w14:paraId="42954E0C" w14:textId="77777777" w:rsidR="00AA1246" w:rsidRPr="00B92499" w:rsidRDefault="00AA1246">
            <w:pPr>
              <w:jc w:val="center"/>
              <w:rPr>
                <w:rFonts w:ascii="Arial" w:hAnsi="Arial" w:cs="Arial"/>
                <w:color w:val="000000"/>
                <w:sz w:val="16"/>
                <w:szCs w:val="16"/>
              </w:rPr>
            </w:pPr>
            <w:r w:rsidRPr="00B92499">
              <w:rPr>
                <w:rFonts w:ascii="Arial" w:hAnsi="Arial" w:cs="Arial"/>
                <w:color w:val="000000"/>
                <w:sz w:val="16"/>
                <w:szCs w:val="16"/>
              </w:rPr>
              <w:t>92.39</w:t>
            </w:r>
          </w:p>
        </w:tc>
        <w:tc>
          <w:tcPr>
            <w:tcW w:w="850" w:type="dxa"/>
            <w:tcBorders>
              <w:top w:val="nil"/>
              <w:left w:val="nil"/>
              <w:bottom w:val="single" w:sz="4" w:space="0" w:color="auto"/>
              <w:right w:val="single" w:sz="4" w:space="0" w:color="auto"/>
            </w:tcBorders>
            <w:shd w:val="clear" w:color="000000" w:fill="D9D9D9"/>
            <w:noWrap/>
            <w:vAlign w:val="center"/>
            <w:hideMark/>
          </w:tcPr>
          <w:p w14:paraId="74E00436" w14:textId="77777777" w:rsidR="00AA1246" w:rsidRPr="00B92499" w:rsidRDefault="00AA1246">
            <w:pPr>
              <w:jc w:val="center"/>
              <w:rPr>
                <w:rFonts w:ascii="Arial" w:hAnsi="Arial" w:cs="Arial"/>
                <w:color w:val="000000"/>
                <w:sz w:val="16"/>
                <w:szCs w:val="16"/>
              </w:rPr>
            </w:pPr>
            <w:r w:rsidRPr="00B92499">
              <w:rPr>
                <w:rFonts w:ascii="Arial" w:hAnsi="Arial" w:cs="Arial"/>
                <w:color w:val="000000"/>
                <w:sz w:val="16"/>
                <w:szCs w:val="16"/>
              </w:rPr>
              <w:t>4.77</w:t>
            </w:r>
          </w:p>
        </w:tc>
        <w:tc>
          <w:tcPr>
            <w:tcW w:w="850" w:type="dxa"/>
            <w:tcBorders>
              <w:top w:val="nil"/>
              <w:left w:val="nil"/>
              <w:bottom w:val="single" w:sz="4" w:space="0" w:color="auto"/>
              <w:right w:val="single" w:sz="4" w:space="0" w:color="auto"/>
            </w:tcBorders>
            <w:shd w:val="clear" w:color="auto" w:fill="auto"/>
            <w:noWrap/>
            <w:vAlign w:val="center"/>
            <w:hideMark/>
          </w:tcPr>
          <w:p w14:paraId="510E945C" w14:textId="77777777" w:rsidR="00AA1246" w:rsidRPr="00B92499" w:rsidRDefault="00AA1246">
            <w:pPr>
              <w:jc w:val="center"/>
              <w:rPr>
                <w:rFonts w:ascii="Arial" w:hAnsi="Arial" w:cs="Arial"/>
                <w:color w:val="000000"/>
                <w:sz w:val="16"/>
                <w:szCs w:val="16"/>
              </w:rPr>
            </w:pPr>
            <w:r w:rsidRPr="00B92499">
              <w:rPr>
                <w:rFonts w:ascii="Arial" w:hAnsi="Arial" w:cs="Arial"/>
                <w:color w:val="000000"/>
                <w:sz w:val="16"/>
                <w:szCs w:val="16"/>
              </w:rPr>
              <w:t>97.16</w:t>
            </w:r>
          </w:p>
        </w:tc>
        <w:tc>
          <w:tcPr>
            <w:tcW w:w="850" w:type="dxa"/>
            <w:tcBorders>
              <w:top w:val="nil"/>
              <w:left w:val="nil"/>
              <w:bottom w:val="single" w:sz="4" w:space="0" w:color="auto"/>
              <w:right w:val="single" w:sz="4" w:space="0" w:color="auto"/>
            </w:tcBorders>
            <w:shd w:val="clear" w:color="000000" w:fill="BDD7EE"/>
            <w:noWrap/>
            <w:vAlign w:val="center"/>
            <w:hideMark/>
          </w:tcPr>
          <w:p w14:paraId="375E7A4B" w14:textId="77777777" w:rsidR="00AA1246" w:rsidRPr="00B92499" w:rsidRDefault="00AA1246">
            <w:pPr>
              <w:jc w:val="center"/>
              <w:rPr>
                <w:rFonts w:ascii="Arial" w:hAnsi="Arial" w:cs="Arial"/>
                <w:color w:val="000000"/>
                <w:sz w:val="16"/>
                <w:szCs w:val="16"/>
              </w:rPr>
            </w:pPr>
            <w:r w:rsidRPr="00B92499">
              <w:rPr>
                <w:rFonts w:ascii="Arial" w:hAnsi="Arial" w:cs="Arial"/>
                <w:color w:val="000000"/>
                <w:sz w:val="16"/>
                <w:szCs w:val="16"/>
              </w:rPr>
              <w:t>91.19</w:t>
            </w:r>
          </w:p>
        </w:tc>
        <w:tc>
          <w:tcPr>
            <w:tcW w:w="850" w:type="dxa"/>
            <w:tcBorders>
              <w:top w:val="nil"/>
              <w:left w:val="nil"/>
              <w:bottom w:val="single" w:sz="4" w:space="0" w:color="auto"/>
              <w:right w:val="single" w:sz="4" w:space="0" w:color="auto"/>
            </w:tcBorders>
            <w:shd w:val="clear" w:color="000000" w:fill="D9D9D9"/>
            <w:noWrap/>
            <w:vAlign w:val="center"/>
            <w:hideMark/>
          </w:tcPr>
          <w:p w14:paraId="3E86662A" w14:textId="77777777" w:rsidR="00AA1246" w:rsidRPr="00B92499" w:rsidRDefault="00AA1246">
            <w:pPr>
              <w:jc w:val="center"/>
              <w:rPr>
                <w:rFonts w:ascii="Arial" w:hAnsi="Arial" w:cs="Arial"/>
                <w:color w:val="000000"/>
                <w:sz w:val="16"/>
                <w:szCs w:val="16"/>
              </w:rPr>
            </w:pPr>
            <w:r w:rsidRPr="00B92499">
              <w:rPr>
                <w:rFonts w:ascii="Arial" w:hAnsi="Arial" w:cs="Arial"/>
                <w:color w:val="000000"/>
                <w:sz w:val="16"/>
                <w:szCs w:val="16"/>
              </w:rPr>
              <w:t>4.14</w:t>
            </w:r>
          </w:p>
        </w:tc>
        <w:tc>
          <w:tcPr>
            <w:tcW w:w="850" w:type="dxa"/>
            <w:tcBorders>
              <w:top w:val="nil"/>
              <w:left w:val="nil"/>
              <w:bottom w:val="single" w:sz="4" w:space="0" w:color="auto"/>
              <w:right w:val="single" w:sz="4" w:space="0" w:color="auto"/>
            </w:tcBorders>
            <w:shd w:val="clear" w:color="auto" w:fill="auto"/>
            <w:noWrap/>
            <w:vAlign w:val="center"/>
            <w:hideMark/>
          </w:tcPr>
          <w:p w14:paraId="450A27B5" w14:textId="77777777" w:rsidR="00AA1246" w:rsidRPr="00B92499" w:rsidRDefault="00AA1246">
            <w:pPr>
              <w:jc w:val="center"/>
              <w:rPr>
                <w:rFonts w:ascii="Arial" w:hAnsi="Arial" w:cs="Arial"/>
                <w:color w:val="000000"/>
                <w:sz w:val="16"/>
                <w:szCs w:val="16"/>
              </w:rPr>
            </w:pPr>
            <w:r w:rsidRPr="00B92499">
              <w:rPr>
                <w:rFonts w:ascii="Arial" w:hAnsi="Arial" w:cs="Arial"/>
                <w:color w:val="000000"/>
                <w:sz w:val="16"/>
                <w:szCs w:val="16"/>
              </w:rPr>
              <w:t>95.32</w:t>
            </w:r>
          </w:p>
        </w:tc>
        <w:tc>
          <w:tcPr>
            <w:tcW w:w="850" w:type="dxa"/>
            <w:tcBorders>
              <w:top w:val="nil"/>
              <w:left w:val="nil"/>
              <w:bottom w:val="single" w:sz="4" w:space="0" w:color="auto"/>
              <w:right w:val="single" w:sz="4" w:space="0" w:color="auto"/>
            </w:tcBorders>
            <w:shd w:val="clear" w:color="000000" w:fill="BDD7EE"/>
            <w:noWrap/>
            <w:vAlign w:val="center"/>
            <w:hideMark/>
          </w:tcPr>
          <w:p w14:paraId="31A22B6A" w14:textId="77777777" w:rsidR="00AA1246" w:rsidRPr="00B92499" w:rsidRDefault="00AA1246">
            <w:pPr>
              <w:jc w:val="center"/>
              <w:rPr>
                <w:rFonts w:ascii="Arial" w:hAnsi="Arial" w:cs="Arial"/>
                <w:color w:val="000000"/>
                <w:sz w:val="16"/>
                <w:szCs w:val="16"/>
              </w:rPr>
            </w:pPr>
            <w:r w:rsidRPr="00B92499">
              <w:rPr>
                <w:rFonts w:ascii="Arial" w:hAnsi="Arial" w:cs="Arial"/>
                <w:color w:val="000000"/>
                <w:sz w:val="16"/>
                <w:szCs w:val="16"/>
              </w:rPr>
              <w:t>91.79</w:t>
            </w:r>
          </w:p>
        </w:tc>
        <w:tc>
          <w:tcPr>
            <w:tcW w:w="850" w:type="dxa"/>
            <w:tcBorders>
              <w:top w:val="nil"/>
              <w:left w:val="nil"/>
              <w:bottom w:val="single" w:sz="4" w:space="0" w:color="auto"/>
              <w:right w:val="single" w:sz="4" w:space="0" w:color="auto"/>
            </w:tcBorders>
            <w:shd w:val="clear" w:color="000000" w:fill="D9D9D9"/>
            <w:noWrap/>
            <w:vAlign w:val="center"/>
            <w:hideMark/>
          </w:tcPr>
          <w:p w14:paraId="3568411F" w14:textId="77777777" w:rsidR="00AA1246" w:rsidRPr="00B92499" w:rsidRDefault="00AA1246">
            <w:pPr>
              <w:jc w:val="center"/>
              <w:rPr>
                <w:rFonts w:ascii="Arial" w:hAnsi="Arial" w:cs="Arial"/>
                <w:color w:val="000000"/>
                <w:sz w:val="16"/>
                <w:szCs w:val="16"/>
              </w:rPr>
            </w:pPr>
            <w:r w:rsidRPr="00B92499">
              <w:rPr>
                <w:rFonts w:ascii="Arial" w:hAnsi="Arial" w:cs="Arial"/>
                <w:color w:val="000000"/>
                <w:sz w:val="16"/>
                <w:szCs w:val="16"/>
              </w:rPr>
              <w:t>4.45</w:t>
            </w:r>
          </w:p>
        </w:tc>
        <w:tc>
          <w:tcPr>
            <w:tcW w:w="850" w:type="dxa"/>
            <w:tcBorders>
              <w:top w:val="nil"/>
              <w:left w:val="nil"/>
              <w:bottom w:val="single" w:sz="4" w:space="0" w:color="auto"/>
              <w:right w:val="single" w:sz="4" w:space="0" w:color="auto"/>
            </w:tcBorders>
            <w:shd w:val="clear" w:color="auto" w:fill="auto"/>
            <w:noWrap/>
            <w:vAlign w:val="center"/>
            <w:hideMark/>
          </w:tcPr>
          <w:p w14:paraId="7B972444" w14:textId="77777777" w:rsidR="00AA1246" w:rsidRPr="00B92499" w:rsidRDefault="00AA1246">
            <w:pPr>
              <w:jc w:val="center"/>
              <w:rPr>
                <w:rFonts w:ascii="Arial" w:hAnsi="Arial" w:cs="Arial"/>
                <w:color w:val="000000"/>
                <w:sz w:val="16"/>
                <w:szCs w:val="16"/>
              </w:rPr>
            </w:pPr>
            <w:r w:rsidRPr="00B92499">
              <w:rPr>
                <w:rFonts w:ascii="Arial" w:hAnsi="Arial" w:cs="Arial"/>
                <w:color w:val="000000"/>
                <w:sz w:val="16"/>
                <w:szCs w:val="16"/>
              </w:rPr>
              <w:t>96.24</w:t>
            </w:r>
          </w:p>
        </w:tc>
      </w:tr>
    </w:tbl>
    <w:p w14:paraId="10D7D6D7" w14:textId="352C493F" w:rsidR="000B0B2E" w:rsidRPr="00B92499" w:rsidRDefault="000B0B2E" w:rsidP="000B0B2E">
      <w:pPr>
        <w:spacing w:before="100" w:beforeAutospacing="1" w:after="100" w:afterAutospacing="1" w:line="360" w:lineRule="auto"/>
        <w:contextualSpacing/>
        <w:jc w:val="both"/>
        <w:rPr>
          <w:rFonts w:ascii="Arial" w:hAnsi="Arial" w:cs="Arial"/>
          <w:sz w:val="16"/>
          <w:szCs w:val="16"/>
        </w:rPr>
      </w:pPr>
      <w:r w:rsidRPr="00B92499">
        <w:rPr>
          <w:rFonts w:ascii="Arial" w:hAnsi="Arial" w:cs="Arial"/>
          <w:b/>
          <w:sz w:val="16"/>
          <w:szCs w:val="16"/>
        </w:rPr>
        <w:t>Nota metodológica</w:t>
      </w:r>
      <w:r w:rsidRPr="00B92499">
        <w:rPr>
          <w:rFonts w:ascii="Arial" w:hAnsi="Arial" w:cs="Arial"/>
          <w:sz w:val="16"/>
          <w:szCs w:val="16"/>
        </w:rPr>
        <w:t xml:space="preserve">: </w:t>
      </w:r>
    </w:p>
    <w:p w14:paraId="4359AD07" w14:textId="77777777" w:rsidR="000B0B2E" w:rsidRPr="00B92499" w:rsidRDefault="000B0B2E" w:rsidP="000B0B2E">
      <w:pPr>
        <w:spacing w:before="100" w:beforeAutospacing="1" w:after="100" w:afterAutospacing="1" w:line="360" w:lineRule="auto"/>
        <w:contextualSpacing/>
        <w:jc w:val="both"/>
        <w:rPr>
          <w:rFonts w:ascii="Arial" w:hAnsi="Arial" w:cs="Arial"/>
          <w:sz w:val="16"/>
          <w:szCs w:val="16"/>
        </w:rPr>
      </w:pPr>
      <w:r w:rsidRPr="00B92499">
        <w:rPr>
          <w:rFonts w:ascii="Arial" w:hAnsi="Arial" w:cs="Arial"/>
          <w:sz w:val="16"/>
          <w:szCs w:val="16"/>
        </w:rPr>
        <w:t>El IGOT se compone del promedio de ICOT-PT e ICOT-PNT.</w:t>
      </w:r>
    </w:p>
    <w:p w14:paraId="624FC4DA" w14:textId="54E932B3" w:rsidR="000B0B2E" w:rsidRPr="00B92499" w:rsidRDefault="000B0B2E" w:rsidP="000B0B2E">
      <w:pPr>
        <w:spacing w:before="100" w:beforeAutospacing="1" w:after="100" w:afterAutospacing="1" w:line="360" w:lineRule="auto"/>
        <w:contextualSpacing/>
        <w:jc w:val="both"/>
        <w:rPr>
          <w:rFonts w:ascii="Arial" w:hAnsi="Arial" w:cs="Arial"/>
          <w:color w:val="000000"/>
          <w:sz w:val="16"/>
          <w:szCs w:val="16"/>
        </w:rPr>
      </w:pPr>
      <w:r w:rsidRPr="00B92499">
        <w:rPr>
          <w:rFonts w:ascii="Arial" w:hAnsi="Arial" w:cs="Arial"/>
          <w:b/>
          <w:bCs/>
          <w:color w:val="000000"/>
          <w:sz w:val="16"/>
          <w:szCs w:val="16"/>
        </w:rPr>
        <w:t>%Inf PT:</w:t>
      </w:r>
      <w:r w:rsidRPr="00B92499">
        <w:rPr>
          <w:rFonts w:ascii="Arial" w:hAnsi="Arial" w:cs="Arial"/>
          <w:color w:val="000000"/>
          <w:sz w:val="16"/>
          <w:szCs w:val="16"/>
        </w:rPr>
        <w:t xml:space="preserve"> corresponde al porcentaje del índice que hace referencia a la información que se encuentra publicada y actualizada en el Portal de Internet (PI) del </w:t>
      </w:r>
      <w:r w:rsidR="008710F6" w:rsidRPr="00B92499">
        <w:rPr>
          <w:rFonts w:ascii="Arial" w:hAnsi="Arial" w:cs="Arial"/>
          <w:color w:val="000000"/>
          <w:sz w:val="16"/>
          <w:szCs w:val="16"/>
        </w:rPr>
        <w:t>sujeto obligado</w:t>
      </w:r>
      <w:r w:rsidRPr="00B92499">
        <w:rPr>
          <w:rFonts w:ascii="Arial" w:hAnsi="Arial" w:cs="Arial"/>
          <w:color w:val="000000"/>
          <w:sz w:val="16"/>
          <w:szCs w:val="16"/>
        </w:rPr>
        <w:t xml:space="preserve">. </w:t>
      </w:r>
    </w:p>
    <w:p w14:paraId="293FBAD6" w14:textId="02692E90" w:rsidR="000B0B2E" w:rsidRPr="00B92499" w:rsidRDefault="000B0B2E" w:rsidP="000B0B2E">
      <w:pPr>
        <w:spacing w:before="100" w:beforeAutospacing="1" w:after="100" w:afterAutospacing="1" w:line="360" w:lineRule="auto"/>
        <w:contextualSpacing/>
        <w:jc w:val="both"/>
        <w:rPr>
          <w:rFonts w:ascii="Arial" w:hAnsi="Arial" w:cs="Arial"/>
          <w:color w:val="000000"/>
          <w:sz w:val="16"/>
          <w:szCs w:val="16"/>
        </w:rPr>
      </w:pPr>
      <w:r w:rsidRPr="00B92499">
        <w:rPr>
          <w:rFonts w:ascii="Arial" w:hAnsi="Arial" w:cs="Arial"/>
          <w:b/>
          <w:bCs/>
          <w:color w:val="000000"/>
          <w:sz w:val="16"/>
          <w:szCs w:val="16"/>
        </w:rPr>
        <w:t>%Inf PNT:</w:t>
      </w:r>
      <w:r w:rsidRPr="00B92499">
        <w:rPr>
          <w:rFonts w:ascii="Arial" w:hAnsi="Arial" w:cs="Arial"/>
          <w:color w:val="000000"/>
          <w:sz w:val="16"/>
          <w:szCs w:val="16"/>
        </w:rPr>
        <w:t xml:space="preserve"> corresponde al porcentaje del índice que hace referencia a la información que se encuentra publicada y actualizada en la Plataforma Nacional de Transparencia (PNT) del </w:t>
      </w:r>
      <w:r w:rsidR="008710F6" w:rsidRPr="00B92499">
        <w:rPr>
          <w:rFonts w:ascii="Arial" w:hAnsi="Arial" w:cs="Arial"/>
          <w:color w:val="000000"/>
          <w:sz w:val="16"/>
          <w:szCs w:val="16"/>
        </w:rPr>
        <w:t>sujeto obligado</w:t>
      </w:r>
      <w:r w:rsidRPr="00B92499">
        <w:rPr>
          <w:rFonts w:ascii="Arial" w:hAnsi="Arial" w:cs="Arial"/>
          <w:color w:val="000000"/>
          <w:sz w:val="16"/>
          <w:szCs w:val="16"/>
        </w:rPr>
        <w:t>.</w:t>
      </w:r>
    </w:p>
    <w:p w14:paraId="0CEF5CD7" w14:textId="68865925" w:rsidR="000B0B2E" w:rsidRPr="00B92499" w:rsidRDefault="000B0B2E" w:rsidP="000B0B2E">
      <w:pPr>
        <w:spacing w:before="100" w:beforeAutospacing="1" w:after="100" w:afterAutospacing="1" w:line="360" w:lineRule="auto"/>
        <w:contextualSpacing/>
        <w:jc w:val="both"/>
        <w:rPr>
          <w:rFonts w:ascii="Arial" w:hAnsi="Arial" w:cs="Arial"/>
          <w:color w:val="000000"/>
          <w:sz w:val="16"/>
          <w:szCs w:val="16"/>
        </w:rPr>
      </w:pPr>
      <w:r w:rsidRPr="00B92499">
        <w:rPr>
          <w:rFonts w:ascii="Arial" w:hAnsi="Arial" w:cs="Arial"/>
          <w:b/>
          <w:bCs/>
          <w:color w:val="000000"/>
          <w:sz w:val="16"/>
          <w:szCs w:val="16"/>
        </w:rPr>
        <w:t xml:space="preserve">%Inf IGOT: </w:t>
      </w:r>
      <w:r w:rsidRPr="00B92499">
        <w:rPr>
          <w:rFonts w:ascii="Arial" w:hAnsi="Arial" w:cs="Arial"/>
          <w:color w:val="000000"/>
          <w:sz w:val="16"/>
          <w:szCs w:val="16"/>
        </w:rPr>
        <w:t xml:space="preserve">corresponde al porcentaje del índice que hace referencia a la información que se encuentra publicada y actualizada tanto en la PNT y el PI del </w:t>
      </w:r>
      <w:r w:rsidR="008710F6" w:rsidRPr="00B92499">
        <w:rPr>
          <w:rFonts w:ascii="Arial" w:hAnsi="Arial" w:cs="Arial"/>
          <w:color w:val="000000"/>
          <w:sz w:val="16"/>
          <w:szCs w:val="16"/>
        </w:rPr>
        <w:t>sujeto obligado</w:t>
      </w:r>
      <w:r w:rsidRPr="00B92499">
        <w:rPr>
          <w:rFonts w:ascii="Arial" w:hAnsi="Arial" w:cs="Arial"/>
          <w:color w:val="000000"/>
          <w:sz w:val="16"/>
          <w:szCs w:val="16"/>
        </w:rPr>
        <w:t>.</w:t>
      </w:r>
    </w:p>
    <w:p w14:paraId="55C96751" w14:textId="566AB181" w:rsidR="000B0B2E" w:rsidRPr="00B92499" w:rsidRDefault="000B0B2E" w:rsidP="000B0B2E">
      <w:pPr>
        <w:spacing w:before="100" w:beforeAutospacing="1" w:after="100" w:afterAutospacing="1" w:line="360" w:lineRule="auto"/>
        <w:contextualSpacing/>
        <w:jc w:val="both"/>
        <w:rPr>
          <w:rFonts w:ascii="Arial" w:hAnsi="Arial" w:cs="Arial"/>
          <w:color w:val="000000"/>
          <w:sz w:val="16"/>
          <w:szCs w:val="16"/>
        </w:rPr>
      </w:pPr>
      <w:r w:rsidRPr="00B92499">
        <w:rPr>
          <w:rFonts w:ascii="Arial" w:hAnsi="Arial" w:cs="Arial"/>
          <w:b/>
          <w:bCs/>
          <w:color w:val="000000"/>
          <w:sz w:val="16"/>
          <w:szCs w:val="16"/>
        </w:rPr>
        <w:t>%Nota PT:</w:t>
      </w:r>
      <w:r w:rsidRPr="00B92499">
        <w:rPr>
          <w:rFonts w:ascii="Arial" w:hAnsi="Arial" w:cs="Arial"/>
          <w:color w:val="000000"/>
          <w:sz w:val="16"/>
          <w:szCs w:val="16"/>
        </w:rPr>
        <w:t xml:space="preserve"> corresponde al porcentaje del índice que hace referencia a las notas aclaratorias por no generación, competencia, publicación o actualización de la información que se encuentra publicada y actualizada en el Portal de Internet (PI) del </w:t>
      </w:r>
      <w:r w:rsidR="008710F6" w:rsidRPr="00B92499">
        <w:rPr>
          <w:rFonts w:ascii="Arial" w:hAnsi="Arial" w:cs="Arial"/>
          <w:color w:val="000000"/>
          <w:sz w:val="16"/>
          <w:szCs w:val="16"/>
        </w:rPr>
        <w:t>sujeto obligado</w:t>
      </w:r>
      <w:r w:rsidRPr="00B92499">
        <w:rPr>
          <w:rFonts w:ascii="Arial" w:hAnsi="Arial" w:cs="Arial"/>
          <w:color w:val="000000"/>
          <w:sz w:val="16"/>
          <w:szCs w:val="16"/>
        </w:rPr>
        <w:t>.</w:t>
      </w:r>
    </w:p>
    <w:p w14:paraId="2A8D65A5" w14:textId="6CC7BB69" w:rsidR="000B0B2E" w:rsidRPr="00B92499" w:rsidRDefault="000B0B2E" w:rsidP="000B0B2E">
      <w:pPr>
        <w:spacing w:before="100" w:beforeAutospacing="1" w:after="100" w:afterAutospacing="1" w:line="360" w:lineRule="auto"/>
        <w:contextualSpacing/>
        <w:jc w:val="both"/>
        <w:rPr>
          <w:rFonts w:ascii="Arial" w:hAnsi="Arial" w:cs="Arial"/>
          <w:color w:val="000000"/>
          <w:sz w:val="16"/>
          <w:szCs w:val="16"/>
        </w:rPr>
      </w:pPr>
      <w:r w:rsidRPr="00B92499">
        <w:rPr>
          <w:rFonts w:ascii="Arial" w:hAnsi="Arial" w:cs="Arial"/>
          <w:b/>
          <w:bCs/>
          <w:color w:val="000000"/>
          <w:sz w:val="16"/>
          <w:szCs w:val="16"/>
        </w:rPr>
        <w:lastRenderedPageBreak/>
        <w:t>%Nota PNT:</w:t>
      </w:r>
      <w:r w:rsidRPr="00B92499">
        <w:rPr>
          <w:rFonts w:ascii="Arial" w:hAnsi="Arial" w:cs="Arial"/>
          <w:color w:val="000000"/>
          <w:sz w:val="16"/>
          <w:szCs w:val="16"/>
        </w:rPr>
        <w:t xml:space="preserve"> corresponde al porcentaje del índice que hace referencia a las notas aclaratorias por no generación, competencia, publicación o actualización de la información que se encuentra publicada y actualizada en la Plataforma Nacional de Transparencia (PNT) del </w:t>
      </w:r>
      <w:r w:rsidR="008710F6" w:rsidRPr="00B92499">
        <w:rPr>
          <w:rFonts w:ascii="Arial" w:hAnsi="Arial" w:cs="Arial"/>
          <w:color w:val="000000"/>
          <w:sz w:val="16"/>
          <w:szCs w:val="16"/>
        </w:rPr>
        <w:t>sujeto obligado</w:t>
      </w:r>
      <w:r w:rsidRPr="00B92499">
        <w:rPr>
          <w:rFonts w:ascii="Arial" w:hAnsi="Arial" w:cs="Arial"/>
          <w:color w:val="000000"/>
          <w:sz w:val="16"/>
          <w:szCs w:val="16"/>
        </w:rPr>
        <w:t>.</w:t>
      </w:r>
    </w:p>
    <w:p w14:paraId="0D812EE8" w14:textId="189E8653" w:rsidR="000B0B2E" w:rsidRPr="00B92499" w:rsidRDefault="000B0B2E" w:rsidP="000B0B2E">
      <w:pPr>
        <w:spacing w:before="100" w:beforeAutospacing="1" w:after="100" w:afterAutospacing="1" w:line="360" w:lineRule="auto"/>
        <w:contextualSpacing/>
        <w:jc w:val="both"/>
        <w:rPr>
          <w:rFonts w:ascii="Arial" w:hAnsi="Arial" w:cs="Arial"/>
          <w:color w:val="000000"/>
          <w:sz w:val="16"/>
          <w:szCs w:val="16"/>
        </w:rPr>
      </w:pPr>
      <w:r w:rsidRPr="00B92499">
        <w:rPr>
          <w:rFonts w:ascii="Arial" w:hAnsi="Arial" w:cs="Arial"/>
          <w:b/>
          <w:bCs/>
          <w:color w:val="000000"/>
          <w:sz w:val="16"/>
          <w:szCs w:val="16"/>
        </w:rPr>
        <w:t>%Nota IGOT:</w:t>
      </w:r>
      <w:r w:rsidRPr="00B92499">
        <w:rPr>
          <w:rFonts w:ascii="Arial" w:hAnsi="Arial" w:cs="Arial"/>
          <w:color w:val="000000"/>
          <w:sz w:val="16"/>
          <w:szCs w:val="16"/>
        </w:rPr>
        <w:t xml:space="preserve"> corresponde al porcentaje del índice que hace referencia a las notas aclaratorias por no generación, competencia, publicación o actualización de la información que se encuentra publicada y actualizada en la PNT y el PI del </w:t>
      </w:r>
      <w:r w:rsidR="008710F6" w:rsidRPr="00B92499">
        <w:rPr>
          <w:rFonts w:ascii="Arial" w:hAnsi="Arial" w:cs="Arial"/>
          <w:color w:val="000000"/>
          <w:sz w:val="16"/>
          <w:szCs w:val="16"/>
        </w:rPr>
        <w:t>sujeto obligado</w:t>
      </w:r>
      <w:r w:rsidRPr="00B92499">
        <w:rPr>
          <w:rFonts w:ascii="Arial" w:hAnsi="Arial" w:cs="Arial"/>
          <w:color w:val="000000"/>
          <w:sz w:val="16"/>
          <w:szCs w:val="16"/>
        </w:rPr>
        <w:t>.</w:t>
      </w:r>
    </w:p>
    <w:p w14:paraId="2FF12418" w14:textId="77777777" w:rsidR="000B0B2E" w:rsidRPr="00B92499" w:rsidRDefault="000B0B2E" w:rsidP="000B0B2E">
      <w:pPr>
        <w:spacing w:before="100" w:beforeAutospacing="1" w:after="100" w:afterAutospacing="1" w:line="360" w:lineRule="auto"/>
        <w:contextualSpacing/>
        <w:jc w:val="both"/>
        <w:rPr>
          <w:rFonts w:ascii="Arial" w:hAnsi="Arial" w:cs="Arial"/>
        </w:rPr>
      </w:pPr>
    </w:p>
    <w:p w14:paraId="51026DD5" w14:textId="5A2AC9AB" w:rsidR="000B0B2E" w:rsidRPr="00B92499" w:rsidRDefault="000B0B2E" w:rsidP="000B0B2E">
      <w:pPr>
        <w:spacing w:before="100" w:beforeAutospacing="1" w:after="100" w:afterAutospacing="1" w:line="360" w:lineRule="auto"/>
        <w:contextualSpacing/>
        <w:jc w:val="both"/>
        <w:rPr>
          <w:rFonts w:ascii="Arial" w:hAnsi="Arial" w:cs="Arial"/>
        </w:rPr>
      </w:pPr>
      <w:r w:rsidRPr="00B92499">
        <w:rPr>
          <w:rFonts w:ascii="Arial" w:hAnsi="Arial" w:cs="Arial"/>
        </w:rPr>
        <w:t xml:space="preserve">En atención a la Tabla de Aplicabilidad realizada por la DEAEE del Instituto, las obligaciones que los sindicatos deben actualizar y publicar en el SIPOT de la PNT, así como en sus respectivos portales de internet son las contempladas en los siguientes </w:t>
      </w:r>
      <w:r w:rsidR="008F67E4" w:rsidRPr="00B92499">
        <w:rPr>
          <w:rFonts w:ascii="Arial" w:hAnsi="Arial" w:cs="Arial"/>
        </w:rPr>
        <w:t>artículo</w:t>
      </w:r>
      <w:r w:rsidRPr="00B92499">
        <w:rPr>
          <w:rFonts w:ascii="Arial" w:hAnsi="Arial" w:cs="Arial"/>
        </w:rPr>
        <w:t xml:space="preserve">s: </w:t>
      </w:r>
    </w:p>
    <w:p w14:paraId="653C584C" w14:textId="38BD161C" w:rsidR="000B0B2E" w:rsidRPr="00B92499" w:rsidRDefault="000B0B2E" w:rsidP="009F64B5">
      <w:pPr>
        <w:pStyle w:val="Prrafodelista"/>
        <w:numPr>
          <w:ilvl w:val="0"/>
          <w:numId w:val="23"/>
        </w:numPr>
        <w:spacing w:before="100" w:beforeAutospacing="1" w:after="100" w:afterAutospacing="1" w:line="360" w:lineRule="auto"/>
        <w:jc w:val="both"/>
        <w:rPr>
          <w:rFonts w:ascii="Arial" w:hAnsi="Arial" w:cs="Arial"/>
          <w:sz w:val="24"/>
          <w:szCs w:val="24"/>
          <w:lang w:val="es-ES_tradnl"/>
        </w:rPr>
      </w:pPr>
      <w:r w:rsidRPr="00B92499">
        <w:rPr>
          <w:rFonts w:ascii="Arial" w:hAnsi="Arial" w:cs="Arial"/>
          <w:sz w:val="24"/>
          <w:szCs w:val="24"/>
          <w:lang w:val="es-ES_tradnl"/>
        </w:rPr>
        <w:t>Artículo 121. Obligaciones comunes,</w:t>
      </w:r>
    </w:p>
    <w:p w14:paraId="5714463B" w14:textId="4905F93A" w:rsidR="000B0B2E" w:rsidRPr="00B92499" w:rsidRDefault="000B0B2E" w:rsidP="009F64B5">
      <w:pPr>
        <w:pStyle w:val="Prrafodelista"/>
        <w:numPr>
          <w:ilvl w:val="0"/>
          <w:numId w:val="23"/>
        </w:numPr>
        <w:spacing w:before="100" w:beforeAutospacing="1" w:after="100" w:afterAutospacing="1" w:line="360" w:lineRule="auto"/>
        <w:jc w:val="both"/>
        <w:rPr>
          <w:rFonts w:ascii="Arial" w:hAnsi="Arial" w:cs="Arial"/>
          <w:sz w:val="24"/>
          <w:szCs w:val="24"/>
          <w:lang w:val="es-ES_tradnl"/>
        </w:rPr>
      </w:pPr>
      <w:r w:rsidRPr="00B92499">
        <w:rPr>
          <w:rFonts w:ascii="Arial" w:hAnsi="Arial" w:cs="Arial"/>
          <w:sz w:val="24"/>
          <w:szCs w:val="24"/>
          <w:lang w:val="es-ES_tradnl"/>
        </w:rPr>
        <w:t>Artículo 1</w:t>
      </w:r>
      <w:r w:rsidR="00AA1246" w:rsidRPr="00B92499">
        <w:rPr>
          <w:rFonts w:ascii="Arial" w:hAnsi="Arial" w:cs="Arial"/>
          <w:sz w:val="24"/>
          <w:szCs w:val="24"/>
          <w:lang w:val="es-ES_tradnl"/>
        </w:rPr>
        <w:t>33</w:t>
      </w:r>
      <w:r w:rsidRPr="00B92499">
        <w:rPr>
          <w:rFonts w:ascii="Arial" w:hAnsi="Arial" w:cs="Arial"/>
          <w:sz w:val="24"/>
          <w:szCs w:val="24"/>
          <w:lang w:val="es-ES_tradnl"/>
        </w:rPr>
        <w:t xml:space="preserve">. Obligaciones específicas del </w:t>
      </w:r>
      <w:r w:rsidR="00AA1246" w:rsidRPr="00B92499">
        <w:rPr>
          <w:rFonts w:ascii="Arial" w:hAnsi="Arial" w:cs="Arial"/>
          <w:sz w:val="24"/>
          <w:szCs w:val="24"/>
          <w:lang w:val="es-ES_tradnl"/>
        </w:rPr>
        <w:t>Instituto</w:t>
      </w:r>
      <w:r w:rsidRPr="00B92499">
        <w:rPr>
          <w:rFonts w:ascii="Arial" w:hAnsi="Arial" w:cs="Arial"/>
          <w:sz w:val="24"/>
          <w:szCs w:val="24"/>
          <w:lang w:val="es-ES_tradnl"/>
        </w:rPr>
        <w:t>,</w:t>
      </w:r>
    </w:p>
    <w:p w14:paraId="3FD7317B" w14:textId="053703BC" w:rsidR="000B0B2E" w:rsidRPr="00B92499" w:rsidRDefault="000B0B2E" w:rsidP="009F64B5">
      <w:pPr>
        <w:pStyle w:val="Prrafodelista"/>
        <w:numPr>
          <w:ilvl w:val="0"/>
          <w:numId w:val="23"/>
        </w:numPr>
        <w:spacing w:before="100" w:beforeAutospacing="1" w:after="100" w:afterAutospacing="1" w:line="360" w:lineRule="auto"/>
        <w:jc w:val="both"/>
        <w:rPr>
          <w:rFonts w:ascii="Arial" w:hAnsi="Arial" w:cs="Arial"/>
          <w:sz w:val="24"/>
          <w:szCs w:val="24"/>
          <w:lang w:val="es-ES_tradnl"/>
        </w:rPr>
      </w:pPr>
      <w:r w:rsidRPr="00B92499">
        <w:rPr>
          <w:rFonts w:ascii="Arial" w:hAnsi="Arial" w:cs="Arial"/>
          <w:sz w:val="24"/>
          <w:szCs w:val="24"/>
          <w:lang w:val="es-ES_tradnl"/>
        </w:rPr>
        <w:t>Artículo 145. Disposiciones Particulares,</w:t>
      </w:r>
    </w:p>
    <w:p w14:paraId="3D9212AD" w14:textId="2A96F8B9" w:rsidR="000B0B2E" w:rsidRPr="00B92499" w:rsidRDefault="000B0B2E" w:rsidP="009F64B5">
      <w:pPr>
        <w:pStyle w:val="Prrafodelista"/>
        <w:numPr>
          <w:ilvl w:val="0"/>
          <w:numId w:val="23"/>
        </w:numPr>
        <w:spacing w:before="100" w:beforeAutospacing="1" w:after="100" w:afterAutospacing="1" w:line="360" w:lineRule="auto"/>
        <w:jc w:val="both"/>
        <w:rPr>
          <w:rFonts w:ascii="Arial" w:hAnsi="Arial" w:cs="Arial"/>
          <w:sz w:val="24"/>
          <w:szCs w:val="24"/>
          <w:lang w:val="es-ES_tradnl"/>
        </w:rPr>
      </w:pPr>
      <w:r w:rsidRPr="00B92499">
        <w:rPr>
          <w:rFonts w:ascii="Arial" w:hAnsi="Arial" w:cs="Arial"/>
          <w:sz w:val="24"/>
          <w:szCs w:val="24"/>
          <w:lang w:val="es-ES_tradnl"/>
        </w:rPr>
        <w:t xml:space="preserve">Artículo 146. Disposiciones Particulares, y </w:t>
      </w:r>
    </w:p>
    <w:p w14:paraId="27E34C45" w14:textId="7CD0983C" w:rsidR="000B0B2E" w:rsidRPr="00B92499" w:rsidRDefault="000B0B2E" w:rsidP="009F64B5">
      <w:pPr>
        <w:pStyle w:val="Prrafodelista"/>
        <w:numPr>
          <w:ilvl w:val="0"/>
          <w:numId w:val="23"/>
        </w:numPr>
        <w:spacing w:before="100" w:beforeAutospacing="1" w:after="100" w:afterAutospacing="1" w:line="360" w:lineRule="auto"/>
        <w:jc w:val="both"/>
        <w:rPr>
          <w:rFonts w:ascii="Arial" w:hAnsi="Arial" w:cs="Arial"/>
          <w:sz w:val="24"/>
          <w:szCs w:val="24"/>
          <w:lang w:val="es-ES_tradnl"/>
        </w:rPr>
      </w:pPr>
      <w:r w:rsidRPr="00B92499">
        <w:rPr>
          <w:rFonts w:ascii="Arial" w:hAnsi="Arial" w:cs="Arial"/>
          <w:sz w:val="24"/>
          <w:szCs w:val="24"/>
          <w:lang w:val="es-ES_tradnl"/>
        </w:rPr>
        <w:t>Artículo 147. Disposiciones Particulares.</w:t>
      </w:r>
    </w:p>
    <w:p w14:paraId="55F1A93D" w14:textId="3409D694" w:rsidR="000B0B2E" w:rsidRPr="00B92499" w:rsidRDefault="000B0B2E" w:rsidP="009F64B5">
      <w:pPr>
        <w:pStyle w:val="Ttulo2"/>
        <w:numPr>
          <w:ilvl w:val="1"/>
          <w:numId w:val="18"/>
        </w:numPr>
        <w:contextualSpacing/>
        <w:jc w:val="both"/>
        <w:rPr>
          <w:rFonts w:ascii="Arial" w:hAnsi="Arial" w:cs="Arial"/>
          <w:b/>
          <w:color w:val="auto"/>
          <w:sz w:val="24"/>
          <w:szCs w:val="24"/>
        </w:rPr>
      </w:pPr>
      <w:bookmarkStart w:id="46" w:name="_Toc23253002"/>
      <w:r w:rsidRPr="00B92499">
        <w:rPr>
          <w:rFonts w:ascii="Arial" w:hAnsi="Arial" w:cs="Arial"/>
          <w:b/>
          <w:color w:val="auto"/>
          <w:sz w:val="24"/>
          <w:szCs w:val="24"/>
        </w:rPr>
        <w:t xml:space="preserve">Análisis global de cumplimiento de los </w:t>
      </w:r>
      <w:r w:rsidR="00CF534F" w:rsidRPr="00B92499">
        <w:rPr>
          <w:rFonts w:ascii="Arial" w:hAnsi="Arial" w:cs="Arial"/>
          <w:b/>
          <w:color w:val="auto"/>
          <w:sz w:val="24"/>
          <w:szCs w:val="24"/>
        </w:rPr>
        <w:t>Órganos Autónomos</w:t>
      </w:r>
      <w:bookmarkEnd w:id="46"/>
    </w:p>
    <w:p w14:paraId="32F66F83" w14:textId="77777777" w:rsidR="000B0B2E" w:rsidRPr="00B92499" w:rsidRDefault="000B0B2E" w:rsidP="000B0B2E">
      <w:pPr>
        <w:rPr>
          <w:rFonts w:ascii="Arial" w:hAnsi="Arial" w:cs="Arial"/>
        </w:rPr>
      </w:pPr>
    </w:p>
    <w:p w14:paraId="3320D313" w14:textId="1E991AF3" w:rsidR="000B0B2E" w:rsidRPr="00B92499" w:rsidRDefault="000B0B2E" w:rsidP="000B0B2E">
      <w:pPr>
        <w:spacing w:before="100" w:beforeAutospacing="1" w:after="100" w:afterAutospacing="1" w:line="360" w:lineRule="auto"/>
        <w:contextualSpacing/>
        <w:jc w:val="both"/>
        <w:rPr>
          <w:rFonts w:ascii="Arial" w:hAnsi="Arial" w:cs="Arial"/>
          <w:u w:val="single"/>
        </w:rPr>
      </w:pPr>
      <w:r w:rsidRPr="00B92499">
        <w:rPr>
          <w:rFonts w:ascii="Arial" w:hAnsi="Arial" w:cs="Arial"/>
          <w:u w:val="single"/>
        </w:rPr>
        <w:t xml:space="preserve">Índices Globales de Cumplimiento de las </w:t>
      </w:r>
      <w:r w:rsidR="008710F6" w:rsidRPr="00B92499">
        <w:rPr>
          <w:rFonts w:ascii="Arial" w:hAnsi="Arial" w:cs="Arial"/>
          <w:u w:val="single"/>
        </w:rPr>
        <w:t>obligaciones de transparencia</w:t>
      </w:r>
    </w:p>
    <w:p w14:paraId="0D4E5B9E" w14:textId="1DCCB4C6" w:rsidR="000B0B2E" w:rsidRPr="00B92499" w:rsidRDefault="000B0B2E" w:rsidP="000B0B2E">
      <w:pPr>
        <w:spacing w:before="100" w:beforeAutospacing="1" w:after="100" w:afterAutospacing="1" w:line="360" w:lineRule="auto"/>
        <w:contextualSpacing/>
        <w:jc w:val="both"/>
        <w:rPr>
          <w:rFonts w:ascii="Arial" w:hAnsi="Arial" w:cs="Arial"/>
        </w:rPr>
      </w:pPr>
      <w:r w:rsidRPr="00B92499">
        <w:rPr>
          <w:rFonts w:ascii="Arial" w:hAnsi="Arial" w:cs="Arial"/>
        </w:rPr>
        <w:t xml:space="preserve">Con relación a IGOT, el </w:t>
      </w:r>
      <w:r w:rsidR="00AA1246" w:rsidRPr="00B92499">
        <w:rPr>
          <w:rFonts w:ascii="Arial" w:hAnsi="Arial" w:cs="Arial"/>
        </w:rPr>
        <w:t>Instituto</w:t>
      </w:r>
      <w:r w:rsidRPr="00B92499">
        <w:rPr>
          <w:rFonts w:ascii="Arial" w:hAnsi="Arial" w:cs="Arial"/>
        </w:rPr>
        <w:t xml:space="preserve"> obtuvo un promedio de </w:t>
      </w:r>
      <w:r w:rsidR="00AA1246" w:rsidRPr="00B92499">
        <w:rPr>
          <w:rFonts w:ascii="Arial" w:hAnsi="Arial" w:cs="Arial"/>
        </w:rPr>
        <w:t>96.24</w:t>
      </w:r>
      <w:r w:rsidRPr="00B92499">
        <w:rPr>
          <w:rFonts w:ascii="Arial" w:hAnsi="Arial" w:cs="Arial"/>
        </w:rPr>
        <w:t xml:space="preserve">%, el cual está compuesto por un índice de </w:t>
      </w:r>
      <w:r w:rsidR="00AA1246" w:rsidRPr="00B92499">
        <w:rPr>
          <w:rFonts w:ascii="Arial" w:hAnsi="Arial" w:cs="Arial"/>
        </w:rPr>
        <w:t>95.32</w:t>
      </w:r>
      <w:r w:rsidRPr="00B92499">
        <w:rPr>
          <w:rFonts w:ascii="Arial" w:hAnsi="Arial" w:cs="Arial"/>
        </w:rPr>
        <w:t>% en lo que corresponde a la Plataforma Nacional de Transparencia (PNT) y un índice de 9</w:t>
      </w:r>
      <w:r w:rsidR="00AA1246" w:rsidRPr="00B92499">
        <w:rPr>
          <w:rFonts w:ascii="Arial" w:hAnsi="Arial" w:cs="Arial"/>
        </w:rPr>
        <w:t>7.16</w:t>
      </w:r>
      <w:r w:rsidRPr="00B92499">
        <w:rPr>
          <w:rFonts w:ascii="Arial" w:hAnsi="Arial" w:cs="Arial"/>
        </w:rPr>
        <w:t xml:space="preserve">% en lo que se refiere al Portal Institucional (PI). </w:t>
      </w:r>
    </w:p>
    <w:p w14:paraId="121D7C77" w14:textId="77777777" w:rsidR="000B0B2E" w:rsidRPr="00B92499" w:rsidRDefault="000B0B2E" w:rsidP="000B0B2E">
      <w:pPr>
        <w:spacing w:before="100" w:beforeAutospacing="1" w:after="100" w:afterAutospacing="1" w:line="360" w:lineRule="auto"/>
        <w:contextualSpacing/>
        <w:jc w:val="both"/>
        <w:rPr>
          <w:rFonts w:ascii="Arial" w:hAnsi="Arial" w:cs="Arial"/>
        </w:rPr>
      </w:pPr>
    </w:p>
    <w:p w14:paraId="103CA053" w14:textId="77777777" w:rsidR="000B0B2E" w:rsidRPr="00B92499" w:rsidRDefault="000B0B2E" w:rsidP="000B0B2E">
      <w:pPr>
        <w:spacing w:before="100" w:beforeAutospacing="1" w:after="100" w:afterAutospacing="1" w:line="360" w:lineRule="auto"/>
        <w:contextualSpacing/>
        <w:jc w:val="both"/>
        <w:rPr>
          <w:rFonts w:ascii="Arial" w:hAnsi="Arial" w:cs="Arial"/>
        </w:rPr>
      </w:pPr>
      <w:r w:rsidRPr="00B92499">
        <w:rPr>
          <w:rFonts w:ascii="Arial" w:hAnsi="Arial" w:cs="Arial"/>
        </w:rPr>
        <w:t xml:space="preserve">No obstante, el grado de cumplimiento anteriormente señalado está conformado por el índice de cumplimiento respecto de la información que se encuentra pública y actualizada tanto en los Portales de Internet Institucionales como en la Plataforma Nacional de Transparencia y el índice de cumplimiento respecto de la atención a lo mandatado en las obligaciones de transparencia a través de la publicación de una nota fundada y motivada que aclara el por qué no se generó, publicó o actualizó la información. </w:t>
      </w:r>
    </w:p>
    <w:p w14:paraId="00DF4162" w14:textId="77777777" w:rsidR="000B0B2E" w:rsidRPr="00B92499" w:rsidRDefault="000B0B2E" w:rsidP="000B0B2E">
      <w:pPr>
        <w:spacing w:before="100" w:beforeAutospacing="1" w:after="100" w:afterAutospacing="1" w:line="360" w:lineRule="auto"/>
        <w:contextualSpacing/>
        <w:jc w:val="both"/>
        <w:rPr>
          <w:rFonts w:ascii="Arial" w:hAnsi="Arial" w:cs="Arial"/>
        </w:rPr>
      </w:pPr>
    </w:p>
    <w:p w14:paraId="0FDC0D0B" w14:textId="411E5FA6" w:rsidR="000B0B2E" w:rsidRPr="00B92499" w:rsidRDefault="000B0B2E" w:rsidP="000B0B2E">
      <w:pPr>
        <w:spacing w:before="100" w:beforeAutospacing="1" w:after="100" w:afterAutospacing="1" w:line="360" w:lineRule="auto"/>
        <w:contextualSpacing/>
        <w:jc w:val="both"/>
        <w:rPr>
          <w:rFonts w:ascii="Arial" w:hAnsi="Arial" w:cs="Arial"/>
        </w:rPr>
      </w:pPr>
      <w:r w:rsidRPr="00B92499">
        <w:rPr>
          <w:rFonts w:ascii="Arial" w:hAnsi="Arial" w:cs="Arial"/>
        </w:rPr>
        <w:lastRenderedPageBreak/>
        <w:t xml:space="preserve">El grado de cumplimiento de este ámbito, consistente en </w:t>
      </w:r>
      <w:r w:rsidR="00AA1246" w:rsidRPr="00B92499">
        <w:rPr>
          <w:rFonts w:ascii="Arial" w:hAnsi="Arial" w:cs="Arial"/>
        </w:rPr>
        <w:t>96.24</w:t>
      </w:r>
      <w:r w:rsidRPr="00B92499">
        <w:rPr>
          <w:rFonts w:ascii="Arial" w:hAnsi="Arial" w:cs="Arial"/>
        </w:rPr>
        <w:t>%, está integrado por 9</w:t>
      </w:r>
      <w:r w:rsidR="00AA1246" w:rsidRPr="00B92499">
        <w:rPr>
          <w:rFonts w:ascii="Arial" w:hAnsi="Arial" w:cs="Arial"/>
        </w:rPr>
        <w:t>1.79</w:t>
      </w:r>
      <w:r w:rsidRPr="00B92499">
        <w:rPr>
          <w:rFonts w:ascii="Arial" w:hAnsi="Arial" w:cs="Arial"/>
        </w:rPr>
        <w:t xml:space="preserve">% de información publicada y actualizada en atención a los principios mandatados en la Ley de Transparencia Local y un </w:t>
      </w:r>
      <w:r w:rsidR="00AA1246" w:rsidRPr="00B92499">
        <w:rPr>
          <w:rFonts w:ascii="Arial" w:hAnsi="Arial" w:cs="Arial"/>
        </w:rPr>
        <w:t>4.45</w:t>
      </w:r>
      <w:r w:rsidRPr="00B92499">
        <w:rPr>
          <w:rFonts w:ascii="Arial" w:hAnsi="Arial" w:cs="Arial"/>
        </w:rPr>
        <w:t xml:space="preserve">% que corresponde a notas aclaratorias. </w:t>
      </w:r>
    </w:p>
    <w:p w14:paraId="07ED1A92" w14:textId="77777777" w:rsidR="000B0B2E" w:rsidRPr="00B92499" w:rsidRDefault="000B0B2E" w:rsidP="000B0B2E">
      <w:pPr>
        <w:spacing w:before="100" w:beforeAutospacing="1" w:after="100" w:afterAutospacing="1" w:line="360" w:lineRule="auto"/>
        <w:contextualSpacing/>
        <w:jc w:val="both"/>
        <w:rPr>
          <w:rFonts w:ascii="Arial" w:hAnsi="Arial" w:cs="Arial"/>
        </w:rPr>
      </w:pPr>
    </w:p>
    <w:p w14:paraId="2E20FB2A" w14:textId="368797C3" w:rsidR="000B0B2E" w:rsidRPr="00B92499" w:rsidRDefault="000B0B2E" w:rsidP="000B0B2E">
      <w:pPr>
        <w:spacing w:before="100" w:beforeAutospacing="1" w:after="100" w:afterAutospacing="1" w:line="360" w:lineRule="auto"/>
        <w:contextualSpacing/>
        <w:jc w:val="both"/>
        <w:rPr>
          <w:rFonts w:ascii="Arial" w:hAnsi="Arial" w:cs="Arial"/>
          <w:u w:val="single"/>
        </w:rPr>
      </w:pPr>
      <w:r w:rsidRPr="00B92499">
        <w:rPr>
          <w:rFonts w:ascii="Arial" w:hAnsi="Arial" w:cs="Arial"/>
          <w:u w:val="single"/>
        </w:rPr>
        <w:t xml:space="preserve">Cumplimiento diferenciado por </w:t>
      </w:r>
      <w:r w:rsidR="008F67E4" w:rsidRPr="00B92499">
        <w:rPr>
          <w:rFonts w:ascii="Arial" w:hAnsi="Arial" w:cs="Arial"/>
          <w:u w:val="single"/>
        </w:rPr>
        <w:t>artículo</w:t>
      </w:r>
      <w:r w:rsidRPr="00B92499">
        <w:rPr>
          <w:rFonts w:ascii="Arial" w:hAnsi="Arial" w:cs="Arial"/>
          <w:u w:val="single"/>
        </w:rPr>
        <w:t xml:space="preserve">s </w:t>
      </w:r>
    </w:p>
    <w:p w14:paraId="42504B38" w14:textId="77777777" w:rsidR="000B0B2E" w:rsidRPr="00B92499" w:rsidRDefault="000B0B2E" w:rsidP="000B0B2E">
      <w:pPr>
        <w:spacing w:before="100" w:beforeAutospacing="1" w:after="100" w:afterAutospacing="1" w:line="360" w:lineRule="auto"/>
        <w:contextualSpacing/>
        <w:jc w:val="both"/>
        <w:rPr>
          <w:rFonts w:ascii="Arial" w:hAnsi="Arial" w:cs="Arial"/>
          <w:u w:val="single"/>
        </w:rPr>
      </w:pPr>
    </w:p>
    <w:p w14:paraId="1D627415" w14:textId="2FBECE46" w:rsidR="000B0B2E" w:rsidRPr="00B92499" w:rsidRDefault="000B0B2E" w:rsidP="000B0B2E">
      <w:pPr>
        <w:spacing w:before="100" w:beforeAutospacing="1" w:after="100" w:afterAutospacing="1" w:line="360" w:lineRule="auto"/>
        <w:contextualSpacing/>
        <w:jc w:val="both"/>
        <w:rPr>
          <w:rFonts w:ascii="Arial" w:hAnsi="Arial" w:cs="Arial"/>
        </w:rPr>
      </w:pPr>
      <w:r w:rsidRPr="00B92499">
        <w:rPr>
          <w:rFonts w:ascii="Arial" w:hAnsi="Arial" w:cs="Arial"/>
        </w:rPr>
        <w:t xml:space="preserve">Con relación al tipo de obligaciones de transparencia, este </w:t>
      </w:r>
      <w:r w:rsidR="00A64325" w:rsidRPr="00B92499">
        <w:rPr>
          <w:rFonts w:ascii="Arial" w:hAnsi="Arial" w:cs="Arial"/>
        </w:rPr>
        <w:t xml:space="preserve">ámbito </w:t>
      </w:r>
      <w:r w:rsidRPr="00B92499">
        <w:rPr>
          <w:rFonts w:ascii="Arial" w:hAnsi="Arial" w:cs="Arial"/>
        </w:rPr>
        <w:t>ha cumplido parcialmente en la publicación y actualización de sus obligaciones comunes, específicas y disposiciones particulares; obteniendo en las</w:t>
      </w:r>
      <w:r w:rsidR="000D67A7" w:rsidRPr="00B92499">
        <w:rPr>
          <w:rFonts w:ascii="Arial" w:hAnsi="Arial" w:cs="Arial"/>
        </w:rPr>
        <w:t xml:space="preserve"> 3 </w:t>
      </w:r>
      <w:r w:rsidRPr="00B92499">
        <w:rPr>
          <w:rFonts w:ascii="Arial" w:hAnsi="Arial" w:cs="Arial"/>
        </w:rPr>
        <w:t xml:space="preserve">un promedio de cumplimiento de </w:t>
      </w:r>
      <w:r w:rsidR="00AA1246" w:rsidRPr="00B92499">
        <w:rPr>
          <w:rFonts w:ascii="Arial" w:hAnsi="Arial" w:cs="Arial"/>
        </w:rPr>
        <w:t>96.49</w:t>
      </w:r>
      <w:r w:rsidRPr="00B92499">
        <w:rPr>
          <w:rFonts w:ascii="Arial" w:hAnsi="Arial" w:cs="Arial"/>
        </w:rPr>
        <w:t>%, 9</w:t>
      </w:r>
      <w:r w:rsidR="00AA1246" w:rsidRPr="00B92499">
        <w:rPr>
          <w:rFonts w:ascii="Arial" w:hAnsi="Arial" w:cs="Arial"/>
        </w:rPr>
        <w:t>1.72</w:t>
      </w:r>
      <w:r w:rsidRPr="00B92499">
        <w:rPr>
          <w:rFonts w:ascii="Arial" w:hAnsi="Arial" w:cs="Arial"/>
        </w:rPr>
        <w:t xml:space="preserve">% y </w:t>
      </w:r>
      <w:r w:rsidR="00AA1246" w:rsidRPr="00B92499">
        <w:rPr>
          <w:rFonts w:ascii="Arial" w:hAnsi="Arial" w:cs="Arial"/>
        </w:rPr>
        <w:t>100</w:t>
      </w:r>
      <w:r w:rsidRPr="00B92499">
        <w:rPr>
          <w:rFonts w:ascii="Arial" w:hAnsi="Arial" w:cs="Arial"/>
        </w:rPr>
        <w:t xml:space="preserve">% respectivamente. </w:t>
      </w:r>
    </w:p>
    <w:p w14:paraId="650C056B" w14:textId="77777777" w:rsidR="000B0B2E" w:rsidRPr="00B92499" w:rsidRDefault="000B0B2E" w:rsidP="000B0B2E">
      <w:pPr>
        <w:spacing w:before="100" w:beforeAutospacing="1" w:after="100" w:afterAutospacing="1" w:line="360" w:lineRule="auto"/>
        <w:contextualSpacing/>
        <w:jc w:val="both"/>
        <w:rPr>
          <w:rFonts w:ascii="Arial" w:hAnsi="Arial" w:cs="Arial"/>
        </w:rPr>
      </w:pPr>
    </w:p>
    <w:p w14:paraId="1938D821" w14:textId="35B4C3E4" w:rsidR="000B0B2E" w:rsidRPr="00B92499" w:rsidRDefault="000B0B2E" w:rsidP="000B0B2E">
      <w:pPr>
        <w:spacing w:before="100" w:beforeAutospacing="1" w:after="100" w:afterAutospacing="1" w:line="360" w:lineRule="auto"/>
        <w:contextualSpacing/>
        <w:jc w:val="both"/>
        <w:rPr>
          <w:rFonts w:ascii="Arial" w:hAnsi="Arial" w:cs="Arial"/>
        </w:rPr>
      </w:pPr>
      <w:r w:rsidRPr="00B92499">
        <w:rPr>
          <w:rFonts w:ascii="Arial" w:hAnsi="Arial" w:cs="Arial"/>
        </w:rPr>
        <w:t>En esta misma línea, los artículos 145</w:t>
      </w:r>
      <w:r w:rsidR="00AA1246" w:rsidRPr="00B92499">
        <w:rPr>
          <w:rFonts w:ascii="Arial" w:hAnsi="Arial" w:cs="Arial"/>
        </w:rPr>
        <w:t>,</w:t>
      </w:r>
      <w:r w:rsidRPr="00B92499">
        <w:rPr>
          <w:rFonts w:ascii="Arial" w:hAnsi="Arial" w:cs="Arial"/>
        </w:rPr>
        <w:t xml:space="preserve"> 146 </w:t>
      </w:r>
      <w:r w:rsidR="00AA1246" w:rsidRPr="00B92499">
        <w:rPr>
          <w:rFonts w:ascii="Arial" w:hAnsi="Arial" w:cs="Arial"/>
        </w:rPr>
        <w:t xml:space="preserve">y 147 </w:t>
      </w:r>
      <w:r w:rsidRPr="00B92499">
        <w:rPr>
          <w:rFonts w:ascii="Arial" w:hAnsi="Arial" w:cs="Arial"/>
        </w:rPr>
        <w:t xml:space="preserve">tuvieron un ICP de 100%, logrando un cumplimiento total, el artículo 121 obtuvo un ICP de </w:t>
      </w:r>
      <w:r w:rsidR="00AA1246" w:rsidRPr="00B92499">
        <w:rPr>
          <w:rFonts w:ascii="Arial" w:hAnsi="Arial" w:cs="Arial"/>
        </w:rPr>
        <w:t>96.49</w:t>
      </w:r>
      <w:r w:rsidRPr="00B92499">
        <w:rPr>
          <w:rFonts w:ascii="Arial" w:hAnsi="Arial" w:cs="Arial"/>
        </w:rPr>
        <w:t>%</w:t>
      </w:r>
      <w:r w:rsidR="00AA1246" w:rsidRPr="00B92499">
        <w:rPr>
          <w:rFonts w:ascii="Arial" w:hAnsi="Arial" w:cs="Arial"/>
        </w:rPr>
        <w:t xml:space="preserve"> </w:t>
      </w:r>
      <w:r w:rsidRPr="00B92499">
        <w:rPr>
          <w:rFonts w:ascii="Arial" w:hAnsi="Arial" w:cs="Arial"/>
        </w:rPr>
        <w:t>y el artículo 1</w:t>
      </w:r>
      <w:r w:rsidR="00AA1246" w:rsidRPr="00B92499">
        <w:rPr>
          <w:rFonts w:ascii="Arial" w:hAnsi="Arial" w:cs="Arial"/>
        </w:rPr>
        <w:t>33</w:t>
      </w:r>
      <w:r w:rsidRPr="00B92499">
        <w:rPr>
          <w:rFonts w:ascii="Arial" w:hAnsi="Arial" w:cs="Arial"/>
        </w:rPr>
        <w:t xml:space="preserve"> tuvo un ICP de </w:t>
      </w:r>
      <w:r w:rsidR="00AA1246" w:rsidRPr="00B92499">
        <w:rPr>
          <w:rFonts w:ascii="Arial" w:hAnsi="Arial" w:cs="Arial"/>
        </w:rPr>
        <w:t>91.72</w:t>
      </w:r>
      <w:r w:rsidRPr="00B92499">
        <w:rPr>
          <w:rFonts w:ascii="Arial" w:hAnsi="Arial" w:cs="Arial"/>
        </w:rPr>
        <w:t xml:space="preserve">%. </w:t>
      </w:r>
    </w:p>
    <w:p w14:paraId="34C81FF0" w14:textId="77777777" w:rsidR="000B0B2E" w:rsidRPr="00B92499" w:rsidRDefault="000B0B2E" w:rsidP="000B0B2E">
      <w:pPr>
        <w:spacing w:before="100" w:beforeAutospacing="1" w:after="100" w:afterAutospacing="1" w:line="360" w:lineRule="auto"/>
        <w:contextualSpacing/>
        <w:jc w:val="both"/>
        <w:rPr>
          <w:rFonts w:ascii="Arial" w:hAnsi="Arial" w:cs="Arial"/>
        </w:rPr>
      </w:pPr>
    </w:p>
    <w:p w14:paraId="7C7E0BA2" w14:textId="0AD5EA3C" w:rsidR="000B0B2E" w:rsidRPr="00B92499" w:rsidRDefault="000B0B2E" w:rsidP="000B0B2E">
      <w:pPr>
        <w:spacing w:before="100" w:beforeAutospacing="1" w:after="100" w:afterAutospacing="1" w:line="360" w:lineRule="auto"/>
        <w:contextualSpacing/>
        <w:jc w:val="both"/>
        <w:rPr>
          <w:rFonts w:ascii="Arial" w:hAnsi="Arial" w:cs="Arial"/>
        </w:rPr>
      </w:pPr>
      <w:r w:rsidRPr="00B92499">
        <w:rPr>
          <w:rFonts w:ascii="Arial" w:hAnsi="Arial" w:cs="Arial"/>
        </w:rPr>
        <w:t xml:space="preserve">De igual forma, respecto de cada uno de los artículos que conforman el índice global, el ICP del artículo 121 está compuesto por </w:t>
      </w:r>
      <w:r w:rsidR="00AA1246" w:rsidRPr="00B92499">
        <w:rPr>
          <w:rFonts w:ascii="Arial" w:hAnsi="Arial" w:cs="Arial"/>
        </w:rPr>
        <w:t>3.50</w:t>
      </w:r>
      <w:r w:rsidRPr="00B92499">
        <w:rPr>
          <w:rFonts w:ascii="Arial" w:hAnsi="Arial" w:cs="Arial"/>
        </w:rPr>
        <w:t xml:space="preserve">% de notas aclaratorias, el ICP del artículo </w:t>
      </w:r>
      <w:r w:rsidR="00AA1246" w:rsidRPr="00B92499">
        <w:rPr>
          <w:rFonts w:ascii="Arial" w:hAnsi="Arial" w:cs="Arial"/>
        </w:rPr>
        <w:t>133</w:t>
      </w:r>
      <w:r w:rsidRPr="00B92499">
        <w:rPr>
          <w:rFonts w:ascii="Arial" w:hAnsi="Arial" w:cs="Arial"/>
        </w:rPr>
        <w:t xml:space="preserve"> por </w:t>
      </w:r>
      <w:r w:rsidR="0020458B" w:rsidRPr="00B92499">
        <w:rPr>
          <w:rFonts w:ascii="Arial" w:hAnsi="Arial" w:cs="Arial"/>
        </w:rPr>
        <w:t>12.11</w:t>
      </w:r>
      <w:r w:rsidRPr="00B92499">
        <w:rPr>
          <w:rFonts w:ascii="Arial" w:hAnsi="Arial" w:cs="Arial"/>
        </w:rPr>
        <w:t xml:space="preserve">% de notas y los ICP de los artículos 145, 146 y 147 no tuvieron cambio alguno, debido a que no fueron utilizadas notas aclaratorias.  </w:t>
      </w:r>
    </w:p>
    <w:p w14:paraId="0A9130B4" w14:textId="77777777" w:rsidR="000B0B2E" w:rsidRPr="00B92499" w:rsidRDefault="000B0B2E" w:rsidP="000B0B2E">
      <w:pPr>
        <w:spacing w:before="100" w:beforeAutospacing="1" w:after="100" w:afterAutospacing="1" w:line="360" w:lineRule="auto"/>
        <w:contextualSpacing/>
        <w:jc w:val="both"/>
        <w:rPr>
          <w:rFonts w:ascii="Arial" w:hAnsi="Arial" w:cs="Arial"/>
        </w:rPr>
      </w:pPr>
    </w:p>
    <w:p w14:paraId="7F061DC3" w14:textId="4B87C3D5" w:rsidR="000B0B2E" w:rsidRPr="00B92499" w:rsidRDefault="000B0B2E" w:rsidP="009F64B5">
      <w:pPr>
        <w:pStyle w:val="Ttulo2"/>
        <w:numPr>
          <w:ilvl w:val="1"/>
          <w:numId w:val="18"/>
        </w:numPr>
        <w:contextualSpacing/>
        <w:jc w:val="both"/>
        <w:rPr>
          <w:rFonts w:ascii="Arial" w:hAnsi="Arial" w:cs="Arial"/>
          <w:b/>
          <w:color w:val="auto"/>
          <w:sz w:val="24"/>
          <w:szCs w:val="24"/>
        </w:rPr>
      </w:pPr>
      <w:bookmarkStart w:id="47" w:name="_Toc23253003"/>
      <w:r w:rsidRPr="00B92499">
        <w:rPr>
          <w:rFonts w:ascii="Arial" w:hAnsi="Arial" w:cs="Arial"/>
          <w:b/>
          <w:color w:val="auto"/>
          <w:sz w:val="24"/>
          <w:szCs w:val="24"/>
        </w:rPr>
        <w:t xml:space="preserve">Análisis del </w:t>
      </w:r>
      <w:r w:rsidR="008F67E4" w:rsidRPr="00B92499">
        <w:rPr>
          <w:rFonts w:ascii="Arial" w:hAnsi="Arial" w:cs="Arial"/>
          <w:b/>
          <w:color w:val="auto"/>
          <w:sz w:val="24"/>
          <w:szCs w:val="24"/>
        </w:rPr>
        <w:t>artículo</w:t>
      </w:r>
      <w:r w:rsidRPr="00B92499">
        <w:rPr>
          <w:rFonts w:ascii="Arial" w:hAnsi="Arial" w:cs="Arial"/>
          <w:b/>
          <w:color w:val="auto"/>
          <w:sz w:val="24"/>
          <w:szCs w:val="24"/>
        </w:rPr>
        <w:t xml:space="preserve"> 121 y sus respectivas fracciones</w:t>
      </w:r>
      <w:bookmarkEnd w:id="47"/>
    </w:p>
    <w:p w14:paraId="28B0C0C5" w14:textId="5C0EB853" w:rsidR="000B0B2E" w:rsidRPr="00B92499" w:rsidRDefault="000B0B2E" w:rsidP="000B0B2E">
      <w:pPr>
        <w:spacing w:before="100" w:beforeAutospacing="1" w:after="100" w:afterAutospacing="1" w:line="360" w:lineRule="auto"/>
        <w:contextualSpacing/>
        <w:jc w:val="both"/>
        <w:rPr>
          <w:rFonts w:ascii="Arial" w:hAnsi="Arial" w:cs="Arial"/>
        </w:rPr>
      </w:pPr>
      <w:r w:rsidRPr="00B92499">
        <w:rPr>
          <w:rFonts w:ascii="Arial" w:hAnsi="Arial" w:cs="Arial"/>
        </w:rPr>
        <w:t xml:space="preserve">El </w:t>
      </w:r>
      <w:r w:rsidR="0020458B" w:rsidRPr="00B92499">
        <w:rPr>
          <w:rFonts w:ascii="Arial" w:hAnsi="Arial" w:cs="Arial"/>
        </w:rPr>
        <w:t>Instituto</w:t>
      </w:r>
      <w:r w:rsidRPr="00B92499">
        <w:rPr>
          <w:rFonts w:ascii="Arial" w:hAnsi="Arial" w:cs="Arial"/>
        </w:rPr>
        <w:t xml:space="preserve"> obtuvo un ICP en este artículo de </w:t>
      </w:r>
      <w:r w:rsidR="0020458B" w:rsidRPr="00B92499">
        <w:rPr>
          <w:rFonts w:ascii="Arial" w:hAnsi="Arial" w:cs="Arial"/>
        </w:rPr>
        <w:t xml:space="preserve">96.49%, </w:t>
      </w:r>
      <w:r w:rsidRPr="00B92499">
        <w:rPr>
          <w:rFonts w:ascii="Arial" w:hAnsi="Arial" w:cs="Arial"/>
        </w:rPr>
        <w:t xml:space="preserve">por lo que se encuentra dentro del área de cumplimiento parcial. Lo anterior se debió a que de las 54 fracciones que les son aplicables, en </w:t>
      </w:r>
      <w:r w:rsidR="0020458B" w:rsidRPr="00B92499">
        <w:rPr>
          <w:rFonts w:ascii="Arial" w:hAnsi="Arial" w:cs="Arial"/>
        </w:rPr>
        <w:t>48</w:t>
      </w:r>
      <w:r w:rsidRPr="00B92499">
        <w:rPr>
          <w:rFonts w:ascii="Arial" w:hAnsi="Arial" w:cs="Arial"/>
        </w:rPr>
        <w:t xml:space="preserve"> alcanzó un cumplimiento total de 100%, en</w:t>
      </w:r>
      <w:r w:rsidR="0020458B" w:rsidRPr="00B92499">
        <w:rPr>
          <w:rFonts w:ascii="Arial" w:hAnsi="Arial" w:cs="Arial"/>
        </w:rPr>
        <w:t xml:space="preserve"> </w:t>
      </w:r>
      <w:r w:rsidR="000D67A7" w:rsidRPr="00B92499">
        <w:rPr>
          <w:rFonts w:ascii="Arial" w:hAnsi="Arial" w:cs="Arial"/>
        </w:rPr>
        <w:t xml:space="preserve"> 5  </w:t>
      </w:r>
      <w:r w:rsidRPr="00B92499">
        <w:rPr>
          <w:rFonts w:ascii="Arial" w:hAnsi="Arial" w:cs="Arial"/>
        </w:rPr>
        <w:t xml:space="preserve"> fracciones un cumplimiento parcial comprendido entre el </w:t>
      </w:r>
      <w:r w:rsidR="0020458B" w:rsidRPr="00B92499">
        <w:rPr>
          <w:rFonts w:ascii="Arial" w:hAnsi="Arial" w:cs="Arial"/>
        </w:rPr>
        <w:t>64.65</w:t>
      </w:r>
      <w:r w:rsidRPr="00B92499">
        <w:rPr>
          <w:rFonts w:ascii="Arial" w:hAnsi="Arial" w:cs="Arial"/>
        </w:rPr>
        <w:t>% y 9</w:t>
      </w:r>
      <w:r w:rsidR="0020458B" w:rsidRPr="00B92499">
        <w:rPr>
          <w:rFonts w:ascii="Arial" w:hAnsi="Arial" w:cs="Arial"/>
        </w:rPr>
        <w:t>8.43</w:t>
      </w:r>
      <w:r w:rsidRPr="00B92499">
        <w:rPr>
          <w:rFonts w:ascii="Arial" w:hAnsi="Arial" w:cs="Arial"/>
        </w:rPr>
        <w:t xml:space="preserve">% y en una fracción alcanzó un incumplimiento parcial de 50%. </w:t>
      </w:r>
    </w:p>
    <w:p w14:paraId="1FE01405" w14:textId="77777777" w:rsidR="000B0B2E" w:rsidRPr="00B92499" w:rsidRDefault="000B0B2E" w:rsidP="000B0B2E">
      <w:pPr>
        <w:spacing w:before="100" w:beforeAutospacing="1" w:after="100" w:afterAutospacing="1" w:line="360" w:lineRule="auto"/>
        <w:contextualSpacing/>
        <w:jc w:val="both"/>
        <w:rPr>
          <w:rFonts w:ascii="Arial" w:hAnsi="Arial" w:cs="Arial"/>
        </w:rPr>
      </w:pPr>
    </w:p>
    <w:p w14:paraId="726CBE1C" w14:textId="485C5D60" w:rsidR="000B0B2E" w:rsidRPr="00B92499" w:rsidRDefault="000B0B2E" w:rsidP="000B0B2E">
      <w:pPr>
        <w:spacing w:before="100" w:beforeAutospacing="1" w:after="100" w:afterAutospacing="1" w:line="360" w:lineRule="auto"/>
        <w:contextualSpacing/>
        <w:jc w:val="both"/>
        <w:rPr>
          <w:rFonts w:ascii="Arial" w:hAnsi="Arial" w:cs="Arial"/>
        </w:rPr>
      </w:pPr>
      <w:r w:rsidRPr="00B92499">
        <w:rPr>
          <w:rFonts w:ascii="Arial" w:hAnsi="Arial" w:cs="Arial"/>
        </w:rPr>
        <w:t>En esta línea, de las 54 fracciones que le son aplicables, las</w:t>
      </w:r>
      <w:r w:rsidR="000D67A7" w:rsidRPr="00B92499">
        <w:rPr>
          <w:rFonts w:ascii="Arial" w:hAnsi="Arial" w:cs="Arial"/>
        </w:rPr>
        <w:t xml:space="preserve"> 3 </w:t>
      </w:r>
      <w:r w:rsidRPr="00B92499">
        <w:rPr>
          <w:rFonts w:ascii="Arial" w:hAnsi="Arial" w:cs="Arial"/>
        </w:rPr>
        <w:t xml:space="preserve">que tienen mayor área de oportunidad son las siguientes: </w:t>
      </w:r>
    </w:p>
    <w:p w14:paraId="50C61E26" w14:textId="073F6F42" w:rsidR="000B0B2E" w:rsidRPr="00B92499" w:rsidRDefault="000B0B2E" w:rsidP="009F64B5">
      <w:pPr>
        <w:pStyle w:val="Prrafodelista"/>
        <w:numPr>
          <w:ilvl w:val="0"/>
          <w:numId w:val="24"/>
        </w:numPr>
        <w:spacing w:before="100" w:beforeAutospacing="1" w:after="100" w:afterAutospacing="1" w:line="360" w:lineRule="auto"/>
        <w:jc w:val="both"/>
        <w:rPr>
          <w:rFonts w:ascii="Arial" w:hAnsi="Arial" w:cs="Arial"/>
          <w:sz w:val="24"/>
          <w:szCs w:val="24"/>
          <w:lang w:val="es-ES_tradnl"/>
        </w:rPr>
      </w:pPr>
      <w:r w:rsidRPr="00B92499">
        <w:rPr>
          <w:rFonts w:ascii="Arial" w:hAnsi="Arial" w:cs="Arial"/>
          <w:sz w:val="24"/>
          <w:szCs w:val="24"/>
          <w:lang w:val="es-ES_tradnl"/>
        </w:rPr>
        <w:lastRenderedPageBreak/>
        <w:t xml:space="preserve">Fracción </w:t>
      </w:r>
      <w:r w:rsidR="0020458B" w:rsidRPr="00B92499">
        <w:rPr>
          <w:rFonts w:ascii="Arial" w:hAnsi="Arial" w:cs="Arial"/>
          <w:sz w:val="24"/>
          <w:szCs w:val="24"/>
          <w:lang w:val="es-ES_tradnl"/>
        </w:rPr>
        <w:t xml:space="preserve">VI, </w:t>
      </w:r>
      <w:r w:rsidRPr="00B92499">
        <w:rPr>
          <w:rFonts w:ascii="Arial" w:hAnsi="Arial" w:cs="Arial"/>
          <w:sz w:val="24"/>
          <w:szCs w:val="24"/>
          <w:lang w:val="es-ES_tradnl"/>
        </w:rPr>
        <w:t xml:space="preserve">con un ICP de 50% en la cual se solicita </w:t>
      </w:r>
      <w:r w:rsidR="0020458B" w:rsidRPr="00B92499">
        <w:rPr>
          <w:rFonts w:ascii="Arial" w:hAnsi="Arial" w:cs="Arial"/>
          <w:sz w:val="24"/>
          <w:szCs w:val="24"/>
          <w:lang w:val="es-ES_tradnl"/>
        </w:rPr>
        <w:t>publicar indicadores que permitan rendir cuentas</w:t>
      </w:r>
      <w:r w:rsidRPr="00B92499">
        <w:rPr>
          <w:rFonts w:ascii="Arial" w:hAnsi="Arial" w:cs="Arial"/>
          <w:sz w:val="24"/>
          <w:szCs w:val="24"/>
          <w:lang w:val="es-ES_tradnl"/>
        </w:rPr>
        <w:t xml:space="preserve">. El área de oportunidad del </w:t>
      </w:r>
      <w:r w:rsidR="008710F6" w:rsidRPr="00B92499">
        <w:rPr>
          <w:rFonts w:ascii="Arial" w:hAnsi="Arial" w:cs="Arial"/>
          <w:sz w:val="24"/>
          <w:szCs w:val="24"/>
          <w:lang w:val="es-ES_tradnl"/>
        </w:rPr>
        <w:t>sujeto obligado</w:t>
      </w:r>
      <w:r w:rsidRPr="00B92499">
        <w:rPr>
          <w:rFonts w:ascii="Arial" w:hAnsi="Arial" w:cs="Arial"/>
          <w:sz w:val="24"/>
          <w:szCs w:val="24"/>
          <w:lang w:val="es-ES_tradnl"/>
        </w:rPr>
        <w:t xml:space="preserve"> consiste </w:t>
      </w:r>
      <w:r w:rsidR="00814637" w:rsidRPr="00B92499">
        <w:rPr>
          <w:rFonts w:ascii="Arial" w:hAnsi="Arial" w:cs="Arial"/>
          <w:sz w:val="24"/>
          <w:szCs w:val="24"/>
          <w:lang w:val="es-ES_tradnl"/>
        </w:rPr>
        <w:t>en actualizar la información mandata al segundo trimestre del año 2019.</w:t>
      </w:r>
    </w:p>
    <w:p w14:paraId="5B7F79E2" w14:textId="2233A4B0" w:rsidR="000B0B2E" w:rsidRPr="00B92499" w:rsidRDefault="000B0B2E" w:rsidP="009F64B5">
      <w:pPr>
        <w:pStyle w:val="Prrafodelista"/>
        <w:numPr>
          <w:ilvl w:val="0"/>
          <w:numId w:val="24"/>
        </w:numPr>
        <w:spacing w:before="100" w:beforeAutospacing="1" w:after="100" w:afterAutospacing="1" w:line="360" w:lineRule="auto"/>
        <w:jc w:val="both"/>
        <w:rPr>
          <w:rFonts w:ascii="Arial" w:hAnsi="Arial" w:cs="Arial"/>
          <w:sz w:val="24"/>
          <w:szCs w:val="24"/>
          <w:lang w:val="es-ES_tradnl"/>
        </w:rPr>
      </w:pPr>
      <w:r w:rsidRPr="00B92499">
        <w:rPr>
          <w:rFonts w:ascii="Arial" w:hAnsi="Arial" w:cs="Arial"/>
          <w:sz w:val="24"/>
          <w:szCs w:val="24"/>
          <w:lang w:val="es-ES_tradnl"/>
        </w:rPr>
        <w:t>Fracción X</w:t>
      </w:r>
      <w:r w:rsidR="0020458B" w:rsidRPr="00B92499">
        <w:rPr>
          <w:rFonts w:ascii="Arial" w:hAnsi="Arial" w:cs="Arial"/>
          <w:sz w:val="24"/>
          <w:szCs w:val="24"/>
          <w:lang w:val="es-ES_tradnl"/>
        </w:rPr>
        <w:t>XV</w:t>
      </w:r>
      <w:r w:rsidRPr="00B92499">
        <w:rPr>
          <w:rFonts w:ascii="Arial" w:hAnsi="Arial" w:cs="Arial"/>
          <w:sz w:val="24"/>
          <w:szCs w:val="24"/>
          <w:lang w:val="es-ES_tradnl"/>
        </w:rPr>
        <w:t xml:space="preserve"> con un ICP de </w:t>
      </w:r>
      <w:r w:rsidR="0020458B" w:rsidRPr="00B92499">
        <w:rPr>
          <w:rFonts w:ascii="Arial" w:hAnsi="Arial" w:cs="Arial"/>
          <w:sz w:val="24"/>
          <w:szCs w:val="24"/>
          <w:lang w:val="es-ES_tradnl"/>
        </w:rPr>
        <w:t>64.65</w:t>
      </w:r>
      <w:r w:rsidRPr="00B92499">
        <w:rPr>
          <w:rFonts w:ascii="Arial" w:hAnsi="Arial" w:cs="Arial"/>
          <w:sz w:val="24"/>
          <w:szCs w:val="24"/>
          <w:lang w:val="es-ES_tradnl"/>
        </w:rPr>
        <w:t xml:space="preserve">% que hace referencia a la publicación </w:t>
      </w:r>
      <w:r w:rsidR="0020458B" w:rsidRPr="00B92499">
        <w:rPr>
          <w:rFonts w:ascii="Arial" w:hAnsi="Arial" w:cs="Arial"/>
          <w:sz w:val="24"/>
          <w:szCs w:val="24"/>
          <w:lang w:val="es-ES_tradnl"/>
        </w:rPr>
        <w:t>de montos destinados a comunicación social y publicidad</w:t>
      </w:r>
      <w:r w:rsidRPr="00B92499">
        <w:rPr>
          <w:rFonts w:ascii="Arial" w:hAnsi="Arial" w:cs="Arial"/>
          <w:sz w:val="24"/>
          <w:szCs w:val="24"/>
          <w:lang w:val="es-ES_tradnl"/>
        </w:rPr>
        <w:t xml:space="preserve">. El área de oportunidad del </w:t>
      </w:r>
      <w:r w:rsidR="008710F6" w:rsidRPr="00B92499">
        <w:rPr>
          <w:rFonts w:ascii="Arial" w:hAnsi="Arial" w:cs="Arial"/>
          <w:sz w:val="24"/>
          <w:szCs w:val="24"/>
          <w:lang w:val="es-ES_tradnl"/>
        </w:rPr>
        <w:t>sujeto obligado</w:t>
      </w:r>
      <w:r w:rsidRPr="00B92499">
        <w:rPr>
          <w:rFonts w:ascii="Arial" w:hAnsi="Arial" w:cs="Arial"/>
          <w:sz w:val="24"/>
          <w:szCs w:val="24"/>
          <w:lang w:val="es-ES_tradnl"/>
        </w:rPr>
        <w:t xml:space="preserve"> consiste</w:t>
      </w:r>
      <w:r w:rsidR="00814637" w:rsidRPr="00B92499">
        <w:rPr>
          <w:rFonts w:ascii="Arial" w:hAnsi="Arial" w:cs="Arial"/>
          <w:sz w:val="24"/>
          <w:szCs w:val="24"/>
          <w:lang w:val="es-ES_tradnl"/>
        </w:rPr>
        <w:t xml:space="preserve"> en realizar la publicación de la información solicitada, en específico el formato B.</w:t>
      </w:r>
    </w:p>
    <w:p w14:paraId="4473CA63" w14:textId="5508F1BF" w:rsidR="000B0B2E" w:rsidRPr="00B92499" w:rsidRDefault="000B0B2E" w:rsidP="009F64B5">
      <w:pPr>
        <w:pStyle w:val="Prrafodelista"/>
        <w:numPr>
          <w:ilvl w:val="0"/>
          <w:numId w:val="24"/>
        </w:numPr>
        <w:spacing w:before="100" w:beforeAutospacing="1" w:after="100" w:afterAutospacing="1" w:line="360" w:lineRule="auto"/>
        <w:jc w:val="both"/>
        <w:rPr>
          <w:rFonts w:ascii="Arial" w:hAnsi="Arial" w:cs="Arial"/>
          <w:sz w:val="24"/>
          <w:szCs w:val="24"/>
          <w:lang w:val="es-ES_tradnl"/>
        </w:rPr>
      </w:pPr>
      <w:r w:rsidRPr="00B92499">
        <w:rPr>
          <w:rFonts w:ascii="Arial" w:hAnsi="Arial" w:cs="Arial"/>
          <w:sz w:val="24"/>
          <w:szCs w:val="24"/>
          <w:lang w:val="es-ES_tradnl"/>
        </w:rPr>
        <w:t xml:space="preserve">Fracción </w:t>
      </w:r>
      <w:r w:rsidR="0020458B" w:rsidRPr="00B92499">
        <w:rPr>
          <w:rFonts w:ascii="Arial" w:hAnsi="Arial" w:cs="Arial"/>
          <w:sz w:val="24"/>
          <w:szCs w:val="24"/>
          <w:lang w:val="es-ES_tradnl"/>
        </w:rPr>
        <w:t>I</w:t>
      </w:r>
      <w:r w:rsidRPr="00B92499">
        <w:rPr>
          <w:rFonts w:ascii="Arial" w:hAnsi="Arial" w:cs="Arial"/>
          <w:sz w:val="24"/>
          <w:szCs w:val="24"/>
          <w:lang w:val="es-ES_tradnl"/>
        </w:rPr>
        <w:t xml:space="preserve">, con un ICP de </w:t>
      </w:r>
      <w:r w:rsidR="0020458B" w:rsidRPr="00B92499">
        <w:rPr>
          <w:rFonts w:ascii="Arial" w:hAnsi="Arial" w:cs="Arial"/>
          <w:sz w:val="24"/>
          <w:szCs w:val="24"/>
          <w:lang w:val="es-ES_tradnl"/>
        </w:rPr>
        <w:t>77.08</w:t>
      </w:r>
      <w:r w:rsidRPr="00B92499">
        <w:rPr>
          <w:rFonts w:ascii="Arial" w:hAnsi="Arial" w:cs="Arial"/>
          <w:sz w:val="24"/>
          <w:szCs w:val="24"/>
          <w:lang w:val="es-ES_tradnl"/>
        </w:rPr>
        <w:t>%, que establece la publicación</w:t>
      </w:r>
      <w:r w:rsidR="0020458B" w:rsidRPr="00B92499">
        <w:rPr>
          <w:rFonts w:ascii="Arial" w:hAnsi="Arial" w:cs="Arial"/>
          <w:sz w:val="24"/>
          <w:szCs w:val="24"/>
          <w:lang w:val="es-ES_tradnl"/>
        </w:rPr>
        <w:t xml:space="preserve"> del marco normativo vigente que le aplica al </w:t>
      </w:r>
      <w:r w:rsidR="008710F6" w:rsidRPr="00B92499">
        <w:rPr>
          <w:rFonts w:ascii="Arial" w:hAnsi="Arial" w:cs="Arial"/>
          <w:sz w:val="24"/>
          <w:szCs w:val="24"/>
          <w:lang w:val="es-ES_tradnl"/>
        </w:rPr>
        <w:t>sujeto obligado</w:t>
      </w:r>
      <w:r w:rsidRPr="00B92499">
        <w:rPr>
          <w:rFonts w:ascii="Arial" w:hAnsi="Arial" w:cs="Arial"/>
          <w:sz w:val="24"/>
          <w:szCs w:val="24"/>
          <w:lang w:val="es-ES_tradnl"/>
        </w:rPr>
        <w:t xml:space="preserve">. El área de oportunidad del </w:t>
      </w:r>
      <w:r w:rsidR="0020458B" w:rsidRPr="00B92499">
        <w:rPr>
          <w:rFonts w:ascii="Arial" w:hAnsi="Arial" w:cs="Arial"/>
          <w:sz w:val="24"/>
          <w:szCs w:val="24"/>
          <w:lang w:val="es-ES_tradnl"/>
        </w:rPr>
        <w:t>Instituto</w:t>
      </w:r>
      <w:r w:rsidRPr="00B92499">
        <w:rPr>
          <w:rFonts w:ascii="Arial" w:hAnsi="Arial" w:cs="Arial"/>
          <w:sz w:val="24"/>
          <w:szCs w:val="24"/>
          <w:lang w:val="es-ES_tradnl"/>
        </w:rPr>
        <w:t xml:space="preserve"> consiste en</w:t>
      </w:r>
      <w:r w:rsidR="00814637" w:rsidRPr="00B92499">
        <w:rPr>
          <w:rFonts w:ascii="Arial" w:hAnsi="Arial" w:cs="Arial"/>
          <w:sz w:val="24"/>
          <w:szCs w:val="24"/>
          <w:lang w:val="es-ES_tradnl"/>
        </w:rPr>
        <w:t xml:space="preserve"> publicar y actualizar de forma completa la normatividad que le es aplicable al Instituto.</w:t>
      </w:r>
    </w:p>
    <w:p w14:paraId="725603FE" w14:textId="35DAFFF3" w:rsidR="000B0B2E" w:rsidRPr="00B92499" w:rsidRDefault="000B0B2E" w:rsidP="000B0B2E">
      <w:pPr>
        <w:spacing w:before="100" w:beforeAutospacing="1" w:after="100" w:afterAutospacing="1" w:line="360" w:lineRule="auto"/>
        <w:contextualSpacing/>
        <w:jc w:val="both"/>
        <w:rPr>
          <w:rFonts w:ascii="Arial" w:hAnsi="Arial" w:cs="Arial"/>
        </w:rPr>
      </w:pPr>
      <w:r w:rsidRPr="00B92499">
        <w:rPr>
          <w:rFonts w:ascii="Arial" w:hAnsi="Arial" w:cs="Arial"/>
        </w:rPr>
        <w:t xml:space="preserve">De igual forma, en </w:t>
      </w:r>
      <w:r w:rsidR="0020458B" w:rsidRPr="00B92499">
        <w:rPr>
          <w:rFonts w:ascii="Arial" w:hAnsi="Arial" w:cs="Arial"/>
        </w:rPr>
        <w:t>48</w:t>
      </w:r>
      <w:r w:rsidRPr="00B92499">
        <w:rPr>
          <w:rFonts w:ascii="Arial" w:hAnsi="Arial" w:cs="Arial"/>
        </w:rPr>
        <w:t xml:space="preserve"> fracciones del artículo 121, este </w:t>
      </w:r>
      <w:r w:rsidR="0020458B" w:rsidRPr="00B92499">
        <w:rPr>
          <w:rFonts w:ascii="Arial" w:hAnsi="Arial" w:cs="Arial"/>
        </w:rPr>
        <w:t>Instituto</w:t>
      </w:r>
      <w:r w:rsidRPr="00B92499">
        <w:rPr>
          <w:rFonts w:ascii="Arial" w:hAnsi="Arial" w:cs="Arial"/>
        </w:rPr>
        <w:t xml:space="preserve"> alcanzó un ICP de 100%.</w:t>
      </w:r>
    </w:p>
    <w:p w14:paraId="68E41678" w14:textId="77777777" w:rsidR="000B0B2E" w:rsidRPr="00B92499" w:rsidRDefault="000B0B2E" w:rsidP="000B0B2E">
      <w:pPr>
        <w:spacing w:before="100" w:beforeAutospacing="1" w:after="100" w:afterAutospacing="1" w:line="360" w:lineRule="auto"/>
        <w:contextualSpacing/>
        <w:jc w:val="both"/>
        <w:rPr>
          <w:rFonts w:ascii="Arial" w:hAnsi="Arial" w:cs="Arial"/>
        </w:rPr>
      </w:pPr>
    </w:p>
    <w:p w14:paraId="113ED96E" w14:textId="77777777" w:rsidR="000B0B2E" w:rsidRPr="00B92499" w:rsidRDefault="000B0B2E" w:rsidP="000B0B2E">
      <w:pPr>
        <w:spacing w:before="100" w:beforeAutospacing="1" w:after="100" w:afterAutospacing="1" w:line="360" w:lineRule="auto"/>
        <w:jc w:val="both"/>
        <w:rPr>
          <w:rFonts w:ascii="Arial" w:hAnsi="Arial" w:cs="Arial"/>
        </w:rPr>
      </w:pPr>
      <w:r w:rsidRPr="00B92499">
        <w:rPr>
          <w:rFonts w:ascii="Arial" w:hAnsi="Arial" w:cs="Arial"/>
        </w:rPr>
        <w:t xml:space="preserve">Con el objetivo de mostrar con mayor detalle el ICP de cada fracción del artículo 121 es presentada la siguiente tabla ordenada de forma descendente. </w:t>
      </w:r>
    </w:p>
    <w:tbl>
      <w:tblPr>
        <w:tblW w:w="8928" w:type="dxa"/>
        <w:tblCellMar>
          <w:left w:w="70" w:type="dxa"/>
          <w:right w:w="70" w:type="dxa"/>
        </w:tblCellMar>
        <w:tblLook w:val="04A0" w:firstRow="1" w:lastRow="0" w:firstColumn="1" w:lastColumn="0" w:noHBand="0" w:noVBand="1"/>
      </w:tblPr>
      <w:tblGrid>
        <w:gridCol w:w="974"/>
        <w:gridCol w:w="7107"/>
        <w:gridCol w:w="848"/>
      </w:tblGrid>
      <w:tr w:rsidR="000B0B2E" w:rsidRPr="00B92499" w14:paraId="23139948" w14:textId="77777777" w:rsidTr="0020458B">
        <w:trPr>
          <w:trHeight w:val="20"/>
          <w:tblHeader/>
        </w:trPr>
        <w:tc>
          <w:tcPr>
            <w:tcW w:w="8928" w:type="dxa"/>
            <w:gridSpan w:val="3"/>
            <w:tcBorders>
              <w:top w:val="single" w:sz="4" w:space="0" w:color="auto"/>
              <w:left w:val="single" w:sz="4" w:space="0" w:color="auto"/>
              <w:bottom w:val="single" w:sz="4" w:space="0" w:color="auto"/>
              <w:right w:val="single" w:sz="4" w:space="0" w:color="auto"/>
            </w:tcBorders>
            <w:shd w:val="clear" w:color="auto" w:fill="00B0F0"/>
            <w:noWrap/>
            <w:vAlign w:val="center"/>
            <w:hideMark/>
          </w:tcPr>
          <w:p w14:paraId="332810A7" w14:textId="696D3D7D" w:rsidR="000B0B2E" w:rsidRPr="00B92499" w:rsidRDefault="000B0B2E" w:rsidP="008710F6">
            <w:pPr>
              <w:jc w:val="center"/>
              <w:rPr>
                <w:rFonts w:ascii="Arial" w:hAnsi="Arial" w:cs="Arial"/>
                <w:b/>
                <w:bCs/>
                <w:color w:val="000000"/>
                <w:sz w:val="20"/>
                <w:szCs w:val="20"/>
              </w:rPr>
            </w:pPr>
            <w:r w:rsidRPr="00B92499">
              <w:rPr>
                <w:rFonts w:ascii="Arial" w:hAnsi="Arial" w:cs="Arial"/>
                <w:b/>
                <w:bCs/>
                <w:color w:val="000000"/>
                <w:sz w:val="20"/>
                <w:szCs w:val="20"/>
              </w:rPr>
              <w:t xml:space="preserve">Artículo 121 de las </w:t>
            </w:r>
            <w:r w:rsidR="008710F6" w:rsidRPr="00B92499">
              <w:rPr>
                <w:rFonts w:ascii="Arial" w:hAnsi="Arial" w:cs="Arial"/>
                <w:b/>
                <w:bCs/>
                <w:color w:val="000000"/>
                <w:sz w:val="20"/>
                <w:szCs w:val="20"/>
              </w:rPr>
              <w:t>obligaciones de transparencia</w:t>
            </w:r>
            <w:r w:rsidRPr="00B92499">
              <w:rPr>
                <w:rFonts w:ascii="Arial" w:hAnsi="Arial" w:cs="Arial"/>
                <w:b/>
                <w:bCs/>
                <w:color w:val="000000"/>
                <w:sz w:val="20"/>
                <w:szCs w:val="20"/>
              </w:rPr>
              <w:t xml:space="preserve"> comunes</w:t>
            </w:r>
          </w:p>
        </w:tc>
      </w:tr>
      <w:tr w:rsidR="000B0B2E" w:rsidRPr="00B92499" w14:paraId="29E6EA72" w14:textId="77777777" w:rsidTr="0020458B">
        <w:trPr>
          <w:trHeight w:val="20"/>
          <w:tblHeader/>
        </w:trPr>
        <w:tc>
          <w:tcPr>
            <w:tcW w:w="0" w:type="auto"/>
            <w:tcBorders>
              <w:top w:val="nil"/>
              <w:left w:val="single" w:sz="4" w:space="0" w:color="auto"/>
              <w:bottom w:val="single" w:sz="4" w:space="0" w:color="auto"/>
              <w:right w:val="single" w:sz="4" w:space="0" w:color="auto"/>
            </w:tcBorders>
            <w:shd w:val="clear" w:color="auto" w:fill="00B0F0"/>
            <w:noWrap/>
            <w:vAlign w:val="center"/>
            <w:hideMark/>
          </w:tcPr>
          <w:p w14:paraId="41EC24FD" w14:textId="77777777" w:rsidR="000B0B2E" w:rsidRPr="00B92499" w:rsidRDefault="000B0B2E" w:rsidP="008710F6">
            <w:pPr>
              <w:jc w:val="center"/>
              <w:rPr>
                <w:rFonts w:ascii="Arial" w:hAnsi="Arial" w:cs="Arial"/>
                <w:b/>
                <w:bCs/>
                <w:color w:val="000000"/>
                <w:sz w:val="20"/>
                <w:szCs w:val="20"/>
              </w:rPr>
            </w:pPr>
            <w:r w:rsidRPr="00B92499">
              <w:rPr>
                <w:rFonts w:ascii="Arial" w:hAnsi="Arial" w:cs="Arial"/>
                <w:b/>
                <w:bCs/>
                <w:color w:val="000000"/>
                <w:sz w:val="20"/>
                <w:szCs w:val="20"/>
              </w:rPr>
              <w:t>Fracción</w:t>
            </w:r>
          </w:p>
        </w:tc>
        <w:tc>
          <w:tcPr>
            <w:tcW w:w="0" w:type="auto"/>
            <w:tcBorders>
              <w:top w:val="nil"/>
              <w:left w:val="nil"/>
              <w:bottom w:val="single" w:sz="4" w:space="0" w:color="auto"/>
              <w:right w:val="single" w:sz="4" w:space="0" w:color="auto"/>
            </w:tcBorders>
            <w:shd w:val="clear" w:color="auto" w:fill="00B0F0"/>
            <w:noWrap/>
            <w:vAlign w:val="center"/>
            <w:hideMark/>
          </w:tcPr>
          <w:p w14:paraId="1B53E2D7" w14:textId="77777777" w:rsidR="000B0B2E" w:rsidRPr="00B92499" w:rsidRDefault="000B0B2E" w:rsidP="008710F6">
            <w:pPr>
              <w:jc w:val="center"/>
              <w:rPr>
                <w:rFonts w:ascii="Arial" w:hAnsi="Arial" w:cs="Arial"/>
                <w:b/>
                <w:bCs/>
                <w:color w:val="000000"/>
                <w:sz w:val="20"/>
                <w:szCs w:val="20"/>
              </w:rPr>
            </w:pPr>
            <w:r w:rsidRPr="00B92499">
              <w:rPr>
                <w:rFonts w:ascii="Arial" w:hAnsi="Arial" w:cs="Arial"/>
                <w:b/>
                <w:bCs/>
                <w:color w:val="000000"/>
                <w:sz w:val="20"/>
                <w:szCs w:val="20"/>
              </w:rPr>
              <w:t>Resumen de la Fracción</w:t>
            </w:r>
          </w:p>
        </w:tc>
        <w:tc>
          <w:tcPr>
            <w:tcW w:w="1197" w:type="dxa"/>
            <w:tcBorders>
              <w:top w:val="nil"/>
              <w:left w:val="nil"/>
              <w:bottom w:val="single" w:sz="4" w:space="0" w:color="auto"/>
              <w:right w:val="single" w:sz="4" w:space="0" w:color="auto"/>
            </w:tcBorders>
            <w:shd w:val="clear" w:color="auto" w:fill="00B0F0"/>
            <w:vAlign w:val="center"/>
            <w:hideMark/>
          </w:tcPr>
          <w:p w14:paraId="7C321F47" w14:textId="77777777" w:rsidR="000B0B2E" w:rsidRPr="00B92499" w:rsidRDefault="000B0B2E" w:rsidP="008710F6">
            <w:pPr>
              <w:jc w:val="center"/>
              <w:rPr>
                <w:rFonts w:ascii="Arial" w:hAnsi="Arial" w:cs="Arial"/>
                <w:b/>
                <w:bCs/>
                <w:color w:val="000000"/>
                <w:sz w:val="20"/>
                <w:szCs w:val="20"/>
              </w:rPr>
            </w:pPr>
            <w:r w:rsidRPr="00B92499">
              <w:rPr>
                <w:rFonts w:ascii="Arial" w:hAnsi="Arial" w:cs="Arial"/>
                <w:b/>
                <w:bCs/>
                <w:color w:val="000000"/>
                <w:sz w:val="20"/>
                <w:szCs w:val="20"/>
              </w:rPr>
              <w:t>ICP</w:t>
            </w:r>
          </w:p>
        </w:tc>
      </w:tr>
      <w:tr w:rsidR="0020458B" w:rsidRPr="00B92499" w14:paraId="5393C83C" w14:textId="77777777" w:rsidTr="0020458B">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2EFA2E3" w14:textId="77777777" w:rsidR="0020458B" w:rsidRPr="00B92499" w:rsidRDefault="0020458B">
            <w:pPr>
              <w:jc w:val="center"/>
              <w:rPr>
                <w:rFonts w:ascii="Arial" w:hAnsi="Arial" w:cs="Arial"/>
                <w:color w:val="000000"/>
                <w:sz w:val="20"/>
                <w:szCs w:val="20"/>
              </w:rPr>
            </w:pPr>
            <w:r w:rsidRPr="00B92499">
              <w:rPr>
                <w:rFonts w:ascii="Arial" w:hAnsi="Arial" w:cs="Arial"/>
                <w:color w:val="000000"/>
                <w:sz w:val="20"/>
                <w:szCs w:val="20"/>
              </w:rPr>
              <w:t>XXX</w:t>
            </w:r>
          </w:p>
        </w:tc>
        <w:tc>
          <w:tcPr>
            <w:tcW w:w="0" w:type="auto"/>
            <w:tcBorders>
              <w:top w:val="nil"/>
              <w:left w:val="nil"/>
              <w:bottom w:val="single" w:sz="4" w:space="0" w:color="auto"/>
              <w:right w:val="single" w:sz="4" w:space="0" w:color="auto"/>
            </w:tcBorders>
            <w:shd w:val="clear" w:color="auto" w:fill="auto"/>
            <w:vAlign w:val="center"/>
            <w:hideMark/>
          </w:tcPr>
          <w:p w14:paraId="6E48DBD1" w14:textId="77777777" w:rsidR="0020458B" w:rsidRPr="00B92499" w:rsidRDefault="0020458B" w:rsidP="003C6FE5">
            <w:pPr>
              <w:jc w:val="both"/>
              <w:rPr>
                <w:rFonts w:ascii="Arial" w:hAnsi="Arial" w:cs="Arial"/>
                <w:color w:val="000000"/>
                <w:sz w:val="20"/>
                <w:szCs w:val="20"/>
              </w:rPr>
            </w:pPr>
            <w:r w:rsidRPr="00B92499">
              <w:rPr>
                <w:rFonts w:ascii="Arial" w:hAnsi="Arial" w:cs="Arial"/>
                <w:color w:val="000000"/>
                <w:sz w:val="20"/>
                <w:szCs w:val="20"/>
              </w:rPr>
              <w:t xml:space="preserve">Resultados de procedimiento de adjudicación directa, invitación restringida y licitación. </w:t>
            </w:r>
          </w:p>
        </w:tc>
        <w:tc>
          <w:tcPr>
            <w:tcW w:w="1197" w:type="dxa"/>
            <w:tcBorders>
              <w:top w:val="nil"/>
              <w:left w:val="nil"/>
              <w:bottom w:val="single" w:sz="4" w:space="0" w:color="auto"/>
              <w:right w:val="single" w:sz="4" w:space="0" w:color="auto"/>
            </w:tcBorders>
            <w:shd w:val="clear" w:color="auto" w:fill="auto"/>
            <w:vAlign w:val="center"/>
            <w:hideMark/>
          </w:tcPr>
          <w:p w14:paraId="7C25DCC7" w14:textId="77777777" w:rsidR="0020458B" w:rsidRPr="00B92499" w:rsidRDefault="0020458B" w:rsidP="0020458B">
            <w:pPr>
              <w:jc w:val="center"/>
              <w:rPr>
                <w:rFonts w:ascii="Arial" w:hAnsi="Arial" w:cs="Arial"/>
                <w:color w:val="000000"/>
                <w:sz w:val="20"/>
                <w:szCs w:val="20"/>
              </w:rPr>
            </w:pPr>
            <w:r w:rsidRPr="00B92499">
              <w:rPr>
                <w:rFonts w:ascii="Arial" w:hAnsi="Arial" w:cs="Arial"/>
                <w:color w:val="000000"/>
                <w:sz w:val="20"/>
                <w:szCs w:val="20"/>
              </w:rPr>
              <w:t>100</w:t>
            </w:r>
          </w:p>
        </w:tc>
      </w:tr>
      <w:tr w:rsidR="0020458B" w:rsidRPr="00B92499" w14:paraId="25F19B8E" w14:textId="77777777" w:rsidTr="0020458B">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7758F12" w14:textId="77777777" w:rsidR="0020458B" w:rsidRPr="00B92499" w:rsidRDefault="0020458B">
            <w:pPr>
              <w:jc w:val="center"/>
              <w:rPr>
                <w:rFonts w:ascii="Arial" w:hAnsi="Arial" w:cs="Arial"/>
                <w:color w:val="000000"/>
                <w:sz w:val="20"/>
                <w:szCs w:val="20"/>
              </w:rPr>
            </w:pPr>
            <w:r w:rsidRPr="00B92499">
              <w:rPr>
                <w:rFonts w:ascii="Arial" w:hAnsi="Arial" w:cs="Arial"/>
                <w:color w:val="000000"/>
                <w:sz w:val="20"/>
                <w:szCs w:val="20"/>
              </w:rPr>
              <w:t>X</w:t>
            </w:r>
          </w:p>
        </w:tc>
        <w:tc>
          <w:tcPr>
            <w:tcW w:w="0" w:type="auto"/>
            <w:tcBorders>
              <w:top w:val="nil"/>
              <w:left w:val="nil"/>
              <w:bottom w:val="single" w:sz="4" w:space="0" w:color="auto"/>
              <w:right w:val="single" w:sz="4" w:space="0" w:color="auto"/>
            </w:tcBorders>
            <w:shd w:val="clear" w:color="auto" w:fill="auto"/>
            <w:vAlign w:val="center"/>
            <w:hideMark/>
          </w:tcPr>
          <w:p w14:paraId="23FE873F" w14:textId="77777777" w:rsidR="0020458B" w:rsidRPr="00B92499" w:rsidRDefault="0020458B" w:rsidP="003C6FE5">
            <w:pPr>
              <w:jc w:val="both"/>
              <w:rPr>
                <w:rFonts w:ascii="Arial" w:hAnsi="Arial" w:cs="Arial"/>
                <w:color w:val="000000"/>
                <w:sz w:val="20"/>
                <w:szCs w:val="20"/>
              </w:rPr>
            </w:pPr>
            <w:r w:rsidRPr="00B92499">
              <w:rPr>
                <w:rFonts w:ascii="Arial" w:hAnsi="Arial" w:cs="Arial"/>
                <w:color w:val="000000"/>
                <w:sz w:val="20"/>
                <w:szCs w:val="20"/>
              </w:rPr>
              <w:t>Lista con el importe con el concepto de viáticos.</w:t>
            </w:r>
          </w:p>
        </w:tc>
        <w:tc>
          <w:tcPr>
            <w:tcW w:w="1197" w:type="dxa"/>
            <w:tcBorders>
              <w:top w:val="nil"/>
              <w:left w:val="nil"/>
              <w:bottom w:val="single" w:sz="4" w:space="0" w:color="auto"/>
              <w:right w:val="single" w:sz="4" w:space="0" w:color="auto"/>
            </w:tcBorders>
            <w:shd w:val="clear" w:color="auto" w:fill="auto"/>
            <w:vAlign w:val="center"/>
            <w:hideMark/>
          </w:tcPr>
          <w:p w14:paraId="76975054" w14:textId="77777777" w:rsidR="0020458B" w:rsidRPr="00B92499" w:rsidRDefault="0020458B" w:rsidP="0020458B">
            <w:pPr>
              <w:jc w:val="center"/>
              <w:rPr>
                <w:rFonts w:ascii="Arial" w:hAnsi="Arial" w:cs="Arial"/>
                <w:color w:val="000000"/>
                <w:sz w:val="20"/>
                <w:szCs w:val="20"/>
              </w:rPr>
            </w:pPr>
            <w:r w:rsidRPr="00B92499">
              <w:rPr>
                <w:rFonts w:ascii="Arial" w:hAnsi="Arial" w:cs="Arial"/>
                <w:color w:val="000000"/>
                <w:sz w:val="20"/>
                <w:szCs w:val="20"/>
              </w:rPr>
              <w:t>100</w:t>
            </w:r>
          </w:p>
        </w:tc>
      </w:tr>
      <w:tr w:rsidR="0020458B" w:rsidRPr="00B92499" w14:paraId="72ACB957" w14:textId="77777777" w:rsidTr="0020458B">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0E965EF" w14:textId="77777777" w:rsidR="0020458B" w:rsidRPr="00B92499" w:rsidRDefault="0020458B">
            <w:pPr>
              <w:jc w:val="center"/>
              <w:rPr>
                <w:rFonts w:ascii="Arial" w:hAnsi="Arial" w:cs="Arial"/>
                <w:color w:val="000000"/>
                <w:sz w:val="20"/>
                <w:szCs w:val="20"/>
              </w:rPr>
            </w:pPr>
            <w:r w:rsidRPr="00B92499">
              <w:rPr>
                <w:rFonts w:ascii="Arial" w:hAnsi="Arial" w:cs="Arial"/>
                <w:color w:val="000000"/>
                <w:sz w:val="20"/>
                <w:szCs w:val="20"/>
              </w:rPr>
              <w:t>XXI</w:t>
            </w:r>
          </w:p>
        </w:tc>
        <w:tc>
          <w:tcPr>
            <w:tcW w:w="0" w:type="auto"/>
            <w:tcBorders>
              <w:top w:val="nil"/>
              <w:left w:val="nil"/>
              <w:bottom w:val="single" w:sz="4" w:space="0" w:color="auto"/>
              <w:right w:val="single" w:sz="4" w:space="0" w:color="auto"/>
            </w:tcBorders>
            <w:shd w:val="clear" w:color="auto" w:fill="auto"/>
            <w:vAlign w:val="center"/>
            <w:hideMark/>
          </w:tcPr>
          <w:p w14:paraId="54F86960" w14:textId="77777777" w:rsidR="0020458B" w:rsidRPr="00B92499" w:rsidRDefault="0020458B" w:rsidP="003C6FE5">
            <w:pPr>
              <w:jc w:val="both"/>
              <w:rPr>
                <w:rFonts w:ascii="Arial" w:hAnsi="Arial" w:cs="Arial"/>
                <w:color w:val="000000"/>
                <w:sz w:val="20"/>
                <w:szCs w:val="20"/>
              </w:rPr>
            </w:pPr>
            <w:r w:rsidRPr="00B92499">
              <w:rPr>
                <w:rFonts w:ascii="Arial" w:hAnsi="Arial" w:cs="Arial"/>
                <w:color w:val="000000"/>
                <w:sz w:val="20"/>
                <w:szCs w:val="20"/>
              </w:rPr>
              <w:t>La información financiera sobre el presupuesto asignado.</w:t>
            </w:r>
          </w:p>
        </w:tc>
        <w:tc>
          <w:tcPr>
            <w:tcW w:w="1197" w:type="dxa"/>
            <w:tcBorders>
              <w:top w:val="nil"/>
              <w:left w:val="nil"/>
              <w:bottom w:val="single" w:sz="4" w:space="0" w:color="auto"/>
              <w:right w:val="single" w:sz="4" w:space="0" w:color="auto"/>
            </w:tcBorders>
            <w:shd w:val="clear" w:color="auto" w:fill="auto"/>
            <w:vAlign w:val="center"/>
            <w:hideMark/>
          </w:tcPr>
          <w:p w14:paraId="58EF62C3" w14:textId="77777777" w:rsidR="0020458B" w:rsidRPr="00B92499" w:rsidRDefault="0020458B" w:rsidP="0020458B">
            <w:pPr>
              <w:jc w:val="center"/>
              <w:rPr>
                <w:rFonts w:ascii="Arial" w:hAnsi="Arial" w:cs="Arial"/>
                <w:color w:val="000000"/>
                <w:sz w:val="20"/>
                <w:szCs w:val="20"/>
              </w:rPr>
            </w:pPr>
            <w:r w:rsidRPr="00B92499">
              <w:rPr>
                <w:rFonts w:ascii="Arial" w:hAnsi="Arial" w:cs="Arial"/>
                <w:color w:val="000000"/>
                <w:sz w:val="20"/>
                <w:szCs w:val="20"/>
              </w:rPr>
              <w:t>100</w:t>
            </w:r>
          </w:p>
        </w:tc>
      </w:tr>
      <w:tr w:rsidR="0020458B" w:rsidRPr="00B92499" w14:paraId="43FBE201" w14:textId="77777777" w:rsidTr="0020458B">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74F2B06" w14:textId="77777777" w:rsidR="0020458B" w:rsidRPr="00B92499" w:rsidRDefault="0020458B">
            <w:pPr>
              <w:jc w:val="center"/>
              <w:rPr>
                <w:rFonts w:ascii="Arial" w:hAnsi="Arial" w:cs="Arial"/>
                <w:color w:val="000000"/>
                <w:sz w:val="20"/>
                <w:szCs w:val="20"/>
              </w:rPr>
            </w:pPr>
            <w:r w:rsidRPr="00B92499">
              <w:rPr>
                <w:rFonts w:ascii="Arial" w:hAnsi="Arial" w:cs="Arial"/>
                <w:color w:val="000000"/>
                <w:sz w:val="20"/>
                <w:szCs w:val="20"/>
              </w:rPr>
              <w:t>XLI</w:t>
            </w:r>
          </w:p>
        </w:tc>
        <w:tc>
          <w:tcPr>
            <w:tcW w:w="0" w:type="auto"/>
            <w:tcBorders>
              <w:top w:val="nil"/>
              <w:left w:val="nil"/>
              <w:bottom w:val="single" w:sz="4" w:space="0" w:color="auto"/>
              <w:right w:val="single" w:sz="4" w:space="0" w:color="auto"/>
            </w:tcBorders>
            <w:shd w:val="clear" w:color="auto" w:fill="auto"/>
            <w:vAlign w:val="center"/>
            <w:hideMark/>
          </w:tcPr>
          <w:p w14:paraId="63327F16" w14:textId="1DB7688D" w:rsidR="0020458B" w:rsidRPr="00B92499" w:rsidRDefault="0020458B" w:rsidP="003C6FE5">
            <w:pPr>
              <w:jc w:val="both"/>
              <w:rPr>
                <w:rFonts w:ascii="Arial" w:hAnsi="Arial" w:cs="Arial"/>
                <w:color w:val="000000"/>
                <w:sz w:val="20"/>
                <w:szCs w:val="20"/>
              </w:rPr>
            </w:pPr>
            <w:r w:rsidRPr="00B92499">
              <w:rPr>
                <w:rFonts w:ascii="Arial" w:hAnsi="Arial" w:cs="Arial"/>
                <w:color w:val="000000"/>
                <w:sz w:val="20"/>
                <w:szCs w:val="20"/>
              </w:rPr>
              <w:t xml:space="preserve">Programas que ofrece el </w:t>
            </w:r>
            <w:r w:rsidR="008710F6" w:rsidRPr="00B92499">
              <w:rPr>
                <w:rFonts w:ascii="Arial" w:hAnsi="Arial" w:cs="Arial"/>
                <w:color w:val="000000"/>
                <w:sz w:val="20"/>
                <w:szCs w:val="20"/>
              </w:rPr>
              <w:t>sujeto obligado</w:t>
            </w:r>
            <w:r w:rsidRPr="00B92499">
              <w:rPr>
                <w:rFonts w:ascii="Arial" w:hAnsi="Arial" w:cs="Arial"/>
                <w:color w:val="000000"/>
                <w:sz w:val="20"/>
                <w:szCs w:val="20"/>
              </w:rPr>
              <w:t>, así como trámites, requisitos y formatos.</w:t>
            </w:r>
          </w:p>
        </w:tc>
        <w:tc>
          <w:tcPr>
            <w:tcW w:w="1197" w:type="dxa"/>
            <w:tcBorders>
              <w:top w:val="nil"/>
              <w:left w:val="nil"/>
              <w:bottom w:val="single" w:sz="4" w:space="0" w:color="auto"/>
              <w:right w:val="single" w:sz="4" w:space="0" w:color="auto"/>
            </w:tcBorders>
            <w:shd w:val="clear" w:color="auto" w:fill="auto"/>
            <w:vAlign w:val="center"/>
            <w:hideMark/>
          </w:tcPr>
          <w:p w14:paraId="23425D24" w14:textId="77777777" w:rsidR="0020458B" w:rsidRPr="00B92499" w:rsidRDefault="0020458B" w:rsidP="0020458B">
            <w:pPr>
              <w:jc w:val="center"/>
              <w:rPr>
                <w:rFonts w:ascii="Arial" w:hAnsi="Arial" w:cs="Arial"/>
                <w:color w:val="000000"/>
                <w:sz w:val="20"/>
                <w:szCs w:val="20"/>
              </w:rPr>
            </w:pPr>
            <w:r w:rsidRPr="00B92499">
              <w:rPr>
                <w:rFonts w:ascii="Arial" w:hAnsi="Arial" w:cs="Arial"/>
                <w:color w:val="000000"/>
                <w:sz w:val="20"/>
                <w:szCs w:val="20"/>
              </w:rPr>
              <w:t>100</w:t>
            </w:r>
          </w:p>
        </w:tc>
      </w:tr>
      <w:tr w:rsidR="0020458B" w:rsidRPr="00B92499" w14:paraId="693CA1D7" w14:textId="77777777" w:rsidTr="0020458B">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11A157C" w14:textId="77777777" w:rsidR="0020458B" w:rsidRPr="00B92499" w:rsidRDefault="0020458B">
            <w:pPr>
              <w:jc w:val="center"/>
              <w:rPr>
                <w:rFonts w:ascii="Arial" w:hAnsi="Arial" w:cs="Arial"/>
                <w:color w:val="000000"/>
                <w:sz w:val="20"/>
                <w:szCs w:val="20"/>
              </w:rPr>
            </w:pPr>
            <w:r w:rsidRPr="00B92499">
              <w:rPr>
                <w:rFonts w:ascii="Arial" w:hAnsi="Arial" w:cs="Arial"/>
                <w:color w:val="000000"/>
                <w:sz w:val="20"/>
                <w:szCs w:val="20"/>
              </w:rPr>
              <w:t>II</w:t>
            </w:r>
          </w:p>
        </w:tc>
        <w:tc>
          <w:tcPr>
            <w:tcW w:w="0" w:type="auto"/>
            <w:tcBorders>
              <w:top w:val="nil"/>
              <w:left w:val="nil"/>
              <w:bottom w:val="single" w:sz="4" w:space="0" w:color="auto"/>
              <w:right w:val="single" w:sz="4" w:space="0" w:color="auto"/>
            </w:tcBorders>
            <w:shd w:val="clear" w:color="auto" w:fill="auto"/>
            <w:vAlign w:val="center"/>
            <w:hideMark/>
          </w:tcPr>
          <w:p w14:paraId="50B6F6B6" w14:textId="77777777" w:rsidR="0020458B" w:rsidRPr="00B92499" w:rsidRDefault="0020458B" w:rsidP="003C6FE5">
            <w:pPr>
              <w:jc w:val="both"/>
              <w:rPr>
                <w:rFonts w:ascii="Arial" w:hAnsi="Arial" w:cs="Arial"/>
                <w:color w:val="000000"/>
                <w:sz w:val="20"/>
                <w:szCs w:val="20"/>
              </w:rPr>
            </w:pPr>
            <w:r w:rsidRPr="00B92499">
              <w:rPr>
                <w:rFonts w:ascii="Arial" w:hAnsi="Arial" w:cs="Arial"/>
                <w:color w:val="000000"/>
                <w:sz w:val="20"/>
                <w:szCs w:val="20"/>
              </w:rPr>
              <w:t>Estructura orgánica.</w:t>
            </w:r>
          </w:p>
        </w:tc>
        <w:tc>
          <w:tcPr>
            <w:tcW w:w="1197" w:type="dxa"/>
            <w:tcBorders>
              <w:top w:val="nil"/>
              <w:left w:val="nil"/>
              <w:bottom w:val="single" w:sz="4" w:space="0" w:color="auto"/>
              <w:right w:val="single" w:sz="4" w:space="0" w:color="auto"/>
            </w:tcBorders>
            <w:shd w:val="clear" w:color="auto" w:fill="auto"/>
            <w:vAlign w:val="center"/>
            <w:hideMark/>
          </w:tcPr>
          <w:p w14:paraId="16237498" w14:textId="77777777" w:rsidR="0020458B" w:rsidRPr="00B92499" w:rsidRDefault="0020458B" w:rsidP="0020458B">
            <w:pPr>
              <w:jc w:val="center"/>
              <w:rPr>
                <w:rFonts w:ascii="Arial" w:hAnsi="Arial" w:cs="Arial"/>
                <w:color w:val="000000"/>
                <w:sz w:val="20"/>
                <w:szCs w:val="20"/>
              </w:rPr>
            </w:pPr>
            <w:r w:rsidRPr="00B92499">
              <w:rPr>
                <w:rFonts w:ascii="Arial" w:hAnsi="Arial" w:cs="Arial"/>
                <w:color w:val="000000"/>
                <w:sz w:val="20"/>
                <w:szCs w:val="20"/>
              </w:rPr>
              <w:t>100</w:t>
            </w:r>
          </w:p>
        </w:tc>
      </w:tr>
      <w:tr w:rsidR="0020458B" w:rsidRPr="00B92499" w14:paraId="644ED184" w14:textId="77777777" w:rsidTr="0020458B">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6199EE7" w14:textId="77777777" w:rsidR="0020458B" w:rsidRPr="00B92499" w:rsidRDefault="0020458B">
            <w:pPr>
              <w:jc w:val="center"/>
              <w:rPr>
                <w:rFonts w:ascii="Arial" w:hAnsi="Arial" w:cs="Arial"/>
                <w:color w:val="000000"/>
                <w:sz w:val="20"/>
                <w:szCs w:val="20"/>
              </w:rPr>
            </w:pPr>
            <w:r w:rsidRPr="00B92499">
              <w:rPr>
                <w:rFonts w:ascii="Arial" w:hAnsi="Arial" w:cs="Arial"/>
                <w:color w:val="000000"/>
                <w:sz w:val="20"/>
                <w:szCs w:val="20"/>
              </w:rPr>
              <w:t>III</w:t>
            </w:r>
          </w:p>
        </w:tc>
        <w:tc>
          <w:tcPr>
            <w:tcW w:w="0" w:type="auto"/>
            <w:tcBorders>
              <w:top w:val="nil"/>
              <w:left w:val="nil"/>
              <w:bottom w:val="single" w:sz="4" w:space="0" w:color="auto"/>
              <w:right w:val="single" w:sz="4" w:space="0" w:color="auto"/>
            </w:tcBorders>
            <w:shd w:val="clear" w:color="auto" w:fill="auto"/>
            <w:vAlign w:val="center"/>
            <w:hideMark/>
          </w:tcPr>
          <w:p w14:paraId="2FF1F00A" w14:textId="77777777" w:rsidR="0020458B" w:rsidRPr="00B92499" w:rsidRDefault="0020458B" w:rsidP="003C6FE5">
            <w:pPr>
              <w:jc w:val="both"/>
              <w:rPr>
                <w:rFonts w:ascii="Arial" w:hAnsi="Arial" w:cs="Arial"/>
                <w:color w:val="000000"/>
                <w:sz w:val="20"/>
                <w:szCs w:val="20"/>
              </w:rPr>
            </w:pPr>
            <w:r w:rsidRPr="00B92499">
              <w:rPr>
                <w:rFonts w:ascii="Arial" w:hAnsi="Arial" w:cs="Arial"/>
                <w:color w:val="000000"/>
                <w:sz w:val="20"/>
                <w:szCs w:val="20"/>
              </w:rPr>
              <w:t>Facultades de cada área (dirección).</w:t>
            </w:r>
          </w:p>
        </w:tc>
        <w:tc>
          <w:tcPr>
            <w:tcW w:w="1197" w:type="dxa"/>
            <w:tcBorders>
              <w:top w:val="nil"/>
              <w:left w:val="nil"/>
              <w:bottom w:val="single" w:sz="4" w:space="0" w:color="auto"/>
              <w:right w:val="single" w:sz="4" w:space="0" w:color="auto"/>
            </w:tcBorders>
            <w:shd w:val="clear" w:color="auto" w:fill="auto"/>
            <w:vAlign w:val="center"/>
            <w:hideMark/>
          </w:tcPr>
          <w:p w14:paraId="6F928D97" w14:textId="77777777" w:rsidR="0020458B" w:rsidRPr="00B92499" w:rsidRDefault="0020458B" w:rsidP="0020458B">
            <w:pPr>
              <w:jc w:val="center"/>
              <w:rPr>
                <w:rFonts w:ascii="Arial" w:hAnsi="Arial" w:cs="Arial"/>
                <w:color w:val="000000"/>
                <w:sz w:val="20"/>
                <w:szCs w:val="20"/>
              </w:rPr>
            </w:pPr>
            <w:r w:rsidRPr="00B92499">
              <w:rPr>
                <w:rFonts w:ascii="Arial" w:hAnsi="Arial" w:cs="Arial"/>
                <w:color w:val="000000"/>
                <w:sz w:val="20"/>
                <w:szCs w:val="20"/>
              </w:rPr>
              <w:t>100</w:t>
            </w:r>
          </w:p>
        </w:tc>
      </w:tr>
      <w:tr w:rsidR="0020458B" w:rsidRPr="00B92499" w14:paraId="7F7CC614" w14:textId="77777777" w:rsidTr="0020458B">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EC891F1" w14:textId="77777777" w:rsidR="0020458B" w:rsidRPr="00B92499" w:rsidRDefault="0020458B">
            <w:pPr>
              <w:jc w:val="center"/>
              <w:rPr>
                <w:rFonts w:ascii="Arial" w:hAnsi="Arial" w:cs="Arial"/>
                <w:color w:val="000000"/>
                <w:sz w:val="20"/>
                <w:szCs w:val="20"/>
              </w:rPr>
            </w:pPr>
            <w:r w:rsidRPr="00B92499">
              <w:rPr>
                <w:rFonts w:ascii="Arial" w:hAnsi="Arial" w:cs="Arial"/>
                <w:color w:val="000000"/>
                <w:sz w:val="20"/>
                <w:szCs w:val="20"/>
              </w:rPr>
              <w:t>XI</w:t>
            </w:r>
          </w:p>
        </w:tc>
        <w:tc>
          <w:tcPr>
            <w:tcW w:w="0" w:type="auto"/>
            <w:tcBorders>
              <w:top w:val="nil"/>
              <w:left w:val="nil"/>
              <w:bottom w:val="single" w:sz="4" w:space="0" w:color="auto"/>
              <w:right w:val="single" w:sz="4" w:space="0" w:color="auto"/>
            </w:tcBorders>
            <w:shd w:val="clear" w:color="auto" w:fill="auto"/>
            <w:vAlign w:val="center"/>
            <w:hideMark/>
          </w:tcPr>
          <w:p w14:paraId="2F938DFD" w14:textId="77777777" w:rsidR="0020458B" w:rsidRPr="00B92499" w:rsidRDefault="0020458B" w:rsidP="003C6FE5">
            <w:pPr>
              <w:jc w:val="both"/>
              <w:rPr>
                <w:rFonts w:ascii="Arial" w:hAnsi="Arial" w:cs="Arial"/>
                <w:color w:val="000000"/>
                <w:sz w:val="20"/>
                <w:szCs w:val="20"/>
              </w:rPr>
            </w:pPr>
            <w:r w:rsidRPr="00B92499">
              <w:rPr>
                <w:rFonts w:ascii="Arial" w:hAnsi="Arial" w:cs="Arial"/>
                <w:color w:val="000000"/>
                <w:sz w:val="20"/>
                <w:szCs w:val="20"/>
              </w:rPr>
              <w:t>Número tal de plazas y tipos.</w:t>
            </w:r>
          </w:p>
        </w:tc>
        <w:tc>
          <w:tcPr>
            <w:tcW w:w="1197" w:type="dxa"/>
            <w:tcBorders>
              <w:top w:val="nil"/>
              <w:left w:val="nil"/>
              <w:bottom w:val="single" w:sz="4" w:space="0" w:color="auto"/>
              <w:right w:val="single" w:sz="4" w:space="0" w:color="auto"/>
            </w:tcBorders>
            <w:shd w:val="clear" w:color="auto" w:fill="auto"/>
            <w:vAlign w:val="center"/>
            <w:hideMark/>
          </w:tcPr>
          <w:p w14:paraId="4ABAE8AB" w14:textId="77777777" w:rsidR="0020458B" w:rsidRPr="00B92499" w:rsidRDefault="0020458B" w:rsidP="0020458B">
            <w:pPr>
              <w:jc w:val="center"/>
              <w:rPr>
                <w:rFonts w:ascii="Arial" w:hAnsi="Arial" w:cs="Arial"/>
                <w:color w:val="000000"/>
                <w:sz w:val="20"/>
                <w:szCs w:val="20"/>
              </w:rPr>
            </w:pPr>
            <w:r w:rsidRPr="00B92499">
              <w:rPr>
                <w:rFonts w:ascii="Arial" w:hAnsi="Arial" w:cs="Arial"/>
                <w:color w:val="000000"/>
                <w:sz w:val="20"/>
                <w:szCs w:val="20"/>
              </w:rPr>
              <w:t>100</w:t>
            </w:r>
          </w:p>
        </w:tc>
      </w:tr>
      <w:tr w:rsidR="0020458B" w:rsidRPr="00B92499" w14:paraId="0BD03198" w14:textId="77777777" w:rsidTr="0020458B">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0C7E4EC" w14:textId="77777777" w:rsidR="0020458B" w:rsidRPr="00B92499" w:rsidRDefault="0020458B">
            <w:pPr>
              <w:jc w:val="center"/>
              <w:rPr>
                <w:rFonts w:ascii="Arial" w:hAnsi="Arial" w:cs="Arial"/>
                <w:color w:val="000000"/>
                <w:sz w:val="20"/>
                <w:szCs w:val="20"/>
              </w:rPr>
            </w:pPr>
            <w:r w:rsidRPr="00B92499">
              <w:rPr>
                <w:rFonts w:ascii="Arial" w:hAnsi="Arial" w:cs="Arial"/>
                <w:color w:val="000000"/>
                <w:sz w:val="20"/>
                <w:szCs w:val="20"/>
              </w:rPr>
              <w:t>XII</w:t>
            </w:r>
          </w:p>
        </w:tc>
        <w:tc>
          <w:tcPr>
            <w:tcW w:w="0" w:type="auto"/>
            <w:tcBorders>
              <w:top w:val="nil"/>
              <w:left w:val="nil"/>
              <w:bottom w:val="single" w:sz="4" w:space="0" w:color="auto"/>
              <w:right w:val="single" w:sz="4" w:space="0" w:color="auto"/>
            </w:tcBorders>
            <w:shd w:val="clear" w:color="auto" w:fill="auto"/>
            <w:vAlign w:val="center"/>
            <w:hideMark/>
          </w:tcPr>
          <w:p w14:paraId="3FA63516" w14:textId="77777777" w:rsidR="0020458B" w:rsidRPr="00B92499" w:rsidRDefault="0020458B" w:rsidP="003C6FE5">
            <w:pPr>
              <w:jc w:val="both"/>
              <w:rPr>
                <w:rFonts w:ascii="Arial" w:hAnsi="Arial" w:cs="Arial"/>
                <w:color w:val="000000"/>
                <w:sz w:val="20"/>
                <w:szCs w:val="20"/>
              </w:rPr>
            </w:pPr>
            <w:r w:rsidRPr="00B92499">
              <w:rPr>
                <w:rFonts w:ascii="Arial" w:hAnsi="Arial" w:cs="Arial"/>
                <w:color w:val="000000"/>
                <w:sz w:val="20"/>
                <w:szCs w:val="20"/>
              </w:rPr>
              <w:t>Servicios profesionales y honorarios.</w:t>
            </w:r>
          </w:p>
        </w:tc>
        <w:tc>
          <w:tcPr>
            <w:tcW w:w="1197" w:type="dxa"/>
            <w:tcBorders>
              <w:top w:val="nil"/>
              <w:left w:val="nil"/>
              <w:bottom w:val="single" w:sz="4" w:space="0" w:color="auto"/>
              <w:right w:val="single" w:sz="4" w:space="0" w:color="auto"/>
            </w:tcBorders>
            <w:shd w:val="clear" w:color="auto" w:fill="auto"/>
            <w:vAlign w:val="center"/>
            <w:hideMark/>
          </w:tcPr>
          <w:p w14:paraId="664F5080" w14:textId="77777777" w:rsidR="0020458B" w:rsidRPr="00B92499" w:rsidRDefault="0020458B" w:rsidP="0020458B">
            <w:pPr>
              <w:jc w:val="center"/>
              <w:rPr>
                <w:rFonts w:ascii="Arial" w:hAnsi="Arial" w:cs="Arial"/>
                <w:color w:val="000000"/>
                <w:sz w:val="20"/>
                <w:szCs w:val="20"/>
              </w:rPr>
            </w:pPr>
            <w:r w:rsidRPr="00B92499">
              <w:rPr>
                <w:rFonts w:ascii="Arial" w:hAnsi="Arial" w:cs="Arial"/>
                <w:color w:val="000000"/>
                <w:sz w:val="20"/>
                <w:szCs w:val="20"/>
              </w:rPr>
              <w:t>100</w:t>
            </w:r>
          </w:p>
        </w:tc>
      </w:tr>
      <w:tr w:rsidR="0020458B" w:rsidRPr="00B92499" w14:paraId="171EB214" w14:textId="77777777" w:rsidTr="0020458B">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D0B47B2" w14:textId="77777777" w:rsidR="0020458B" w:rsidRPr="00B92499" w:rsidRDefault="0020458B">
            <w:pPr>
              <w:jc w:val="center"/>
              <w:rPr>
                <w:rFonts w:ascii="Arial" w:hAnsi="Arial" w:cs="Arial"/>
                <w:color w:val="000000"/>
                <w:sz w:val="20"/>
                <w:szCs w:val="20"/>
              </w:rPr>
            </w:pPr>
            <w:r w:rsidRPr="00B92499">
              <w:rPr>
                <w:rFonts w:ascii="Arial" w:hAnsi="Arial" w:cs="Arial"/>
                <w:color w:val="000000"/>
                <w:sz w:val="20"/>
                <w:szCs w:val="20"/>
              </w:rPr>
              <w:t>XVIII</w:t>
            </w:r>
          </w:p>
        </w:tc>
        <w:tc>
          <w:tcPr>
            <w:tcW w:w="0" w:type="auto"/>
            <w:tcBorders>
              <w:top w:val="nil"/>
              <w:left w:val="nil"/>
              <w:bottom w:val="single" w:sz="4" w:space="0" w:color="auto"/>
              <w:right w:val="single" w:sz="4" w:space="0" w:color="auto"/>
            </w:tcBorders>
            <w:shd w:val="clear" w:color="auto" w:fill="auto"/>
            <w:vAlign w:val="center"/>
            <w:hideMark/>
          </w:tcPr>
          <w:p w14:paraId="44CA4956" w14:textId="77777777" w:rsidR="0020458B" w:rsidRPr="00B92499" w:rsidRDefault="0020458B" w:rsidP="003C6FE5">
            <w:pPr>
              <w:jc w:val="both"/>
              <w:rPr>
                <w:rFonts w:ascii="Arial" w:hAnsi="Arial" w:cs="Arial"/>
                <w:color w:val="000000"/>
                <w:sz w:val="20"/>
                <w:szCs w:val="20"/>
              </w:rPr>
            </w:pPr>
            <w:r w:rsidRPr="00B92499">
              <w:rPr>
                <w:rFonts w:ascii="Arial" w:hAnsi="Arial" w:cs="Arial"/>
                <w:color w:val="000000"/>
                <w:sz w:val="20"/>
                <w:szCs w:val="20"/>
              </w:rPr>
              <w:t>Servidores públicos con sanciones administrativas.</w:t>
            </w:r>
          </w:p>
        </w:tc>
        <w:tc>
          <w:tcPr>
            <w:tcW w:w="1197" w:type="dxa"/>
            <w:tcBorders>
              <w:top w:val="nil"/>
              <w:left w:val="nil"/>
              <w:bottom w:val="single" w:sz="4" w:space="0" w:color="auto"/>
              <w:right w:val="single" w:sz="4" w:space="0" w:color="auto"/>
            </w:tcBorders>
            <w:shd w:val="clear" w:color="auto" w:fill="auto"/>
            <w:vAlign w:val="center"/>
            <w:hideMark/>
          </w:tcPr>
          <w:p w14:paraId="1F6C41A2" w14:textId="77777777" w:rsidR="0020458B" w:rsidRPr="00B92499" w:rsidRDefault="0020458B" w:rsidP="0020458B">
            <w:pPr>
              <w:jc w:val="center"/>
              <w:rPr>
                <w:rFonts w:ascii="Arial" w:hAnsi="Arial" w:cs="Arial"/>
                <w:color w:val="000000"/>
                <w:sz w:val="20"/>
                <w:szCs w:val="20"/>
              </w:rPr>
            </w:pPr>
            <w:r w:rsidRPr="00B92499">
              <w:rPr>
                <w:rFonts w:ascii="Arial" w:hAnsi="Arial" w:cs="Arial"/>
                <w:color w:val="000000"/>
                <w:sz w:val="20"/>
                <w:szCs w:val="20"/>
              </w:rPr>
              <w:t>100</w:t>
            </w:r>
          </w:p>
        </w:tc>
      </w:tr>
      <w:tr w:rsidR="0020458B" w:rsidRPr="00B92499" w14:paraId="01FCFD03" w14:textId="77777777" w:rsidTr="0020458B">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FA27505" w14:textId="77777777" w:rsidR="0020458B" w:rsidRPr="00B92499" w:rsidRDefault="0020458B">
            <w:pPr>
              <w:jc w:val="center"/>
              <w:rPr>
                <w:rFonts w:ascii="Arial" w:hAnsi="Arial" w:cs="Arial"/>
                <w:color w:val="000000"/>
                <w:sz w:val="20"/>
                <w:szCs w:val="20"/>
              </w:rPr>
            </w:pPr>
            <w:r w:rsidRPr="00B92499">
              <w:rPr>
                <w:rFonts w:ascii="Arial" w:hAnsi="Arial" w:cs="Arial"/>
                <w:color w:val="000000"/>
                <w:sz w:val="20"/>
                <w:szCs w:val="20"/>
              </w:rPr>
              <w:t>XXIII</w:t>
            </w:r>
          </w:p>
        </w:tc>
        <w:tc>
          <w:tcPr>
            <w:tcW w:w="0" w:type="auto"/>
            <w:tcBorders>
              <w:top w:val="nil"/>
              <w:left w:val="nil"/>
              <w:bottom w:val="single" w:sz="4" w:space="0" w:color="auto"/>
              <w:right w:val="single" w:sz="4" w:space="0" w:color="auto"/>
            </w:tcBorders>
            <w:shd w:val="clear" w:color="auto" w:fill="auto"/>
            <w:vAlign w:val="center"/>
            <w:hideMark/>
          </w:tcPr>
          <w:p w14:paraId="66700CCB" w14:textId="77777777" w:rsidR="0020458B" w:rsidRPr="00B92499" w:rsidRDefault="0020458B" w:rsidP="003C6FE5">
            <w:pPr>
              <w:jc w:val="both"/>
              <w:rPr>
                <w:rFonts w:ascii="Arial" w:hAnsi="Arial" w:cs="Arial"/>
                <w:color w:val="000000"/>
                <w:sz w:val="20"/>
                <w:szCs w:val="20"/>
              </w:rPr>
            </w:pPr>
            <w:r w:rsidRPr="00B92499">
              <w:rPr>
                <w:rFonts w:ascii="Arial" w:hAnsi="Arial" w:cs="Arial"/>
                <w:color w:val="000000"/>
                <w:sz w:val="20"/>
                <w:szCs w:val="20"/>
              </w:rPr>
              <w:t>Metas y objetivos de la Dirección conforme al POA.</w:t>
            </w:r>
          </w:p>
        </w:tc>
        <w:tc>
          <w:tcPr>
            <w:tcW w:w="1197" w:type="dxa"/>
            <w:tcBorders>
              <w:top w:val="nil"/>
              <w:left w:val="nil"/>
              <w:bottom w:val="single" w:sz="4" w:space="0" w:color="auto"/>
              <w:right w:val="single" w:sz="4" w:space="0" w:color="auto"/>
            </w:tcBorders>
            <w:shd w:val="clear" w:color="auto" w:fill="auto"/>
            <w:vAlign w:val="center"/>
            <w:hideMark/>
          </w:tcPr>
          <w:p w14:paraId="73A7A8A0" w14:textId="77777777" w:rsidR="0020458B" w:rsidRPr="00B92499" w:rsidRDefault="0020458B" w:rsidP="0020458B">
            <w:pPr>
              <w:jc w:val="center"/>
              <w:rPr>
                <w:rFonts w:ascii="Arial" w:hAnsi="Arial" w:cs="Arial"/>
                <w:color w:val="000000"/>
                <w:sz w:val="20"/>
                <w:szCs w:val="20"/>
              </w:rPr>
            </w:pPr>
            <w:r w:rsidRPr="00B92499">
              <w:rPr>
                <w:rFonts w:ascii="Arial" w:hAnsi="Arial" w:cs="Arial"/>
                <w:color w:val="000000"/>
                <w:sz w:val="20"/>
                <w:szCs w:val="20"/>
              </w:rPr>
              <w:t>100</w:t>
            </w:r>
          </w:p>
        </w:tc>
      </w:tr>
      <w:tr w:rsidR="0020458B" w:rsidRPr="00B92499" w14:paraId="0D29BE61" w14:textId="77777777" w:rsidTr="0020458B">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1830B5E" w14:textId="77777777" w:rsidR="0020458B" w:rsidRPr="00B92499" w:rsidRDefault="0020458B">
            <w:pPr>
              <w:jc w:val="center"/>
              <w:rPr>
                <w:rFonts w:ascii="Arial" w:hAnsi="Arial" w:cs="Arial"/>
                <w:color w:val="000000"/>
                <w:sz w:val="20"/>
                <w:szCs w:val="20"/>
              </w:rPr>
            </w:pPr>
            <w:r w:rsidRPr="00B92499">
              <w:rPr>
                <w:rFonts w:ascii="Arial" w:hAnsi="Arial" w:cs="Arial"/>
                <w:color w:val="000000"/>
                <w:sz w:val="20"/>
                <w:szCs w:val="20"/>
              </w:rPr>
              <w:t>XXVII</w:t>
            </w:r>
          </w:p>
        </w:tc>
        <w:tc>
          <w:tcPr>
            <w:tcW w:w="0" w:type="auto"/>
            <w:tcBorders>
              <w:top w:val="nil"/>
              <w:left w:val="nil"/>
              <w:bottom w:val="single" w:sz="4" w:space="0" w:color="auto"/>
              <w:right w:val="single" w:sz="4" w:space="0" w:color="auto"/>
            </w:tcBorders>
            <w:shd w:val="clear" w:color="auto" w:fill="auto"/>
            <w:vAlign w:val="center"/>
            <w:hideMark/>
          </w:tcPr>
          <w:p w14:paraId="7B580697" w14:textId="77777777" w:rsidR="0020458B" w:rsidRPr="00B92499" w:rsidRDefault="0020458B" w:rsidP="003C6FE5">
            <w:pPr>
              <w:jc w:val="both"/>
              <w:rPr>
                <w:rFonts w:ascii="Arial" w:hAnsi="Arial" w:cs="Arial"/>
                <w:color w:val="000000"/>
                <w:sz w:val="20"/>
                <w:szCs w:val="20"/>
              </w:rPr>
            </w:pPr>
            <w:r w:rsidRPr="00B92499">
              <w:rPr>
                <w:rFonts w:ascii="Arial" w:hAnsi="Arial" w:cs="Arial"/>
                <w:color w:val="000000"/>
                <w:sz w:val="20"/>
                <w:szCs w:val="20"/>
              </w:rPr>
              <w:t>Dictámenes de cuenta pública y estado financieros.</w:t>
            </w:r>
          </w:p>
        </w:tc>
        <w:tc>
          <w:tcPr>
            <w:tcW w:w="1197" w:type="dxa"/>
            <w:tcBorders>
              <w:top w:val="nil"/>
              <w:left w:val="nil"/>
              <w:bottom w:val="single" w:sz="4" w:space="0" w:color="auto"/>
              <w:right w:val="single" w:sz="4" w:space="0" w:color="auto"/>
            </w:tcBorders>
            <w:shd w:val="clear" w:color="auto" w:fill="auto"/>
            <w:vAlign w:val="center"/>
            <w:hideMark/>
          </w:tcPr>
          <w:p w14:paraId="7B01BFD8" w14:textId="77777777" w:rsidR="0020458B" w:rsidRPr="00B92499" w:rsidRDefault="0020458B" w:rsidP="0020458B">
            <w:pPr>
              <w:jc w:val="center"/>
              <w:rPr>
                <w:rFonts w:ascii="Arial" w:hAnsi="Arial" w:cs="Arial"/>
                <w:color w:val="000000"/>
                <w:sz w:val="20"/>
                <w:szCs w:val="20"/>
              </w:rPr>
            </w:pPr>
            <w:r w:rsidRPr="00B92499">
              <w:rPr>
                <w:rFonts w:ascii="Arial" w:hAnsi="Arial" w:cs="Arial"/>
                <w:color w:val="000000"/>
                <w:sz w:val="20"/>
                <w:szCs w:val="20"/>
              </w:rPr>
              <w:t>100</w:t>
            </w:r>
          </w:p>
        </w:tc>
      </w:tr>
      <w:tr w:rsidR="0020458B" w:rsidRPr="00B92499" w14:paraId="377EEC16" w14:textId="77777777" w:rsidTr="0020458B">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5793AED" w14:textId="77777777" w:rsidR="0020458B" w:rsidRPr="00B92499" w:rsidRDefault="0020458B">
            <w:pPr>
              <w:jc w:val="center"/>
              <w:rPr>
                <w:rFonts w:ascii="Arial" w:hAnsi="Arial" w:cs="Arial"/>
                <w:color w:val="000000"/>
                <w:sz w:val="20"/>
                <w:szCs w:val="20"/>
              </w:rPr>
            </w:pPr>
            <w:r w:rsidRPr="00B92499">
              <w:rPr>
                <w:rFonts w:ascii="Arial" w:hAnsi="Arial" w:cs="Arial"/>
                <w:color w:val="000000"/>
                <w:sz w:val="20"/>
                <w:szCs w:val="20"/>
              </w:rPr>
              <w:t>XXIX</w:t>
            </w:r>
          </w:p>
        </w:tc>
        <w:tc>
          <w:tcPr>
            <w:tcW w:w="0" w:type="auto"/>
            <w:tcBorders>
              <w:top w:val="nil"/>
              <w:left w:val="nil"/>
              <w:bottom w:val="single" w:sz="4" w:space="0" w:color="auto"/>
              <w:right w:val="single" w:sz="4" w:space="0" w:color="auto"/>
            </w:tcBorders>
            <w:shd w:val="clear" w:color="auto" w:fill="auto"/>
            <w:vAlign w:val="center"/>
            <w:hideMark/>
          </w:tcPr>
          <w:p w14:paraId="66D6459A" w14:textId="77777777" w:rsidR="0020458B" w:rsidRPr="00B92499" w:rsidRDefault="0020458B" w:rsidP="003C6FE5">
            <w:pPr>
              <w:jc w:val="both"/>
              <w:rPr>
                <w:rFonts w:ascii="Arial" w:hAnsi="Arial" w:cs="Arial"/>
                <w:color w:val="000000"/>
                <w:sz w:val="20"/>
                <w:szCs w:val="20"/>
              </w:rPr>
            </w:pPr>
            <w:r w:rsidRPr="00B92499">
              <w:rPr>
                <w:rFonts w:ascii="Arial" w:hAnsi="Arial" w:cs="Arial"/>
                <w:color w:val="000000"/>
                <w:sz w:val="20"/>
                <w:szCs w:val="20"/>
              </w:rPr>
              <w:t>Concesiones, contratos, convenios, permisos, licencias o autorizaciones otorgados.</w:t>
            </w:r>
          </w:p>
        </w:tc>
        <w:tc>
          <w:tcPr>
            <w:tcW w:w="1197" w:type="dxa"/>
            <w:tcBorders>
              <w:top w:val="nil"/>
              <w:left w:val="nil"/>
              <w:bottom w:val="single" w:sz="4" w:space="0" w:color="auto"/>
              <w:right w:val="single" w:sz="4" w:space="0" w:color="auto"/>
            </w:tcBorders>
            <w:shd w:val="clear" w:color="auto" w:fill="auto"/>
            <w:vAlign w:val="center"/>
            <w:hideMark/>
          </w:tcPr>
          <w:p w14:paraId="453904EE" w14:textId="77777777" w:rsidR="0020458B" w:rsidRPr="00B92499" w:rsidRDefault="0020458B" w:rsidP="0020458B">
            <w:pPr>
              <w:jc w:val="center"/>
              <w:rPr>
                <w:rFonts w:ascii="Arial" w:hAnsi="Arial" w:cs="Arial"/>
                <w:color w:val="000000"/>
                <w:sz w:val="20"/>
                <w:szCs w:val="20"/>
              </w:rPr>
            </w:pPr>
            <w:r w:rsidRPr="00B92499">
              <w:rPr>
                <w:rFonts w:ascii="Arial" w:hAnsi="Arial" w:cs="Arial"/>
                <w:color w:val="000000"/>
                <w:sz w:val="20"/>
                <w:szCs w:val="20"/>
              </w:rPr>
              <w:t>100</w:t>
            </w:r>
          </w:p>
        </w:tc>
      </w:tr>
      <w:tr w:rsidR="0020458B" w:rsidRPr="00B92499" w14:paraId="349ADF6A" w14:textId="77777777" w:rsidTr="0020458B">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B33E8BA" w14:textId="77777777" w:rsidR="0020458B" w:rsidRPr="00B92499" w:rsidRDefault="0020458B">
            <w:pPr>
              <w:jc w:val="center"/>
              <w:rPr>
                <w:rFonts w:ascii="Arial" w:hAnsi="Arial" w:cs="Arial"/>
                <w:color w:val="000000"/>
                <w:sz w:val="20"/>
                <w:szCs w:val="20"/>
              </w:rPr>
            </w:pPr>
            <w:r w:rsidRPr="00B92499">
              <w:rPr>
                <w:rFonts w:ascii="Arial" w:hAnsi="Arial" w:cs="Arial"/>
                <w:color w:val="000000"/>
                <w:sz w:val="20"/>
                <w:szCs w:val="20"/>
              </w:rPr>
              <w:t>XXXV</w:t>
            </w:r>
          </w:p>
        </w:tc>
        <w:tc>
          <w:tcPr>
            <w:tcW w:w="0" w:type="auto"/>
            <w:tcBorders>
              <w:top w:val="nil"/>
              <w:left w:val="nil"/>
              <w:bottom w:val="single" w:sz="4" w:space="0" w:color="auto"/>
              <w:right w:val="single" w:sz="4" w:space="0" w:color="auto"/>
            </w:tcBorders>
            <w:shd w:val="clear" w:color="auto" w:fill="auto"/>
            <w:vAlign w:val="center"/>
            <w:hideMark/>
          </w:tcPr>
          <w:p w14:paraId="3173EE27" w14:textId="77777777" w:rsidR="0020458B" w:rsidRPr="00B92499" w:rsidRDefault="0020458B" w:rsidP="003C6FE5">
            <w:pPr>
              <w:jc w:val="both"/>
              <w:rPr>
                <w:rFonts w:ascii="Arial" w:hAnsi="Arial" w:cs="Arial"/>
                <w:color w:val="000000"/>
                <w:sz w:val="20"/>
                <w:szCs w:val="20"/>
              </w:rPr>
            </w:pPr>
            <w:r w:rsidRPr="00B92499">
              <w:rPr>
                <w:rFonts w:ascii="Arial" w:hAnsi="Arial" w:cs="Arial"/>
                <w:color w:val="000000"/>
                <w:sz w:val="20"/>
                <w:szCs w:val="20"/>
              </w:rPr>
              <w:t>Convenios de coordinación de concertación con los sectores sociales y privado.</w:t>
            </w:r>
          </w:p>
        </w:tc>
        <w:tc>
          <w:tcPr>
            <w:tcW w:w="1197" w:type="dxa"/>
            <w:tcBorders>
              <w:top w:val="nil"/>
              <w:left w:val="nil"/>
              <w:bottom w:val="single" w:sz="4" w:space="0" w:color="auto"/>
              <w:right w:val="single" w:sz="4" w:space="0" w:color="auto"/>
            </w:tcBorders>
            <w:shd w:val="clear" w:color="auto" w:fill="auto"/>
            <w:vAlign w:val="center"/>
            <w:hideMark/>
          </w:tcPr>
          <w:p w14:paraId="47842C0E" w14:textId="77777777" w:rsidR="0020458B" w:rsidRPr="00B92499" w:rsidRDefault="0020458B" w:rsidP="0020458B">
            <w:pPr>
              <w:jc w:val="center"/>
              <w:rPr>
                <w:rFonts w:ascii="Arial" w:hAnsi="Arial" w:cs="Arial"/>
                <w:color w:val="000000"/>
                <w:sz w:val="20"/>
                <w:szCs w:val="20"/>
              </w:rPr>
            </w:pPr>
            <w:r w:rsidRPr="00B92499">
              <w:rPr>
                <w:rFonts w:ascii="Arial" w:hAnsi="Arial" w:cs="Arial"/>
                <w:color w:val="000000"/>
                <w:sz w:val="20"/>
                <w:szCs w:val="20"/>
              </w:rPr>
              <w:t>100</w:t>
            </w:r>
          </w:p>
        </w:tc>
      </w:tr>
      <w:tr w:rsidR="0020458B" w:rsidRPr="00B92499" w14:paraId="190493CF" w14:textId="77777777" w:rsidTr="0020458B">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479C68A" w14:textId="77777777" w:rsidR="0020458B" w:rsidRPr="00B92499" w:rsidRDefault="0020458B">
            <w:pPr>
              <w:jc w:val="center"/>
              <w:rPr>
                <w:rFonts w:ascii="Arial" w:hAnsi="Arial" w:cs="Arial"/>
                <w:color w:val="000000"/>
                <w:sz w:val="20"/>
                <w:szCs w:val="20"/>
              </w:rPr>
            </w:pPr>
            <w:r w:rsidRPr="00B92499">
              <w:rPr>
                <w:rFonts w:ascii="Arial" w:hAnsi="Arial" w:cs="Arial"/>
                <w:color w:val="000000"/>
                <w:sz w:val="20"/>
                <w:szCs w:val="20"/>
              </w:rPr>
              <w:t>XXXVIII</w:t>
            </w:r>
          </w:p>
        </w:tc>
        <w:tc>
          <w:tcPr>
            <w:tcW w:w="0" w:type="auto"/>
            <w:tcBorders>
              <w:top w:val="nil"/>
              <w:left w:val="nil"/>
              <w:bottom w:val="single" w:sz="4" w:space="0" w:color="auto"/>
              <w:right w:val="single" w:sz="4" w:space="0" w:color="auto"/>
            </w:tcBorders>
            <w:shd w:val="clear" w:color="auto" w:fill="auto"/>
            <w:vAlign w:val="center"/>
            <w:hideMark/>
          </w:tcPr>
          <w:p w14:paraId="3EC27E97" w14:textId="51C92427" w:rsidR="0020458B" w:rsidRPr="00B92499" w:rsidRDefault="0020458B" w:rsidP="003C6FE5">
            <w:pPr>
              <w:jc w:val="both"/>
              <w:rPr>
                <w:rFonts w:ascii="Arial" w:hAnsi="Arial" w:cs="Arial"/>
                <w:color w:val="000000"/>
                <w:sz w:val="20"/>
                <w:szCs w:val="20"/>
              </w:rPr>
            </w:pPr>
            <w:r w:rsidRPr="00B92499">
              <w:rPr>
                <w:rFonts w:ascii="Arial" w:hAnsi="Arial" w:cs="Arial"/>
                <w:color w:val="000000"/>
                <w:sz w:val="20"/>
                <w:szCs w:val="20"/>
              </w:rPr>
              <w:t xml:space="preserve">Relación del número de recomendaciones emitidas por el Instituto al </w:t>
            </w:r>
            <w:r w:rsidR="008710F6" w:rsidRPr="00B92499">
              <w:rPr>
                <w:rFonts w:ascii="Arial" w:hAnsi="Arial" w:cs="Arial"/>
                <w:color w:val="000000"/>
                <w:sz w:val="20"/>
                <w:szCs w:val="20"/>
              </w:rPr>
              <w:t>sujeto obligado</w:t>
            </w:r>
            <w:r w:rsidRPr="00B92499">
              <w:rPr>
                <w:rFonts w:ascii="Arial" w:hAnsi="Arial" w:cs="Arial"/>
                <w:color w:val="000000"/>
                <w:sz w:val="20"/>
                <w:szCs w:val="20"/>
              </w:rPr>
              <w:t>.</w:t>
            </w:r>
          </w:p>
        </w:tc>
        <w:tc>
          <w:tcPr>
            <w:tcW w:w="1197" w:type="dxa"/>
            <w:tcBorders>
              <w:top w:val="nil"/>
              <w:left w:val="nil"/>
              <w:bottom w:val="single" w:sz="4" w:space="0" w:color="auto"/>
              <w:right w:val="single" w:sz="4" w:space="0" w:color="auto"/>
            </w:tcBorders>
            <w:shd w:val="clear" w:color="auto" w:fill="auto"/>
            <w:vAlign w:val="center"/>
            <w:hideMark/>
          </w:tcPr>
          <w:p w14:paraId="467F3442" w14:textId="77777777" w:rsidR="0020458B" w:rsidRPr="00B92499" w:rsidRDefault="0020458B" w:rsidP="0020458B">
            <w:pPr>
              <w:jc w:val="center"/>
              <w:rPr>
                <w:rFonts w:ascii="Arial" w:hAnsi="Arial" w:cs="Arial"/>
                <w:color w:val="000000"/>
                <w:sz w:val="20"/>
                <w:szCs w:val="20"/>
              </w:rPr>
            </w:pPr>
            <w:r w:rsidRPr="00B92499">
              <w:rPr>
                <w:rFonts w:ascii="Arial" w:hAnsi="Arial" w:cs="Arial"/>
                <w:color w:val="000000"/>
                <w:sz w:val="20"/>
                <w:szCs w:val="20"/>
              </w:rPr>
              <w:t>100</w:t>
            </w:r>
          </w:p>
        </w:tc>
      </w:tr>
      <w:tr w:rsidR="0020458B" w:rsidRPr="00B92499" w14:paraId="4D5A2F53" w14:textId="77777777" w:rsidTr="0020458B">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FA718C8" w14:textId="77777777" w:rsidR="0020458B" w:rsidRPr="00B92499" w:rsidRDefault="0020458B">
            <w:pPr>
              <w:jc w:val="center"/>
              <w:rPr>
                <w:rFonts w:ascii="Arial" w:hAnsi="Arial" w:cs="Arial"/>
                <w:color w:val="000000"/>
                <w:sz w:val="20"/>
                <w:szCs w:val="20"/>
              </w:rPr>
            </w:pPr>
            <w:r w:rsidRPr="00B92499">
              <w:rPr>
                <w:rFonts w:ascii="Arial" w:hAnsi="Arial" w:cs="Arial"/>
                <w:color w:val="000000"/>
                <w:sz w:val="20"/>
                <w:szCs w:val="20"/>
              </w:rPr>
              <w:t>XLII</w:t>
            </w:r>
          </w:p>
        </w:tc>
        <w:tc>
          <w:tcPr>
            <w:tcW w:w="0" w:type="auto"/>
            <w:tcBorders>
              <w:top w:val="nil"/>
              <w:left w:val="nil"/>
              <w:bottom w:val="single" w:sz="4" w:space="0" w:color="auto"/>
              <w:right w:val="single" w:sz="4" w:space="0" w:color="auto"/>
            </w:tcBorders>
            <w:shd w:val="clear" w:color="auto" w:fill="auto"/>
            <w:vAlign w:val="center"/>
            <w:hideMark/>
          </w:tcPr>
          <w:p w14:paraId="286E8D6B" w14:textId="0A89D50A" w:rsidR="0020458B" w:rsidRPr="00B92499" w:rsidRDefault="0020458B" w:rsidP="003C6FE5">
            <w:pPr>
              <w:jc w:val="both"/>
              <w:rPr>
                <w:rFonts w:ascii="Arial" w:hAnsi="Arial" w:cs="Arial"/>
                <w:color w:val="000000"/>
                <w:sz w:val="20"/>
                <w:szCs w:val="20"/>
              </w:rPr>
            </w:pPr>
            <w:r w:rsidRPr="00B92499">
              <w:rPr>
                <w:rFonts w:ascii="Arial" w:hAnsi="Arial" w:cs="Arial"/>
                <w:color w:val="000000"/>
                <w:sz w:val="20"/>
                <w:szCs w:val="20"/>
              </w:rPr>
              <w:t xml:space="preserve">Información relacionada con los programas y centros destinados a la práctica de actividad física, </w:t>
            </w:r>
            <w:r w:rsidR="003C6FE5" w:rsidRPr="00B92499">
              <w:rPr>
                <w:rFonts w:ascii="Arial" w:hAnsi="Arial" w:cs="Arial"/>
                <w:color w:val="000000"/>
                <w:sz w:val="20"/>
                <w:szCs w:val="20"/>
              </w:rPr>
              <w:t>ejercicio</w:t>
            </w:r>
            <w:r w:rsidRPr="00B92499">
              <w:rPr>
                <w:rFonts w:ascii="Arial" w:hAnsi="Arial" w:cs="Arial"/>
                <w:color w:val="000000"/>
                <w:sz w:val="20"/>
                <w:szCs w:val="20"/>
              </w:rPr>
              <w:t xml:space="preserve"> y deporte. </w:t>
            </w:r>
          </w:p>
        </w:tc>
        <w:tc>
          <w:tcPr>
            <w:tcW w:w="1197" w:type="dxa"/>
            <w:tcBorders>
              <w:top w:val="nil"/>
              <w:left w:val="nil"/>
              <w:bottom w:val="single" w:sz="4" w:space="0" w:color="auto"/>
              <w:right w:val="single" w:sz="4" w:space="0" w:color="auto"/>
            </w:tcBorders>
            <w:shd w:val="clear" w:color="auto" w:fill="auto"/>
            <w:vAlign w:val="center"/>
            <w:hideMark/>
          </w:tcPr>
          <w:p w14:paraId="343416C4" w14:textId="77777777" w:rsidR="0020458B" w:rsidRPr="00B92499" w:rsidRDefault="0020458B" w:rsidP="0020458B">
            <w:pPr>
              <w:jc w:val="center"/>
              <w:rPr>
                <w:rFonts w:ascii="Arial" w:hAnsi="Arial" w:cs="Arial"/>
                <w:color w:val="000000"/>
                <w:sz w:val="20"/>
                <w:szCs w:val="20"/>
              </w:rPr>
            </w:pPr>
            <w:r w:rsidRPr="00B92499">
              <w:rPr>
                <w:rFonts w:ascii="Arial" w:hAnsi="Arial" w:cs="Arial"/>
                <w:color w:val="000000"/>
                <w:sz w:val="20"/>
                <w:szCs w:val="20"/>
              </w:rPr>
              <w:t>100</w:t>
            </w:r>
          </w:p>
        </w:tc>
      </w:tr>
      <w:tr w:rsidR="0020458B" w:rsidRPr="00B92499" w14:paraId="574A04AC" w14:textId="77777777" w:rsidTr="0020458B">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7D65FFE" w14:textId="77777777" w:rsidR="0020458B" w:rsidRPr="00B92499" w:rsidRDefault="0020458B">
            <w:pPr>
              <w:jc w:val="center"/>
              <w:rPr>
                <w:rFonts w:ascii="Arial" w:hAnsi="Arial" w:cs="Arial"/>
                <w:color w:val="000000"/>
                <w:sz w:val="20"/>
                <w:szCs w:val="20"/>
              </w:rPr>
            </w:pPr>
            <w:r w:rsidRPr="00B92499">
              <w:rPr>
                <w:rFonts w:ascii="Arial" w:hAnsi="Arial" w:cs="Arial"/>
                <w:color w:val="000000"/>
                <w:sz w:val="20"/>
                <w:szCs w:val="20"/>
              </w:rPr>
              <w:lastRenderedPageBreak/>
              <w:t>XLIV</w:t>
            </w:r>
          </w:p>
        </w:tc>
        <w:tc>
          <w:tcPr>
            <w:tcW w:w="0" w:type="auto"/>
            <w:tcBorders>
              <w:top w:val="nil"/>
              <w:left w:val="nil"/>
              <w:bottom w:val="single" w:sz="4" w:space="0" w:color="auto"/>
              <w:right w:val="single" w:sz="4" w:space="0" w:color="auto"/>
            </w:tcBorders>
            <w:shd w:val="clear" w:color="auto" w:fill="auto"/>
            <w:vAlign w:val="center"/>
            <w:hideMark/>
          </w:tcPr>
          <w:p w14:paraId="162D48C6" w14:textId="77777777" w:rsidR="0020458B" w:rsidRPr="00B92499" w:rsidRDefault="0020458B" w:rsidP="003C6FE5">
            <w:pPr>
              <w:jc w:val="both"/>
              <w:rPr>
                <w:rFonts w:ascii="Arial" w:hAnsi="Arial" w:cs="Arial"/>
                <w:color w:val="000000"/>
                <w:sz w:val="20"/>
                <w:szCs w:val="20"/>
              </w:rPr>
            </w:pPr>
            <w:r w:rsidRPr="00B92499">
              <w:rPr>
                <w:rFonts w:ascii="Arial" w:hAnsi="Arial" w:cs="Arial"/>
                <w:color w:val="000000"/>
                <w:sz w:val="20"/>
                <w:szCs w:val="20"/>
              </w:rPr>
              <w:t xml:space="preserve">Evaluaciones y encuestas a programas financiados con recursos públicos. </w:t>
            </w:r>
          </w:p>
        </w:tc>
        <w:tc>
          <w:tcPr>
            <w:tcW w:w="1197" w:type="dxa"/>
            <w:tcBorders>
              <w:top w:val="nil"/>
              <w:left w:val="nil"/>
              <w:bottom w:val="single" w:sz="4" w:space="0" w:color="auto"/>
              <w:right w:val="single" w:sz="4" w:space="0" w:color="auto"/>
            </w:tcBorders>
            <w:shd w:val="clear" w:color="auto" w:fill="auto"/>
            <w:vAlign w:val="center"/>
            <w:hideMark/>
          </w:tcPr>
          <w:p w14:paraId="624DA1EE" w14:textId="77777777" w:rsidR="0020458B" w:rsidRPr="00B92499" w:rsidRDefault="0020458B" w:rsidP="0020458B">
            <w:pPr>
              <w:jc w:val="center"/>
              <w:rPr>
                <w:rFonts w:ascii="Arial" w:hAnsi="Arial" w:cs="Arial"/>
                <w:color w:val="000000"/>
                <w:sz w:val="20"/>
                <w:szCs w:val="20"/>
              </w:rPr>
            </w:pPr>
            <w:r w:rsidRPr="00B92499">
              <w:rPr>
                <w:rFonts w:ascii="Arial" w:hAnsi="Arial" w:cs="Arial"/>
                <w:color w:val="000000"/>
                <w:sz w:val="20"/>
                <w:szCs w:val="20"/>
              </w:rPr>
              <w:t>100</w:t>
            </w:r>
          </w:p>
        </w:tc>
      </w:tr>
      <w:tr w:rsidR="0020458B" w:rsidRPr="00B92499" w14:paraId="5CAB352A" w14:textId="77777777" w:rsidTr="0020458B">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DA212D3" w14:textId="77777777" w:rsidR="0020458B" w:rsidRPr="00B92499" w:rsidRDefault="0020458B">
            <w:pPr>
              <w:jc w:val="center"/>
              <w:rPr>
                <w:rFonts w:ascii="Arial" w:hAnsi="Arial" w:cs="Arial"/>
                <w:color w:val="000000"/>
                <w:sz w:val="20"/>
                <w:szCs w:val="20"/>
              </w:rPr>
            </w:pPr>
            <w:r w:rsidRPr="00B92499">
              <w:rPr>
                <w:rFonts w:ascii="Arial" w:hAnsi="Arial" w:cs="Arial"/>
                <w:color w:val="000000"/>
                <w:sz w:val="20"/>
                <w:szCs w:val="20"/>
              </w:rPr>
              <w:t>XLV</w:t>
            </w:r>
          </w:p>
        </w:tc>
        <w:tc>
          <w:tcPr>
            <w:tcW w:w="0" w:type="auto"/>
            <w:tcBorders>
              <w:top w:val="nil"/>
              <w:left w:val="nil"/>
              <w:bottom w:val="single" w:sz="4" w:space="0" w:color="auto"/>
              <w:right w:val="single" w:sz="4" w:space="0" w:color="auto"/>
            </w:tcBorders>
            <w:shd w:val="clear" w:color="auto" w:fill="auto"/>
            <w:vAlign w:val="center"/>
            <w:hideMark/>
          </w:tcPr>
          <w:p w14:paraId="5DB90869" w14:textId="77777777" w:rsidR="0020458B" w:rsidRPr="00B92499" w:rsidRDefault="0020458B" w:rsidP="003C6FE5">
            <w:pPr>
              <w:jc w:val="both"/>
              <w:rPr>
                <w:rFonts w:ascii="Arial" w:hAnsi="Arial" w:cs="Arial"/>
                <w:color w:val="000000"/>
                <w:sz w:val="20"/>
                <w:szCs w:val="20"/>
              </w:rPr>
            </w:pPr>
            <w:r w:rsidRPr="00B92499">
              <w:rPr>
                <w:rFonts w:ascii="Arial" w:hAnsi="Arial" w:cs="Arial"/>
                <w:color w:val="000000"/>
                <w:sz w:val="20"/>
                <w:szCs w:val="20"/>
              </w:rPr>
              <w:t>Estudios financiados con recursos públicos.</w:t>
            </w:r>
          </w:p>
        </w:tc>
        <w:tc>
          <w:tcPr>
            <w:tcW w:w="1197" w:type="dxa"/>
            <w:tcBorders>
              <w:top w:val="nil"/>
              <w:left w:val="nil"/>
              <w:bottom w:val="single" w:sz="4" w:space="0" w:color="auto"/>
              <w:right w:val="single" w:sz="4" w:space="0" w:color="auto"/>
            </w:tcBorders>
            <w:shd w:val="clear" w:color="auto" w:fill="auto"/>
            <w:vAlign w:val="center"/>
            <w:hideMark/>
          </w:tcPr>
          <w:p w14:paraId="1E84833B" w14:textId="77777777" w:rsidR="0020458B" w:rsidRPr="00B92499" w:rsidRDefault="0020458B" w:rsidP="0020458B">
            <w:pPr>
              <w:jc w:val="center"/>
              <w:rPr>
                <w:rFonts w:ascii="Arial" w:hAnsi="Arial" w:cs="Arial"/>
                <w:color w:val="000000"/>
                <w:sz w:val="20"/>
                <w:szCs w:val="20"/>
              </w:rPr>
            </w:pPr>
            <w:r w:rsidRPr="00B92499">
              <w:rPr>
                <w:rFonts w:ascii="Arial" w:hAnsi="Arial" w:cs="Arial"/>
                <w:color w:val="000000"/>
                <w:sz w:val="20"/>
                <w:szCs w:val="20"/>
              </w:rPr>
              <w:t>100</w:t>
            </w:r>
          </w:p>
        </w:tc>
      </w:tr>
      <w:tr w:rsidR="0020458B" w:rsidRPr="00B92499" w14:paraId="53C7F2D4" w14:textId="77777777" w:rsidTr="0020458B">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F237815" w14:textId="77777777" w:rsidR="0020458B" w:rsidRPr="00B92499" w:rsidRDefault="0020458B">
            <w:pPr>
              <w:jc w:val="center"/>
              <w:rPr>
                <w:rFonts w:ascii="Arial" w:hAnsi="Arial" w:cs="Arial"/>
                <w:color w:val="000000"/>
                <w:sz w:val="20"/>
                <w:szCs w:val="20"/>
              </w:rPr>
            </w:pPr>
            <w:r w:rsidRPr="00B92499">
              <w:rPr>
                <w:rFonts w:ascii="Arial" w:hAnsi="Arial" w:cs="Arial"/>
                <w:color w:val="000000"/>
                <w:sz w:val="20"/>
                <w:szCs w:val="20"/>
              </w:rPr>
              <w:t>XLVI</w:t>
            </w:r>
          </w:p>
        </w:tc>
        <w:tc>
          <w:tcPr>
            <w:tcW w:w="0" w:type="auto"/>
            <w:tcBorders>
              <w:top w:val="nil"/>
              <w:left w:val="nil"/>
              <w:bottom w:val="single" w:sz="4" w:space="0" w:color="auto"/>
              <w:right w:val="single" w:sz="4" w:space="0" w:color="auto"/>
            </w:tcBorders>
            <w:shd w:val="clear" w:color="auto" w:fill="auto"/>
            <w:vAlign w:val="center"/>
            <w:hideMark/>
          </w:tcPr>
          <w:p w14:paraId="7EC27FB6" w14:textId="77777777" w:rsidR="0020458B" w:rsidRPr="00B92499" w:rsidRDefault="0020458B" w:rsidP="003C6FE5">
            <w:pPr>
              <w:jc w:val="both"/>
              <w:rPr>
                <w:rFonts w:ascii="Arial" w:hAnsi="Arial" w:cs="Arial"/>
                <w:color w:val="000000"/>
                <w:sz w:val="20"/>
                <w:szCs w:val="20"/>
              </w:rPr>
            </w:pPr>
            <w:r w:rsidRPr="00B92499">
              <w:rPr>
                <w:rFonts w:ascii="Arial" w:hAnsi="Arial" w:cs="Arial"/>
                <w:color w:val="000000"/>
                <w:sz w:val="20"/>
                <w:szCs w:val="20"/>
              </w:rPr>
              <w:t>Listado de jubilados y pensionados y monto que reciben.</w:t>
            </w:r>
          </w:p>
        </w:tc>
        <w:tc>
          <w:tcPr>
            <w:tcW w:w="1197" w:type="dxa"/>
            <w:tcBorders>
              <w:top w:val="nil"/>
              <w:left w:val="nil"/>
              <w:bottom w:val="single" w:sz="4" w:space="0" w:color="auto"/>
              <w:right w:val="single" w:sz="4" w:space="0" w:color="auto"/>
            </w:tcBorders>
            <w:shd w:val="clear" w:color="auto" w:fill="auto"/>
            <w:vAlign w:val="center"/>
            <w:hideMark/>
          </w:tcPr>
          <w:p w14:paraId="06AA7144" w14:textId="77777777" w:rsidR="0020458B" w:rsidRPr="00B92499" w:rsidRDefault="0020458B" w:rsidP="0020458B">
            <w:pPr>
              <w:jc w:val="center"/>
              <w:rPr>
                <w:rFonts w:ascii="Arial" w:hAnsi="Arial" w:cs="Arial"/>
                <w:color w:val="000000"/>
                <w:sz w:val="20"/>
                <w:szCs w:val="20"/>
              </w:rPr>
            </w:pPr>
            <w:r w:rsidRPr="00B92499">
              <w:rPr>
                <w:rFonts w:ascii="Arial" w:hAnsi="Arial" w:cs="Arial"/>
                <w:color w:val="000000"/>
                <w:sz w:val="20"/>
                <w:szCs w:val="20"/>
              </w:rPr>
              <w:t>100</w:t>
            </w:r>
          </w:p>
        </w:tc>
      </w:tr>
      <w:tr w:rsidR="0020458B" w:rsidRPr="00B92499" w14:paraId="172C3960" w14:textId="77777777" w:rsidTr="0020458B">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8BB808A" w14:textId="77777777" w:rsidR="0020458B" w:rsidRPr="00B92499" w:rsidRDefault="0020458B">
            <w:pPr>
              <w:jc w:val="center"/>
              <w:rPr>
                <w:rFonts w:ascii="Arial" w:hAnsi="Arial" w:cs="Arial"/>
                <w:color w:val="000000"/>
                <w:sz w:val="20"/>
                <w:szCs w:val="20"/>
              </w:rPr>
            </w:pPr>
            <w:r w:rsidRPr="00B92499">
              <w:rPr>
                <w:rFonts w:ascii="Arial" w:hAnsi="Arial" w:cs="Arial"/>
                <w:color w:val="000000"/>
                <w:sz w:val="20"/>
                <w:szCs w:val="20"/>
              </w:rPr>
              <w:t>XLVII</w:t>
            </w:r>
          </w:p>
        </w:tc>
        <w:tc>
          <w:tcPr>
            <w:tcW w:w="0" w:type="auto"/>
            <w:tcBorders>
              <w:top w:val="nil"/>
              <w:left w:val="nil"/>
              <w:bottom w:val="single" w:sz="4" w:space="0" w:color="auto"/>
              <w:right w:val="single" w:sz="4" w:space="0" w:color="auto"/>
            </w:tcBorders>
            <w:shd w:val="clear" w:color="auto" w:fill="auto"/>
            <w:vAlign w:val="center"/>
            <w:hideMark/>
          </w:tcPr>
          <w:p w14:paraId="0C3EF997" w14:textId="77777777" w:rsidR="0020458B" w:rsidRPr="00B92499" w:rsidRDefault="0020458B" w:rsidP="003C6FE5">
            <w:pPr>
              <w:jc w:val="both"/>
              <w:rPr>
                <w:rFonts w:ascii="Arial" w:hAnsi="Arial" w:cs="Arial"/>
                <w:color w:val="000000"/>
                <w:sz w:val="20"/>
                <w:szCs w:val="20"/>
              </w:rPr>
            </w:pPr>
            <w:r w:rsidRPr="00B92499">
              <w:rPr>
                <w:rFonts w:ascii="Arial" w:hAnsi="Arial" w:cs="Arial"/>
                <w:color w:val="000000"/>
                <w:sz w:val="20"/>
                <w:szCs w:val="20"/>
              </w:rPr>
              <w:t>Los ingresos recibidos por cualquier concepto.</w:t>
            </w:r>
          </w:p>
        </w:tc>
        <w:tc>
          <w:tcPr>
            <w:tcW w:w="1197" w:type="dxa"/>
            <w:tcBorders>
              <w:top w:val="nil"/>
              <w:left w:val="nil"/>
              <w:bottom w:val="single" w:sz="4" w:space="0" w:color="auto"/>
              <w:right w:val="single" w:sz="4" w:space="0" w:color="auto"/>
            </w:tcBorders>
            <w:shd w:val="clear" w:color="auto" w:fill="auto"/>
            <w:vAlign w:val="center"/>
            <w:hideMark/>
          </w:tcPr>
          <w:p w14:paraId="66F9C5F5" w14:textId="77777777" w:rsidR="0020458B" w:rsidRPr="00B92499" w:rsidRDefault="0020458B" w:rsidP="0020458B">
            <w:pPr>
              <w:jc w:val="center"/>
              <w:rPr>
                <w:rFonts w:ascii="Arial" w:hAnsi="Arial" w:cs="Arial"/>
                <w:color w:val="000000"/>
                <w:sz w:val="20"/>
                <w:szCs w:val="20"/>
              </w:rPr>
            </w:pPr>
            <w:r w:rsidRPr="00B92499">
              <w:rPr>
                <w:rFonts w:ascii="Arial" w:hAnsi="Arial" w:cs="Arial"/>
                <w:color w:val="000000"/>
                <w:sz w:val="20"/>
                <w:szCs w:val="20"/>
              </w:rPr>
              <w:t>100</w:t>
            </w:r>
          </w:p>
        </w:tc>
      </w:tr>
      <w:tr w:rsidR="0020458B" w:rsidRPr="00B92499" w14:paraId="554201E8" w14:textId="77777777" w:rsidTr="0020458B">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6A1C489" w14:textId="77777777" w:rsidR="0020458B" w:rsidRPr="00B92499" w:rsidRDefault="0020458B">
            <w:pPr>
              <w:jc w:val="center"/>
              <w:rPr>
                <w:rFonts w:ascii="Arial" w:hAnsi="Arial" w:cs="Arial"/>
                <w:color w:val="000000"/>
                <w:sz w:val="20"/>
                <w:szCs w:val="20"/>
              </w:rPr>
            </w:pPr>
            <w:r w:rsidRPr="00B92499">
              <w:rPr>
                <w:rFonts w:ascii="Arial" w:hAnsi="Arial" w:cs="Arial"/>
                <w:color w:val="000000"/>
                <w:sz w:val="20"/>
                <w:szCs w:val="20"/>
              </w:rPr>
              <w:t>XLVIII</w:t>
            </w:r>
          </w:p>
        </w:tc>
        <w:tc>
          <w:tcPr>
            <w:tcW w:w="0" w:type="auto"/>
            <w:tcBorders>
              <w:top w:val="nil"/>
              <w:left w:val="nil"/>
              <w:bottom w:val="single" w:sz="4" w:space="0" w:color="auto"/>
              <w:right w:val="single" w:sz="4" w:space="0" w:color="auto"/>
            </w:tcBorders>
            <w:shd w:val="clear" w:color="auto" w:fill="auto"/>
            <w:vAlign w:val="center"/>
            <w:hideMark/>
          </w:tcPr>
          <w:p w14:paraId="56FD7922" w14:textId="77777777" w:rsidR="0020458B" w:rsidRPr="00B92499" w:rsidRDefault="0020458B" w:rsidP="003C6FE5">
            <w:pPr>
              <w:jc w:val="both"/>
              <w:rPr>
                <w:rFonts w:ascii="Arial" w:hAnsi="Arial" w:cs="Arial"/>
                <w:color w:val="000000"/>
                <w:sz w:val="20"/>
                <w:szCs w:val="20"/>
              </w:rPr>
            </w:pPr>
            <w:r w:rsidRPr="00B92499">
              <w:rPr>
                <w:rFonts w:ascii="Arial" w:hAnsi="Arial" w:cs="Arial"/>
                <w:color w:val="000000"/>
                <w:sz w:val="20"/>
                <w:szCs w:val="20"/>
              </w:rPr>
              <w:t xml:space="preserve">Donaciones en dinero o especie hechas por terceros. </w:t>
            </w:r>
          </w:p>
        </w:tc>
        <w:tc>
          <w:tcPr>
            <w:tcW w:w="1197" w:type="dxa"/>
            <w:tcBorders>
              <w:top w:val="nil"/>
              <w:left w:val="nil"/>
              <w:bottom w:val="single" w:sz="4" w:space="0" w:color="auto"/>
              <w:right w:val="single" w:sz="4" w:space="0" w:color="auto"/>
            </w:tcBorders>
            <w:shd w:val="clear" w:color="auto" w:fill="auto"/>
            <w:vAlign w:val="center"/>
            <w:hideMark/>
          </w:tcPr>
          <w:p w14:paraId="551D047D" w14:textId="77777777" w:rsidR="0020458B" w:rsidRPr="00B92499" w:rsidRDefault="0020458B" w:rsidP="0020458B">
            <w:pPr>
              <w:jc w:val="center"/>
              <w:rPr>
                <w:rFonts w:ascii="Arial" w:hAnsi="Arial" w:cs="Arial"/>
                <w:color w:val="000000"/>
                <w:sz w:val="20"/>
                <w:szCs w:val="20"/>
              </w:rPr>
            </w:pPr>
            <w:r w:rsidRPr="00B92499">
              <w:rPr>
                <w:rFonts w:ascii="Arial" w:hAnsi="Arial" w:cs="Arial"/>
                <w:color w:val="000000"/>
                <w:sz w:val="20"/>
                <w:szCs w:val="20"/>
              </w:rPr>
              <w:t>100</w:t>
            </w:r>
          </w:p>
        </w:tc>
      </w:tr>
      <w:tr w:rsidR="0020458B" w:rsidRPr="00B92499" w14:paraId="0B6429F1" w14:textId="77777777" w:rsidTr="0020458B">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04FFA98" w14:textId="77777777" w:rsidR="0020458B" w:rsidRPr="00B92499" w:rsidRDefault="0020458B">
            <w:pPr>
              <w:jc w:val="center"/>
              <w:rPr>
                <w:rFonts w:ascii="Arial" w:hAnsi="Arial" w:cs="Arial"/>
                <w:color w:val="000000"/>
                <w:sz w:val="20"/>
                <w:szCs w:val="20"/>
              </w:rPr>
            </w:pPr>
            <w:r w:rsidRPr="00B92499">
              <w:rPr>
                <w:rFonts w:ascii="Arial" w:hAnsi="Arial" w:cs="Arial"/>
                <w:color w:val="000000"/>
                <w:sz w:val="20"/>
                <w:szCs w:val="20"/>
              </w:rPr>
              <w:t>XLIX</w:t>
            </w:r>
          </w:p>
        </w:tc>
        <w:tc>
          <w:tcPr>
            <w:tcW w:w="0" w:type="auto"/>
            <w:tcBorders>
              <w:top w:val="nil"/>
              <w:left w:val="nil"/>
              <w:bottom w:val="single" w:sz="4" w:space="0" w:color="auto"/>
              <w:right w:val="single" w:sz="4" w:space="0" w:color="auto"/>
            </w:tcBorders>
            <w:shd w:val="clear" w:color="auto" w:fill="auto"/>
            <w:vAlign w:val="center"/>
            <w:hideMark/>
          </w:tcPr>
          <w:p w14:paraId="774D86D6" w14:textId="77777777" w:rsidR="0020458B" w:rsidRPr="00B92499" w:rsidRDefault="0020458B" w:rsidP="003C6FE5">
            <w:pPr>
              <w:jc w:val="both"/>
              <w:rPr>
                <w:rFonts w:ascii="Arial" w:hAnsi="Arial" w:cs="Arial"/>
                <w:color w:val="000000"/>
                <w:sz w:val="20"/>
                <w:szCs w:val="20"/>
              </w:rPr>
            </w:pPr>
            <w:r w:rsidRPr="00B92499">
              <w:rPr>
                <w:rFonts w:ascii="Arial" w:hAnsi="Arial" w:cs="Arial"/>
                <w:color w:val="000000"/>
                <w:sz w:val="20"/>
                <w:szCs w:val="20"/>
              </w:rPr>
              <w:t xml:space="preserve">El catálogo de disposición y guía de archivo documental. </w:t>
            </w:r>
          </w:p>
        </w:tc>
        <w:tc>
          <w:tcPr>
            <w:tcW w:w="1197" w:type="dxa"/>
            <w:tcBorders>
              <w:top w:val="nil"/>
              <w:left w:val="nil"/>
              <w:bottom w:val="single" w:sz="4" w:space="0" w:color="auto"/>
              <w:right w:val="single" w:sz="4" w:space="0" w:color="auto"/>
            </w:tcBorders>
            <w:shd w:val="clear" w:color="auto" w:fill="auto"/>
            <w:vAlign w:val="center"/>
            <w:hideMark/>
          </w:tcPr>
          <w:p w14:paraId="743AB5FA" w14:textId="77777777" w:rsidR="0020458B" w:rsidRPr="00B92499" w:rsidRDefault="0020458B" w:rsidP="0020458B">
            <w:pPr>
              <w:jc w:val="center"/>
              <w:rPr>
                <w:rFonts w:ascii="Arial" w:hAnsi="Arial" w:cs="Arial"/>
                <w:color w:val="000000"/>
                <w:sz w:val="20"/>
                <w:szCs w:val="20"/>
              </w:rPr>
            </w:pPr>
            <w:r w:rsidRPr="00B92499">
              <w:rPr>
                <w:rFonts w:ascii="Arial" w:hAnsi="Arial" w:cs="Arial"/>
                <w:color w:val="000000"/>
                <w:sz w:val="20"/>
                <w:szCs w:val="20"/>
              </w:rPr>
              <w:t>100</w:t>
            </w:r>
          </w:p>
        </w:tc>
      </w:tr>
      <w:tr w:rsidR="0020458B" w:rsidRPr="00B92499" w14:paraId="789E9C6D" w14:textId="77777777" w:rsidTr="0020458B">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CA9A83E" w14:textId="77777777" w:rsidR="0020458B" w:rsidRPr="00B92499" w:rsidRDefault="0020458B">
            <w:pPr>
              <w:jc w:val="center"/>
              <w:rPr>
                <w:rFonts w:ascii="Arial" w:hAnsi="Arial" w:cs="Arial"/>
                <w:color w:val="000000"/>
                <w:sz w:val="20"/>
                <w:szCs w:val="20"/>
              </w:rPr>
            </w:pPr>
            <w:r w:rsidRPr="00B92499">
              <w:rPr>
                <w:rFonts w:ascii="Arial" w:hAnsi="Arial" w:cs="Arial"/>
                <w:color w:val="000000"/>
                <w:sz w:val="20"/>
                <w:szCs w:val="20"/>
              </w:rPr>
              <w:t>LI</w:t>
            </w:r>
          </w:p>
        </w:tc>
        <w:tc>
          <w:tcPr>
            <w:tcW w:w="0" w:type="auto"/>
            <w:tcBorders>
              <w:top w:val="nil"/>
              <w:left w:val="nil"/>
              <w:bottom w:val="single" w:sz="4" w:space="0" w:color="auto"/>
              <w:right w:val="single" w:sz="4" w:space="0" w:color="auto"/>
            </w:tcBorders>
            <w:shd w:val="clear" w:color="auto" w:fill="auto"/>
            <w:vAlign w:val="center"/>
            <w:hideMark/>
          </w:tcPr>
          <w:p w14:paraId="33A81403" w14:textId="77777777" w:rsidR="0020458B" w:rsidRPr="00B92499" w:rsidRDefault="0020458B" w:rsidP="003C6FE5">
            <w:pPr>
              <w:jc w:val="both"/>
              <w:rPr>
                <w:rFonts w:ascii="Arial" w:hAnsi="Arial" w:cs="Arial"/>
                <w:color w:val="000000"/>
                <w:sz w:val="20"/>
                <w:szCs w:val="20"/>
              </w:rPr>
            </w:pPr>
            <w:r w:rsidRPr="00B92499">
              <w:rPr>
                <w:rFonts w:ascii="Arial" w:hAnsi="Arial" w:cs="Arial"/>
                <w:color w:val="000000"/>
                <w:sz w:val="20"/>
                <w:szCs w:val="20"/>
              </w:rPr>
              <w:t xml:space="preserve">Listado de solicitudes a las empresas concesionarias de telecomunicaciones y proveedores de servicios de internet para la intervención de comunicaciones y la geolocalización. </w:t>
            </w:r>
          </w:p>
        </w:tc>
        <w:tc>
          <w:tcPr>
            <w:tcW w:w="1197" w:type="dxa"/>
            <w:tcBorders>
              <w:top w:val="nil"/>
              <w:left w:val="nil"/>
              <w:bottom w:val="single" w:sz="4" w:space="0" w:color="auto"/>
              <w:right w:val="single" w:sz="4" w:space="0" w:color="auto"/>
            </w:tcBorders>
            <w:shd w:val="clear" w:color="auto" w:fill="auto"/>
            <w:vAlign w:val="center"/>
            <w:hideMark/>
          </w:tcPr>
          <w:p w14:paraId="5214877D" w14:textId="77777777" w:rsidR="0020458B" w:rsidRPr="00B92499" w:rsidRDefault="0020458B" w:rsidP="0020458B">
            <w:pPr>
              <w:jc w:val="center"/>
              <w:rPr>
                <w:rFonts w:ascii="Arial" w:hAnsi="Arial" w:cs="Arial"/>
                <w:color w:val="000000"/>
                <w:sz w:val="20"/>
                <w:szCs w:val="20"/>
              </w:rPr>
            </w:pPr>
            <w:r w:rsidRPr="00B92499">
              <w:rPr>
                <w:rFonts w:ascii="Arial" w:hAnsi="Arial" w:cs="Arial"/>
                <w:color w:val="000000"/>
                <w:sz w:val="20"/>
                <w:szCs w:val="20"/>
              </w:rPr>
              <w:t>100</w:t>
            </w:r>
          </w:p>
        </w:tc>
      </w:tr>
      <w:tr w:rsidR="0020458B" w:rsidRPr="00B92499" w14:paraId="308D44F7" w14:textId="77777777" w:rsidTr="0020458B">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7E3EF84" w14:textId="77777777" w:rsidR="0020458B" w:rsidRPr="00B92499" w:rsidRDefault="0020458B">
            <w:pPr>
              <w:jc w:val="center"/>
              <w:rPr>
                <w:rFonts w:ascii="Arial" w:hAnsi="Arial" w:cs="Arial"/>
                <w:color w:val="000000"/>
                <w:sz w:val="20"/>
                <w:szCs w:val="20"/>
              </w:rPr>
            </w:pPr>
            <w:r w:rsidRPr="00B92499">
              <w:rPr>
                <w:rFonts w:ascii="Arial" w:hAnsi="Arial" w:cs="Arial"/>
                <w:color w:val="000000"/>
                <w:sz w:val="20"/>
                <w:szCs w:val="20"/>
              </w:rPr>
              <w:t>LIII</w:t>
            </w:r>
          </w:p>
        </w:tc>
        <w:tc>
          <w:tcPr>
            <w:tcW w:w="0" w:type="auto"/>
            <w:tcBorders>
              <w:top w:val="nil"/>
              <w:left w:val="nil"/>
              <w:bottom w:val="single" w:sz="4" w:space="0" w:color="auto"/>
              <w:right w:val="single" w:sz="4" w:space="0" w:color="auto"/>
            </w:tcBorders>
            <w:shd w:val="clear" w:color="auto" w:fill="auto"/>
            <w:vAlign w:val="center"/>
            <w:hideMark/>
          </w:tcPr>
          <w:p w14:paraId="7E6886C5" w14:textId="77777777" w:rsidR="0020458B" w:rsidRPr="00B92499" w:rsidRDefault="0020458B" w:rsidP="003C6FE5">
            <w:pPr>
              <w:jc w:val="both"/>
              <w:rPr>
                <w:rFonts w:ascii="Arial" w:hAnsi="Arial" w:cs="Arial"/>
                <w:color w:val="000000"/>
                <w:sz w:val="20"/>
                <w:szCs w:val="20"/>
              </w:rPr>
            </w:pPr>
            <w:r w:rsidRPr="00B92499">
              <w:rPr>
                <w:rFonts w:ascii="Arial" w:hAnsi="Arial" w:cs="Arial"/>
                <w:color w:val="000000"/>
                <w:sz w:val="20"/>
                <w:szCs w:val="20"/>
              </w:rPr>
              <w:t xml:space="preserve">La ubicación de todas las obras públicas. </w:t>
            </w:r>
          </w:p>
        </w:tc>
        <w:tc>
          <w:tcPr>
            <w:tcW w:w="1197" w:type="dxa"/>
            <w:tcBorders>
              <w:top w:val="nil"/>
              <w:left w:val="nil"/>
              <w:bottom w:val="single" w:sz="4" w:space="0" w:color="auto"/>
              <w:right w:val="single" w:sz="4" w:space="0" w:color="auto"/>
            </w:tcBorders>
            <w:shd w:val="clear" w:color="auto" w:fill="auto"/>
            <w:vAlign w:val="center"/>
            <w:hideMark/>
          </w:tcPr>
          <w:p w14:paraId="0B074275" w14:textId="77777777" w:rsidR="0020458B" w:rsidRPr="00B92499" w:rsidRDefault="0020458B" w:rsidP="0020458B">
            <w:pPr>
              <w:jc w:val="center"/>
              <w:rPr>
                <w:rFonts w:ascii="Arial" w:hAnsi="Arial" w:cs="Arial"/>
                <w:color w:val="000000"/>
                <w:sz w:val="20"/>
                <w:szCs w:val="20"/>
              </w:rPr>
            </w:pPr>
            <w:r w:rsidRPr="00B92499">
              <w:rPr>
                <w:rFonts w:ascii="Arial" w:hAnsi="Arial" w:cs="Arial"/>
                <w:color w:val="000000"/>
                <w:sz w:val="20"/>
                <w:szCs w:val="20"/>
              </w:rPr>
              <w:t>100</w:t>
            </w:r>
          </w:p>
        </w:tc>
      </w:tr>
      <w:tr w:rsidR="0020458B" w:rsidRPr="00B92499" w14:paraId="06DD9F6B" w14:textId="77777777" w:rsidTr="0020458B">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69B95FE" w14:textId="77777777" w:rsidR="0020458B" w:rsidRPr="00B92499" w:rsidRDefault="0020458B">
            <w:pPr>
              <w:jc w:val="center"/>
              <w:rPr>
                <w:rFonts w:ascii="Arial" w:hAnsi="Arial" w:cs="Arial"/>
                <w:color w:val="000000"/>
                <w:sz w:val="20"/>
                <w:szCs w:val="20"/>
              </w:rPr>
            </w:pPr>
            <w:r w:rsidRPr="00B92499">
              <w:rPr>
                <w:rFonts w:ascii="Arial" w:hAnsi="Arial" w:cs="Arial"/>
                <w:color w:val="000000"/>
                <w:sz w:val="20"/>
                <w:szCs w:val="20"/>
              </w:rPr>
              <w:t>LIV</w:t>
            </w:r>
          </w:p>
        </w:tc>
        <w:tc>
          <w:tcPr>
            <w:tcW w:w="0" w:type="auto"/>
            <w:tcBorders>
              <w:top w:val="nil"/>
              <w:left w:val="nil"/>
              <w:bottom w:val="single" w:sz="4" w:space="0" w:color="auto"/>
              <w:right w:val="single" w:sz="4" w:space="0" w:color="auto"/>
            </w:tcBorders>
            <w:shd w:val="clear" w:color="auto" w:fill="auto"/>
            <w:vAlign w:val="center"/>
            <w:hideMark/>
          </w:tcPr>
          <w:p w14:paraId="09D5F816" w14:textId="77777777" w:rsidR="0020458B" w:rsidRPr="00B92499" w:rsidRDefault="0020458B" w:rsidP="003C6FE5">
            <w:pPr>
              <w:jc w:val="both"/>
              <w:rPr>
                <w:rFonts w:ascii="Arial" w:hAnsi="Arial" w:cs="Arial"/>
                <w:color w:val="000000"/>
                <w:sz w:val="20"/>
                <w:szCs w:val="20"/>
              </w:rPr>
            </w:pPr>
            <w:r w:rsidRPr="00B92499">
              <w:rPr>
                <w:rFonts w:ascii="Arial" w:hAnsi="Arial" w:cs="Arial"/>
                <w:color w:val="000000"/>
                <w:sz w:val="20"/>
                <w:szCs w:val="20"/>
              </w:rPr>
              <w:t xml:space="preserve">Personas beneficiadas, la temporalidad, los montos y todo aquello relacionado con el acto administrativo de los incentivos, condonaciones, reducciones fiscales, concesiones, permisos o licencias, entre otros actos. </w:t>
            </w:r>
          </w:p>
        </w:tc>
        <w:tc>
          <w:tcPr>
            <w:tcW w:w="1197" w:type="dxa"/>
            <w:tcBorders>
              <w:top w:val="nil"/>
              <w:left w:val="nil"/>
              <w:bottom w:val="single" w:sz="4" w:space="0" w:color="auto"/>
              <w:right w:val="single" w:sz="4" w:space="0" w:color="auto"/>
            </w:tcBorders>
            <w:shd w:val="clear" w:color="auto" w:fill="auto"/>
            <w:vAlign w:val="center"/>
            <w:hideMark/>
          </w:tcPr>
          <w:p w14:paraId="709B0A0E" w14:textId="77777777" w:rsidR="0020458B" w:rsidRPr="00B92499" w:rsidRDefault="0020458B" w:rsidP="0020458B">
            <w:pPr>
              <w:jc w:val="center"/>
              <w:rPr>
                <w:rFonts w:ascii="Arial" w:hAnsi="Arial" w:cs="Arial"/>
                <w:color w:val="000000"/>
                <w:sz w:val="20"/>
                <w:szCs w:val="20"/>
              </w:rPr>
            </w:pPr>
            <w:r w:rsidRPr="00B92499">
              <w:rPr>
                <w:rFonts w:ascii="Arial" w:hAnsi="Arial" w:cs="Arial"/>
                <w:color w:val="000000"/>
                <w:sz w:val="20"/>
                <w:szCs w:val="20"/>
              </w:rPr>
              <w:t>100</w:t>
            </w:r>
          </w:p>
        </w:tc>
      </w:tr>
      <w:tr w:rsidR="0020458B" w:rsidRPr="00B92499" w14:paraId="518E16CA" w14:textId="77777777" w:rsidTr="0020458B">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F3987BC" w14:textId="77777777" w:rsidR="0020458B" w:rsidRPr="00B92499" w:rsidRDefault="0020458B">
            <w:pPr>
              <w:jc w:val="center"/>
              <w:rPr>
                <w:rFonts w:ascii="Arial" w:hAnsi="Arial" w:cs="Arial"/>
                <w:color w:val="000000"/>
                <w:sz w:val="20"/>
                <w:szCs w:val="20"/>
              </w:rPr>
            </w:pPr>
            <w:r w:rsidRPr="00B92499">
              <w:rPr>
                <w:rFonts w:ascii="Arial" w:hAnsi="Arial" w:cs="Arial"/>
                <w:color w:val="000000"/>
                <w:sz w:val="20"/>
                <w:szCs w:val="20"/>
              </w:rPr>
              <w:t>IV</w:t>
            </w:r>
          </w:p>
        </w:tc>
        <w:tc>
          <w:tcPr>
            <w:tcW w:w="0" w:type="auto"/>
            <w:tcBorders>
              <w:top w:val="nil"/>
              <w:left w:val="nil"/>
              <w:bottom w:val="single" w:sz="4" w:space="0" w:color="auto"/>
              <w:right w:val="single" w:sz="4" w:space="0" w:color="auto"/>
            </w:tcBorders>
            <w:shd w:val="clear" w:color="auto" w:fill="auto"/>
            <w:vAlign w:val="center"/>
            <w:hideMark/>
          </w:tcPr>
          <w:p w14:paraId="5D193C85" w14:textId="77777777" w:rsidR="0020458B" w:rsidRPr="00B92499" w:rsidRDefault="0020458B" w:rsidP="003C6FE5">
            <w:pPr>
              <w:jc w:val="both"/>
              <w:rPr>
                <w:rFonts w:ascii="Arial" w:hAnsi="Arial" w:cs="Arial"/>
                <w:color w:val="000000"/>
                <w:sz w:val="20"/>
                <w:szCs w:val="20"/>
              </w:rPr>
            </w:pPr>
            <w:r w:rsidRPr="00B92499">
              <w:rPr>
                <w:rFonts w:ascii="Arial" w:hAnsi="Arial" w:cs="Arial"/>
                <w:color w:val="000000"/>
                <w:sz w:val="20"/>
                <w:szCs w:val="20"/>
              </w:rPr>
              <w:t xml:space="preserve">Metas y objetivos de la Dirección. </w:t>
            </w:r>
          </w:p>
        </w:tc>
        <w:tc>
          <w:tcPr>
            <w:tcW w:w="1197" w:type="dxa"/>
            <w:tcBorders>
              <w:top w:val="nil"/>
              <w:left w:val="nil"/>
              <w:bottom w:val="single" w:sz="4" w:space="0" w:color="auto"/>
              <w:right w:val="single" w:sz="4" w:space="0" w:color="auto"/>
            </w:tcBorders>
            <w:shd w:val="clear" w:color="auto" w:fill="auto"/>
            <w:vAlign w:val="center"/>
            <w:hideMark/>
          </w:tcPr>
          <w:p w14:paraId="2C3392A9" w14:textId="77777777" w:rsidR="0020458B" w:rsidRPr="00B92499" w:rsidRDefault="0020458B" w:rsidP="0020458B">
            <w:pPr>
              <w:jc w:val="center"/>
              <w:rPr>
                <w:rFonts w:ascii="Arial" w:hAnsi="Arial" w:cs="Arial"/>
                <w:color w:val="000000"/>
                <w:sz w:val="20"/>
                <w:szCs w:val="20"/>
              </w:rPr>
            </w:pPr>
            <w:r w:rsidRPr="00B92499">
              <w:rPr>
                <w:rFonts w:ascii="Arial" w:hAnsi="Arial" w:cs="Arial"/>
                <w:color w:val="000000"/>
                <w:sz w:val="20"/>
                <w:szCs w:val="20"/>
              </w:rPr>
              <w:t>100</w:t>
            </w:r>
          </w:p>
        </w:tc>
      </w:tr>
      <w:tr w:rsidR="0020458B" w:rsidRPr="00B92499" w14:paraId="5D1C43E8" w14:textId="77777777" w:rsidTr="0020458B">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30D2277" w14:textId="77777777" w:rsidR="0020458B" w:rsidRPr="00B92499" w:rsidRDefault="0020458B">
            <w:pPr>
              <w:jc w:val="center"/>
              <w:rPr>
                <w:rFonts w:ascii="Arial" w:hAnsi="Arial" w:cs="Arial"/>
                <w:color w:val="000000"/>
                <w:sz w:val="20"/>
                <w:szCs w:val="20"/>
              </w:rPr>
            </w:pPr>
            <w:r w:rsidRPr="00B92499">
              <w:rPr>
                <w:rFonts w:ascii="Arial" w:hAnsi="Arial" w:cs="Arial"/>
                <w:color w:val="000000"/>
                <w:sz w:val="20"/>
                <w:szCs w:val="20"/>
              </w:rPr>
              <w:t>V</w:t>
            </w:r>
          </w:p>
        </w:tc>
        <w:tc>
          <w:tcPr>
            <w:tcW w:w="0" w:type="auto"/>
            <w:tcBorders>
              <w:top w:val="nil"/>
              <w:left w:val="nil"/>
              <w:bottom w:val="single" w:sz="4" w:space="0" w:color="auto"/>
              <w:right w:val="single" w:sz="4" w:space="0" w:color="auto"/>
            </w:tcBorders>
            <w:shd w:val="clear" w:color="auto" w:fill="auto"/>
            <w:vAlign w:val="center"/>
            <w:hideMark/>
          </w:tcPr>
          <w:p w14:paraId="39F01C54" w14:textId="77777777" w:rsidR="0020458B" w:rsidRPr="00B92499" w:rsidRDefault="0020458B" w:rsidP="003C6FE5">
            <w:pPr>
              <w:jc w:val="both"/>
              <w:rPr>
                <w:rFonts w:ascii="Arial" w:hAnsi="Arial" w:cs="Arial"/>
                <w:color w:val="000000"/>
                <w:sz w:val="20"/>
                <w:szCs w:val="20"/>
              </w:rPr>
            </w:pPr>
            <w:r w:rsidRPr="00B92499">
              <w:rPr>
                <w:rFonts w:ascii="Arial" w:hAnsi="Arial" w:cs="Arial"/>
                <w:color w:val="000000"/>
                <w:sz w:val="20"/>
                <w:szCs w:val="20"/>
              </w:rPr>
              <w:t>Indicadores de temas de interés público.</w:t>
            </w:r>
          </w:p>
        </w:tc>
        <w:tc>
          <w:tcPr>
            <w:tcW w:w="1197" w:type="dxa"/>
            <w:tcBorders>
              <w:top w:val="nil"/>
              <w:left w:val="nil"/>
              <w:bottom w:val="single" w:sz="4" w:space="0" w:color="auto"/>
              <w:right w:val="single" w:sz="4" w:space="0" w:color="auto"/>
            </w:tcBorders>
            <w:shd w:val="clear" w:color="auto" w:fill="auto"/>
            <w:vAlign w:val="center"/>
            <w:hideMark/>
          </w:tcPr>
          <w:p w14:paraId="4B7B87F9" w14:textId="77777777" w:rsidR="0020458B" w:rsidRPr="00B92499" w:rsidRDefault="0020458B" w:rsidP="0020458B">
            <w:pPr>
              <w:jc w:val="center"/>
              <w:rPr>
                <w:rFonts w:ascii="Arial" w:hAnsi="Arial" w:cs="Arial"/>
                <w:color w:val="000000"/>
                <w:sz w:val="20"/>
                <w:szCs w:val="20"/>
              </w:rPr>
            </w:pPr>
            <w:r w:rsidRPr="00B92499">
              <w:rPr>
                <w:rFonts w:ascii="Arial" w:hAnsi="Arial" w:cs="Arial"/>
                <w:color w:val="000000"/>
                <w:sz w:val="20"/>
                <w:szCs w:val="20"/>
              </w:rPr>
              <w:t>100</w:t>
            </w:r>
          </w:p>
        </w:tc>
      </w:tr>
      <w:tr w:rsidR="0020458B" w:rsidRPr="00B92499" w14:paraId="79D172B2" w14:textId="77777777" w:rsidTr="0020458B">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065FD11" w14:textId="77777777" w:rsidR="0020458B" w:rsidRPr="00B92499" w:rsidRDefault="0020458B">
            <w:pPr>
              <w:jc w:val="center"/>
              <w:rPr>
                <w:rFonts w:ascii="Arial" w:hAnsi="Arial" w:cs="Arial"/>
                <w:color w:val="000000"/>
                <w:sz w:val="20"/>
                <w:szCs w:val="20"/>
              </w:rPr>
            </w:pPr>
            <w:r w:rsidRPr="00B92499">
              <w:rPr>
                <w:rFonts w:ascii="Arial" w:hAnsi="Arial" w:cs="Arial"/>
                <w:color w:val="000000"/>
                <w:sz w:val="20"/>
                <w:szCs w:val="20"/>
              </w:rPr>
              <w:t>VIII</w:t>
            </w:r>
          </w:p>
        </w:tc>
        <w:tc>
          <w:tcPr>
            <w:tcW w:w="0" w:type="auto"/>
            <w:tcBorders>
              <w:top w:val="nil"/>
              <w:left w:val="nil"/>
              <w:bottom w:val="single" w:sz="4" w:space="0" w:color="auto"/>
              <w:right w:val="single" w:sz="4" w:space="0" w:color="auto"/>
            </w:tcBorders>
            <w:shd w:val="clear" w:color="auto" w:fill="auto"/>
            <w:vAlign w:val="center"/>
            <w:hideMark/>
          </w:tcPr>
          <w:p w14:paraId="03AA2A3B" w14:textId="77777777" w:rsidR="0020458B" w:rsidRPr="00B92499" w:rsidRDefault="0020458B" w:rsidP="003C6FE5">
            <w:pPr>
              <w:jc w:val="both"/>
              <w:rPr>
                <w:rFonts w:ascii="Arial" w:hAnsi="Arial" w:cs="Arial"/>
                <w:color w:val="000000"/>
                <w:sz w:val="20"/>
                <w:szCs w:val="20"/>
              </w:rPr>
            </w:pPr>
            <w:r w:rsidRPr="00B92499">
              <w:rPr>
                <w:rFonts w:ascii="Arial" w:hAnsi="Arial" w:cs="Arial"/>
                <w:color w:val="000000"/>
                <w:sz w:val="20"/>
                <w:szCs w:val="20"/>
              </w:rPr>
              <w:t>Directorio del área.</w:t>
            </w:r>
          </w:p>
        </w:tc>
        <w:tc>
          <w:tcPr>
            <w:tcW w:w="1197" w:type="dxa"/>
            <w:tcBorders>
              <w:top w:val="nil"/>
              <w:left w:val="nil"/>
              <w:bottom w:val="single" w:sz="4" w:space="0" w:color="auto"/>
              <w:right w:val="single" w:sz="4" w:space="0" w:color="auto"/>
            </w:tcBorders>
            <w:shd w:val="clear" w:color="auto" w:fill="auto"/>
            <w:vAlign w:val="center"/>
            <w:hideMark/>
          </w:tcPr>
          <w:p w14:paraId="3222BDA0" w14:textId="77777777" w:rsidR="0020458B" w:rsidRPr="00B92499" w:rsidRDefault="0020458B" w:rsidP="0020458B">
            <w:pPr>
              <w:jc w:val="center"/>
              <w:rPr>
                <w:rFonts w:ascii="Arial" w:hAnsi="Arial" w:cs="Arial"/>
                <w:color w:val="000000"/>
                <w:sz w:val="20"/>
                <w:szCs w:val="20"/>
              </w:rPr>
            </w:pPr>
            <w:r w:rsidRPr="00B92499">
              <w:rPr>
                <w:rFonts w:ascii="Arial" w:hAnsi="Arial" w:cs="Arial"/>
                <w:color w:val="000000"/>
                <w:sz w:val="20"/>
                <w:szCs w:val="20"/>
              </w:rPr>
              <w:t>100</w:t>
            </w:r>
          </w:p>
        </w:tc>
      </w:tr>
      <w:tr w:rsidR="0020458B" w:rsidRPr="00B92499" w14:paraId="0238BD90" w14:textId="77777777" w:rsidTr="0020458B">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32A131E" w14:textId="77777777" w:rsidR="0020458B" w:rsidRPr="00B92499" w:rsidRDefault="0020458B">
            <w:pPr>
              <w:jc w:val="center"/>
              <w:rPr>
                <w:rFonts w:ascii="Arial" w:hAnsi="Arial" w:cs="Arial"/>
                <w:color w:val="000000"/>
                <w:sz w:val="20"/>
                <w:szCs w:val="20"/>
              </w:rPr>
            </w:pPr>
            <w:r w:rsidRPr="00B92499">
              <w:rPr>
                <w:rFonts w:ascii="Arial" w:hAnsi="Arial" w:cs="Arial"/>
                <w:color w:val="000000"/>
                <w:sz w:val="20"/>
                <w:szCs w:val="20"/>
              </w:rPr>
              <w:t>IX</w:t>
            </w:r>
          </w:p>
        </w:tc>
        <w:tc>
          <w:tcPr>
            <w:tcW w:w="0" w:type="auto"/>
            <w:tcBorders>
              <w:top w:val="nil"/>
              <w:left w:val="nil"/>
              <w:bottom w:val="single" w:sz="4" w:space="0" w:color="auto"/>
              <w:right w:val="single" w:sz="4" w:space="0" w:color="auto"/>
            </w:tcBorders>
            <w:shd w:val="clear" w:color="auto" w:fill="auto"/>
            <w:vAlign w:val="center"/>
            <w:hideMark/>
          </w:tcPr>
          <w:p w14:paraId="302C5ADD" w14:textId="64BEA2B8" w:rsidR="0020458B" w:rsidRPr="00B92499" w:rsidRDefault="0020458B" w:rsidP="003C6FE5">
            <w:pPr>
              <w:jc w:val="both"/>
              <w:rPr>
                <w:rFonts w:ascii="Arial" w:hAnsi="Arial" w:cs="Arial"/>
                <w:color w:val="000000"/>
                <w:sz w:val="20"/>
                <w:szCs w:val="20"/>
              </w:rPr>
            </w:pPr>
            <w:r w:rsidRPr="00B92499">
              <w:rPr>
                <w:rFonts w:ascii="Arial" w:hAnsi="Arial" w:cs="Arial"/>
                <w:color w:val="000000"/>
                <w:sz w:val="20"/>
                <w:szCs w:val="20"/>
              </w:rPr>
              <w:t>Remuneraciones mensual bruta y neta</w:t>
            </w:r>
            <w:r w:rsidR="003C6FE5" w:rsidRPr="00B92499">
              <w:rPr>
                <w:rFonts w:ascii="Arial" w:hAnsi="Arial" w:cs="Arial"/>
                <w:color w:val="000000"/>
                <w:sz w:val="20"/>
                <w:szCs w:val="20"/>
              </w:rPr>
              <w:t>.</w:t>
            </w:r>
          </w:p>
        </w:tc>
        <w:tc>
          <w:tcPr>
            <w:tcW w:w="1197" w:type="dxa"/>
            <w:tcBorders>
              <w:top w:val="nil"/>
              <w:left w:val="nil"/>
              <w:bottom w:val="single" w:sz="4" w:space="0" w:color="auto"/>
              <w:right w:val="single" w:sz="4" w:space="0" w:color="auto"/>
            </w:tcBorders>
            <w:shd w:val="clear" w:color="auto" w:fill="auto"/>
            <w:vAlign w:val="center"/>
            <w:hideMark/>
          </w:tcPr>
          <w:p w14:paraId="30A69898" w14:textId="77777777" w:rsidR="0020458B" w:rsidRPr="00B92499" w:rsidRDefault="0020458B" w:rsidP="0020458B">
            <w:pPr>
              <w:jc w:val="center"/>
              <w:rPr>
                <w:rFonts w:ascii="Arial" w:hAnsi="Arial" w:cs="Arial"/>
                <w:color w:val="000000"/>
                <w:sz w:val="20"/>
                <w:szCs w:val="20"/>
              </w:rPr>
            </w:pPr>
            <w:r w:rsidRPr="00B92499">
              <w:rPr>
                <w:rFonts w:ascii="Arial" w:hAnsi="Arial" w:cs="Arial"/>
                <w:color w:val="000000"/>
                <w:sz w:val="20"/>
                <w:szCs w:val="20"/>
              </w:rPr>
              <w:t>100</w:t>
            </w:r>
          </w:p>
        </w:tc>
      </w:tr>
      <w:tr w:rsidR="0020458B" w:rsidRPr="00B92499" w14:paraId="645044D1" w14:textId="77777777" w:rsidTr="0020458B">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5CCF595" w14:textId="77777777" w:rsidR="0020458B" w:rsidRPr="00B92499" w:rsidRDefault="0020458B">
            <w:pPr>
              <w:jc w:val="center"/>
              <w:rPr>
                <w:rFonts w:ascii="Arial" w:hAnsi="Arial" w:cs="Arial"/>
                <w:color w:val="000000"/>
                <w:sz w:val="20"/>
                <w:szCs w:val="20"/>
              </w:rPr>
            </w:pPr>
            <w:r w:rsidRPr="00B92499">
              <w:rPr>
                <w:rFonts w:ascii="Arial" w:hAnsi="Arial" w:cs="Arial"/>
                <w:color w:val="000000"/>
                <w:sz w:val="20"/>
                <w:szCs w:val="20"/>
              </w:rPr>
              <w:t>XIII</w:t>
            </w:r>
          </w:p>
        </w:tc>
        <w:tc>
          <w:tcPr>
            <w:tcW w:w="0" w:type="auto"/>
            <w:tcBorders>
              <w:top w:val="nil"/>
              <w:left w:val="nil"/>
              <w:bottom w:val="single" w:sz="4" w:space="0" w:color="auto"/>
              <w:right w:val="single" w:sz="4" w:space="0" w:color="auto"/>
            </w:tcBorders>
            <w:shd w:val="clear" w:color="auto" w:fill="auto"/>
            <w:vAlign w:val="center"/>
            <w:hideMark/>
          </w:tcPr>
          <w:p w14:paraId="32F63EC8" w14:textId="77777777" w:rsidR="0020458B" w:rsidRPr="00B92499" w:rsidRDefault="0020458B" w:rsidP="003C6FE5">
            <w:pPr>
              <w:jc w:val="both"/>
              <w:rPr>
                <w:rFonts w:ascii="Arial" w:hAnsi="Arial" w:cs="Arial"/>
                <w:color w:val="000000"/>
                <w:sz w:val="20"/>
                <w:szCs w:val="20"/>
              </w:rPr>
            </w:pPr>
            <w:r w:rsidRPr="00B92499">
              <w:rPr>
                <w:rFonts w:ascii="Arial" w:hAnsi="Arial" w:cs="Arial"/>
                <w:color w:val="000000"/>
                <w:sz w:val="20"/>
                <w:szCs w:val="20"/>
              </w:rPr>
              <w:t>Declaraciones 3de3.</w:t>
            </w:r>
          </w:p>
        </w:tc>
        <w:tc>
          <w:tcPr>
            <w:tcW w:w="1197" w:type="dxa"/>
            <w:tcBorders>
              <w:top w:val="nil"/>
              <w:left w:val="nil"/>
              <w:bottom w:val="single" w:sz="4" w:space="0" w:color="auto"/>
              <w:right w:val="single" w:sz="4" w:space="0" w:color="auto"/>
            </w:tcBorders>
            <w:shd w:val="clear" w:color="auto" w:fill="auto"/>
            <w:vAlign w:val="center"/>
            <w:hideMark/>
          </w:tcPr>
          <w:p w14:paraId="2BD34D7B" w14:textId="77777777" w:rsidR="0020458B" w:rsidRPr="00B92499" w:rsidRDefault="0020458B" w:rsidP="0020458B">
            <w:pPr>
              <w:jc w:val="center"/>
              <w:rPr>
                <w:rFonts w:ascii="Arial" w:hAnsi="Arial" w:cs="Arial"/>
                <w:color w:val="000000"/>
                <w:sz w:val="20"/>
                <w:szCs w:val="20"/>
              </w:rPr>
            </w:pPr>
            <w:r w:rsidRPr="00B92499">
              <w:rPr>
                <w:rFonts w:ascii="Arial" w:hAnsi="Arial" w:cs="Arial"/>
                <w:color w:val="000000"/>
                <w:sz w:val="20"/>
                <w:szCs w:val="20"/>
              </w:rPr>
              <w:t>100</w:t>
            </w:r>
          </w:p>
        </w:tc>
      </w:tr>
      <w:tr w:rsidR="0020458B" w:rsidRPr="00B92499" w14:paraId="779E9B33" w14:textId="77777777" w:rsidTr="0020458B">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66CFDA8" w14:textId="77777777" w:rsidR="0020458B" w:rsidRPr="00B92499" w:rsidRDefault="0020458B">
            <w:pPr>
              <w:jc w:val="center"/>
              <w:rPr>
                <w:rFonts w:ascii="Arial" w:hAnsi="Arial" w:cs="Arial"/>
                <w:color w:val="000000"/>
                <w:sz w:val="20"/>
                <w:szCs w:val="20"/>
              </w:rPr>
            </w:pPr>
            <w:r w:rsidRPr="00B92499">
              <w:rPr>
                <w:rFonts w:ascii="Arial" w:hAnsi="Arial" w:cs="Arial"/>
                <w:color w:val="000000"/>
                <w:sz w:val="20"/>
                <w:szCs w:val="20"/>
              </w:rPr>
              <w:t>XIV</w:t>
            </w:r>
          </w:p>
        </w:tc>
        <w:tc>
          <w:tcPr>
            <w:tcW w:w="0" w:type="auto"/>
            <w:tcBorders>
              <w:top w:val="nil"/>
              <w:left w:val="nil"/>
              <w:bottom w:val="single" w:sz="4" w:space="0" w:color="auto"/>
              <w:right w:val="single" w:sz="4" w:space="0" w:color="auto"/>
            </w:tcBorders>
            <w:shd w:val="clear" w:color="auto" w:fill="auto"/>
            <w:vAlign w:val="center"/>
            <w:hideMark/>
          </w:tcPr>
          <w:p w14:paraId="4E4C2046" w14:textId="77777777" w:rsidR="0020458B" w:rsidRPr="00B92499" w:rsidRDefault="0020458B" w:rsidP="003C6FE5">
            <w:pPr>
              <w:jc w:val="both"/>
              <w:rPr>
                <w:rFonts w:ascii="Arial" w:hAnsi="Arial" w:cs="Arial"/>
                <w:color w:val="000000"/>
                <w:sz w:val="20"/>
                <w:szCs w:val="20"/>
              </w:rPr>
            </w:pPr>
            <w:r w:rsidRPr="00B92499">
              <w:rPr>
                <w:rFonts w:ascii="Arial" w:hAnsi="Arial" w:cs="Arial"/>
                <w:color w:val="000000"/>
                <w:sz w:val="20"/>
                <w:szCs w:val="20"/>
              </w:rPr>
              <w:t>Domicilio de la Unidad de Transparencia.</w:t>
            </w:r>
          </w:p>
        </w:tc>
        <w:tc>
          <w:tcPr>
            <w:tcW w:w="1197" w:type="dxa"/>
            <w:tcBorders>
              <w:top w:val="nil"/>
              <w:left w:val="nil"/>
              <w:bottom w:val="single" w:sz="4" w:space="0" w:color="auto"/>
              <w:right w:val="single" w:sz="4" w:space="0" w:color="auto"/>
            </w:tcBorders>
            <w:shd w:val="clear" w:color="auto" w:fill="auto"/>
            <w:vAlign w:val="center"/>
            <w:hideMark/>
          </w:tcPr>
          <w:p w14:paraId="597EFC36" w14:textId="77777777" w:rsidR="0020458B" w:rsidRPr="00B92499" w:rsidRDefault="0020458B" w:rsidP="0020458B">
            <w:pPr>
              <w:jc w:val="center"/>
              <w:rPr>
                <w:rFonts w:ascii="Arial" w:hAnsi="Arial" w:cs="Arial"/>
                <w:color w:val="000000"/>
                <w:sz w:val="20"/>
                <w:szCs w:val="20"/>
              </w:rPr>
            </w:pPr>
            <w:r w:rsidRPr="00B92499">
              <w:rPr>
                <w:rFonts w:ascii="Arial" w:hAnsi="Arial" w:cs="Arial"/>
                <w:color w:val="000000"/>
                <w:sz w:val="20"/>
                <w:szCs w:val="20"/>
              </w:rPr>
              <w:t>100</w:t>
            </w:r>
          </w:p>
        </w:tc>
      </w:tr>
      <w:tr w:rsidR="0020458B" w:rsidRPr="00B92499" w14:paraId="2407359A" w14:textId="77777777" w:rsidTr="0020458B">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AB4EFD6" w14:textId="77777777" w:rsidR="0020458B" w:rsidRPr="00B92499" w:rsidRDefault="0020458B">
            <w:pPr>
              <w:jc w:val="center"/>
              <w:rPr>
                <w:rFonts w:ascii="Arial" w:hAnsi="Arial" w:cs="Arial"/>
                <w:color w:val="000000"/>
                <w:sz w:val="20"/>
                <w:szCs w:val="20"/>
              </w:rPr>
            </w:pPr>
            <w:r w:rsidRPr="00B92499">
              <w:rPr>
                <w:rFonts w:ascii="Arial" w:hAnsi="Arial" w:cs="Arial"/>
                <w:color w:val="000000"/>
                <w:sz w:val="20"/>
                <w:szCs w:val="20"/>
              </w:rPr>
              <w:t>XV</w:t>
            </w:r>
          </w:p>
        </w:tc>
        <w:tc>
          <w:tcPr>
            <w:tcW w:w="0" w:type="auto"/>
            <w:tcBorders>
              <w:top w:val="nil"/>
              <w:left w:val="nil"/>
              <w:bottom w:val="single" w:sz="4" w:space="0" w:color="auto"/>
              <w:right w:val="single" w:sz="4" w:space="0" w:color="auto"/>
            </w:tcBorders>
            <w:shd w:val="clear" w:color="auto" w:fill="auto"/>
            <w:vAlign w:val="center"/>
            <w:hideMark/>
          </w:tcPr>
          <w:p w14:paraId="2A61A568" w14:textId="77777777" w:rsidR="0020458B" w:rsidRPr="00B92499" w:rsidRDefault="0020458B" w:rsidP="003C6FE5">
            <w:pPr>
              <w:jc w:val="both"/>
              <w:rPr>
                <w:rFonts w:ascii="Arial" w:hAnsi="Arial" w:cs="Arial"/>
                <w:color w:val="000000"/>
                <w:sz w:val="20"/>
                <w:szCs w:val="20"/>
              </w:rPr>
            </w:pPr>
            <w:r w:rsidRPr="00B92499">
              <w:rPr>
                <w:rFonts w:ascii="Arial" w:hAnsi="Arial" w:cs="Arial"/>
                <w:color w:val="000000"/>
                <w:sz w:val="20"/>
                <w:szCs w:val="20"/>
              </w:rPr>
              <w:t>Información curricular y perfil de puestos.</w:t>
            </w:r>
          </w:p>
        </w:tc>
        <w:tc>
          <w:tcPr>
            <w:tcW w:w="1197" w:type="dxa"/>
            <w:tcBorders>
              <w:top w:val="nil"/>
              <w:left w:val="nil"/>
              <w:bottom w:val="single" w:sz="4" w:space="0" w:color="auto"/>
              <w:right w:val="single" w:sz="4" w:space="0" w:color="auto"/>
            </w:tcBorders>
            <w:shd w:val="clear" w:color="auto" w:fill="auto"/>
            <w:vAlign w:val="center"/>
            <w:hideMark/>
          </w:tcPr>
          <w:p w14:paraId="7F135740" w14:textId="77777777" w:rsidR="0020458B" w:rsidRPr="00B92499" w:rsidRDefault="0020458B" w:rsidP="0020458B">
            <w:pPr>
              <w:jc w:val="center"/>
              <w:rPr>
                <w:rFonts w:ascii="Arial" w:hAnsi="Arial" w:cs="Arial"/>
                <w:color w:val="000000"/>
                <w:sz w:val="20"/>
                <w:szCs w:val="20"/>
              </w:rPr>
            </w:pPr>
            <w:r w:rsidRPr="00B92499">
              <w:rPr>
                <w:rFonts w:ascii="Arial" w:hAnsi="Arial" w:cs="Arial"/>
                <w:color w:val="000000"/>
                <w:sz w:val="20"/>
                <w:szCs w:val="20"/>
              </w:rPr>
              <w:t>100</w:t>
            </w:r>
          </w:p>
        </w:tc>
      </w:tr>
      <w:tr w:rsidR="0020458B" w:rsidRPr="00B92499" w14:paraId="71B0D12C" w14:textId="77777777" w:rsidTr="0020458B">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3A01875" w14:textId="77777777" w:rsidR="0020458B" w:rsidRPr="00B92499" w:rsidRDefault="0020458B">
            <w:pPr>
              <w:jc w:val="center"/>
              <w:rPr>
                <w:rFonts w:ascii="Arial" w:hAnsi="Arial" w:cs="Arial"/>
                <w:color w:val="000000"/>
                <w:sz w:val="20"/>
                <w:szCs w:val="20"/>
              </w:rPr>
            </w:pPr>
            <w:r w:rsidRPr="00B92499">
              <w:rPr>
                <w:rFonts w:ascii="Arial" w:hAnsi="Arial" w:cs="Arial"/>
                <w:color w:val="000000"/>
                <w:sz w:val="20"/>
                <w:szCs w:val="20"/>
              </w:rPr>
              <w:t>XVI</w:t>
            </w:r>
          </w:p>
        </w:tc>
        <w:tc>
          <w:tcPr>
            <w:tcW w:w="0" w:type="auto"/>
            <w:tcBorders>
              <w:top w:val="nil"/>
              <w:left w:val="nil"/>
              <w:bottom w:val="single" w:sz="4" w:space="0" w:color="auto"/>
              <w:right w:val="single" w:sz="4" w:space="0" w:color="auto"/>
            </w:tcBorders>
            <w:shd w:val="clear" w:color="auto" w:fill="auto"/>
            <w:vAlign w:val="center"/>
            <w:hideMark/>
          </w:tcPr>
          <w:p w14:paraId="6FD70D3A" w14:textId="77777777" w:rsidR="0020458B" w:rsidRPr="00B92499" w:rsidRDefault="0020458B" w:rsidP="003C6FE5">
            <w:pPr>
              <w:jc w:val="both"/>
              <w:rPr>
                <w:rFonts w:ascii="Arial" w:hAnsi="Arial" w:cs="Arial"/>
                <w:color w:val="000000"/>
                <w:sz w:val="20"/>
                <w:szCs w:val="20"/>
              </w:rPr>
            </w:pPr>
            <w:r w:rsidRPr="00B92499">
              <w:rPr>
                <w:rFonts w:ascii="Arial" w:hAnsi="Arial" w:cs="Arial"/>
                <w:color w:val="000000"/>
                <w:sz w:val="20"/>
                <w:szCs w:val="20"/>
              </w:rPr>
              <w:t>Condiciones generales de trabajo, contratos y convenios que regulen la relación laboral, recursos otorgados a sindicatos.</w:t>
            </w:r>
          </w:p>
        </w:tc>
        <w:tc>
          <w:tcPr>
            <w:tcW w:w="1197" w:type="dxa"/>
            <w:tcBorders>
              <w:top w:val="nil"/>
              <w:left w:val="nil"/>
              <w:bottom w:val="single" w:sz="4" w:space="0" w:color="auto"/>
              <w:right w:val="single" w:sz="4" w:space="0" w:color="auto"/>
            </w:tcBorders>
            <w:shd w:val="clear" w:color="auto" w:fill="auto"/>
            <w:vAlign w:val="center"/>
            <w:hideMark/>
          </w:tcPr>
          <w:p w14:paraId="28236A46" w14:textId="77777777" w:rsidR="0020458B" w:rsidRPr="00B92499" w:rsidRDefault="0020458B" w:rsidP="0020458B">
            <w:pPr>
              <w:jc w:val="center"/>
              <w:rPr>
                <w:rFonts w:ascii="Arial" w:hAnsi="Arial" w:cs="Arial"/>
                <w:color w:val="000000"/>
                <w:sz w:val="20"/>
                <w:szCs w:val="20"/>
              </w:rPr>
            </w:pPr>
            <w:r w:rsidRPr="00B92499">
              <w:rPr>
                <w:rFonts w:ascii="Arial" w:hAnsi="Arial" w:cs="Arial"/>
                <w:color w:val="000000"/>
                <w:sz w:val="20"/>
                <w:szCs w:val="20"/>
              </w:rPr>
              <w:t>100</w:t>
            </w:r>
          </w:p>
        </w:tc>
      </w:tr>
      <w:tr w:rsidR="0020458B" w:rsidRPr="00B92499" w14:paraId="6CF26AF5" w14:textId="77777777" w:rsidTr="0020458B">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7558BB5" w14:textId="77777777" w:rsidR="0020458B" w:rsidRPr="00B92499" w:rsidRDefault="0020458B">
            <w:pPr>
              <w:jc w:val="center"/>
              <w:rPr>
                <w:rFonts w:ascii="Arial" w:hAnsi="Arial" w:cs="Arial"/>
                <w:color w:val="000000"/>
                <w:sz w:val="20"/>
                <w:szCs w:val="20"/>
              </w:rPr>
            </w:pPr>
            <w:r w:rsidRPr="00B92499">
              <w:rPr>
                <w:rFonts w:ascii="Arial" w:hAnsi="Arial" w:cs="Arial"/>
                <w:color w:val="000000"/>
                <w:sz w:val="20"/>
                <w:szCs w:val="20"/>
              </w:rPr>
              <w:t>XVII</w:t>
            </w:r>
          </w:p>
        </w:tc>
        <w:tc>
          <w:tcPr>
            <w:tcW w:w="0" w:type="auto"/>
            <w:tcBorders>
              <w:top w:val="nil"/>
              <w:left w:val="nil"/>
              <w:bottom w:val="single" w:sz="4" w:space="0" w:color="auto"/>
              <w:right w:val="single" w:sz="4" w:space="0" w:color="auto"/>
            </w:tcBorders>
            <w:shd w:val="clear" w:color="auto" w:fill="auto"/>
            <w:vAlign w:val="center"/>
            <w:hideMark/>
          </w:tcPr>
          <w:p w14:paraId="17DD6903" w14:textId="77777777" w:rsidR="0020458B" w:rsidRPr="00B92499" w:rsidRDefault="0020458B" w:rsidP="003C6FE5">
            <w:pPr>
              <w:jc w:val="both"/>
              <w:rPr>
                <w:rFonts w:ascii="Arial" w:hAnsi="Arial" w:cs="Arial"/>
                <w:color w:val="000000"/>
                <w:sz w:val="20"/>
                <w:szCs w:val="20"/>
              </w:rPr>
            </w:pPr>
            <w:r w:rsidRPr="00B92499">
              <w:rPr>
                <w:rFonts w:ascii="Arial" w:hAnsi="Arial" w:cs="Arial"/>
                <w:color w:val="000000"/>
                <w:sz w:val="20"/>
                <w:szCs w:val="20"/>
              </w:rPr>
              <w:t>CV de jefe de departamento para arriba.</w:t>
            </w:r>
          </w:p>
        </w:tc>
        <w:tc>
          <w:tcPr>
            <w:tcW w:w="1197" w:type="dxa"/>
            <w:tcBorders>
              <w:top w:val="nil"/>
              <w:left w:val="nil"/>
              <w:bottom w:val="single" w:sz="4" w:space="0" w:color="auto"/>
              <w:right w:val="single" w:sz="4" w:space="0" w:color="auto"/>
            </w:tcBorders>
            <w:shd w:val="clear" w:color="auto" w:fill="auto"/>
            <w:vAlign w:val="center"/>
            <w:hideMark/>
          </w:tcPr>
          <w:p w14:paraId="24124BCB" w14:textId="77777777" w:rsidR="0020458B" w:rsidRPr="00B92499" w:rsidRDefault="0020458B" w:rsidP="0020458B">
            <w:pPr>
              <w:jc w:val="center"/>
              <w:rPr>
                <w:rFonts w:ascii="Arial" w:hAnsi="Arial" w:cs="Arial"/>
                <w:color w:val="000000"/>
                <w:sz w:val="20"/>
                <w:szCs w:val="20"/>
              </w:rPr>
            </w:pPr>
            <w:r w:rsidRPr="00B92499">
              <w:rPr>
                <w:rFonts w:ascii="Arial" w:hAnsi="Arial" w:cs="Arial"/>
                <w:color w:val="000000"/>
                <w:sz w:val="20"/>
                <w:szCs w:val="20"/>
              </w:rPr>
              <w:t>100</w:t>
            </w:r>
          </w:p>
        </w:tc>
      </w:tr>
      <w:tr w:rsidR="0020458B" w:rsidRPr="00B92499" w14:paraId="388B2F1D" w14:textId="77777777" w:rsidTr="0020458B">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AFE2C65" w14:textId="77777777" w:rsidR="0020458B" w:rsidRPr="00B92499" w:rsidRDefault="0020458B">
            <w:pPr>
              <w:jc w:val="center"/>
              <w:rPr>
                <w:rFonts w:ascii="Arial" w:hAnsi="Arial" w:cs="Arial"/>
                <w:color w:val="000000"/>
                <w:sz w:val="20"/>
                <w:szCs w:val="20"/>
              </w:rPr>
            </w:pPr>
            <w:r w:rsidRPr="00B92499">
              <w:rPr>
                <w:rFonts w:ascii="Arial" w:hAnsi="Arial" w:cs="Arial"/>
                <w:color w:val="000000"/>
                <w:sz w:val="20"/>
                <w:szCs w:val="20"/>
              </w:rPr>
              <w:t>XIX</w:t>
            </w:r>
          </w:p>
        </w:tc>
        <w:tc>
          <w:tcPr>
            <w:tcW w:w="0" w:type="auto"/>
            <w:tcBorders>
              <w:top w:val="nil"/>
              <w:left w:val="nil"/>
              <w:bottom w:val="single" w:sz="4" w:space="0" w:color="auto"/>
              <w:right w:val="single" w:sz="4" w:space="0" w:color="auto"/>
            </w:tcBorders>
            <w:shd w:val="clear" w:color="auto" w:fill="auto"/>
            <w:vAlign w:val="center"/>
            <w:hideMark/>
          </w:tcPr>
          <w:p w14:paraId="73F9EE0A" w14:textId="77777777" w:rsidR="0020458B" w:rsidRPr="00B92499" w:rsidRDefault="0020458B" w:rsidP="003C6FE5">
            <w:pPr>
              <w:jc w:val="both"/>
              <w:rPr>
                <w:rFonts w:ascii="Arial" w:hAnsi="Arial" w:cs="Arial"/>
                <w:color w:val="000000"/>
                <w:sz w:val="20"/>
                <w:szCs w:val="20"/>
              </w:rPr>
            </w:pPr>
            <w:r w:rsidRPr="00B92499">
              <w:rPr>
                <w:rFonts w:ascii="Arial" w:hAnsi="Arial" w:cs="Arial"/>
                <w:color w:val="000000"/>
                <w:sz w:val="20"/>
                <w:szCs w:val="20"/>
              </w:rPr>
              <w:t>Servicios que ofrecen y requisitos para acceder a ellos.</w:t>
            </w:r>
          </w:p>
        </w:tc>
        <w:tc>
          <w:tcPr>
            <w:tcW w:w="1197" w:type="dxa"/>
            <w:tcBorders>
              <w:top w:val="nil"/>
              <w:left w:val="nil"/>
              <w:bottom w:val="single" w:sz="4" w:space="0" w:color="auto"/>
              <w:right w:val="single" w:sz="4" w:space="0" w:color="auto"/>
            </w:tcBorders>
            <w:shd w:val="clear" w:color="auto" w:fill="auto"/>
            <w:vAlign w:val="center"/>
            <w:hideMark/>
          </w:tcPr>
          <w:p w14:paraId="562DDD2F" w14:textId="77777777" w:rsidR="0020458B" w:rsidRPr="00B92499" w:rsidRDefault="0020458B" w:rsidP="0020458B">
            <w:pPr>
              <w:jc w:val="center"/>
              <w:rPr>
                <w:rFonts w:ascii="Arial" w:hAnsi="Arial" w:cs="Arial"/>
                <w:color w:val="000000"/>
                <w:sz w:val="20"/>
                <w:szCs w:val="20"/>
              </w:rPr>
            </w:pPr>
            <w:r w:rsidRPr="00B92499">
              <w:rPr>
                <w:rFonts w:ascii="Arial" w:hAnsi="Arial" w:cs="Arial"/>
                <w:color w:val="000000"/>
                <w:sz w:val="20"/>
                <w:szCs w:val="20"/>
              </w:rPr>
              <w:t>100</w:t>
            </w:r>
          </w:p>
        </w:tc>
      </w:tr>
      <w:tr w:rsidR="0020458B" w:rsidRPr="00B92499" w14:paraId="55BB66A4" w14:textId="77777777" w:rsidTr="0020458B">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E9B399C" w14:textId="77777777" w:rsidR="0020458B" w:rsidRPr="00B92499" w:rsidRDefault="0020458B">
            <w:pPr>
              <w:jc w:val="center"/>
              <w:rPr>
                <w:rFonts w:ascii="Arial" w:hAnsi="Arial" w:cs="Arial"/>
                <w:color w:val="000000"/>
                <w:sz w:val="20"/>
                <w:szCs w:val="20"/>
              </w:rPr>
            </w:pPr>
            <w:r w:rsidRPr="00B92499">
              <w:rPr>
                <w:rFonts w:ascii="Arial" w:hAnsi="Arial" w:cs="Arial"/>
                <w:color w:val="000000"/>
                <w:sz w:val="20"/>
                <w:szCs w:val="20"/>
              </w:rPr>
              <w:t>XX</w:t>
            </w:r>
          </w:p>
        </w:tc>
        <w:tc>
          <w:tcPr>
            <w:tcW w:w="0" w:type="auto"/>
            <w:tcBorders>
              <w:top w:val="nil"/>
              <w:left w:val="nil"/>
              <w:bottom w:val="single" w:sz="4" w:space="0" w:color="auto"/>
              <w:right w:val="single" w:sz="4" w:space="0" w:color="auto"/>
            </w:tcBorders>
            <w:shd w:val="clear" w:color="auto" w:fill="auto"/>
            <w:vAlign w:val="center"/>
            <w:hideMark/>
          </w:tcPr>
          <w:p w14:paraId="33FDF9DA" w14:textId="77777777" w:rsidR="0020458B" w:rsidRPr="00B92499" w:rsidRDefault="0020458B" w:rsidP="003C6FE5">
            <w:pPr>
              <w:jc w:val="both"/>
              <w:rPr>
                <w:rFonts w:ascii="Arial" w:hAnsi="Arial" w:cs="Arial"/>
                <w:color w:val="000000"/>
                <w:sz w:val="20"/>
                <w:szCs w:val="20"/>
              </w:rPr>
            </w:pPr>
            <w:r w:rsidRPr="00B92499">
              <w:rPr>
                <w:rFonts w:ascii="Arial" w:hAnsi="Arial" w:cs="Arial"/>
                <w:color w:val="000000"/>
                <w:sz w:val="20"/>
                <w:szCs w:val="20"/>
              </w:rPr>
              <w:t>Trámites que ofrecen y requisitos.</w:t>
            </w:r>
          </w:p>
        </w:tc>
        <w:tc>
          <w:tcPr>
            <w:tcW w:w="1197" w:type="dxa"/>
            <w:tcBorders>
              <w:top w:val="nil"/>
              <w:left w:val="nil"/>
              <w:bottom w:val="single" w:sz="4" w:space="0" w:color="auto"/>
              <w:right w:val="single" w:sz="4" w:space="0" w:color="auto"/>
            </w:tcBorders>
            <w:shd w:val="clear" w:color="auto" w:fill="auto"/>
            <w:vAlign w:val="center"/>
            <w:hideMark/>
          </w:tcPr>
          <w:p w14:paraId="3166F46A" w14:textId="77777777" w:rsidR="0020458B" w:rsidRPr="00B92499" w:rsidRDefault="0020458B" w:rsidP="0020458B">
            <w:pPr>
              <w:jc w:val="center"/>
              <w:rPr>
                <w:rFonts w:ascii="Arial" w:hAnsi="Arial" w:cs="Arial"/>
                <w:color w:val="000000"/>
                <w:sz w:val="20"/>
                <w:szCs w:val="20"/>
              </w:rPr>
            </w:pPr>
            <w:r w:rsidRPr="00B92499">
              <w:rPr>
                <w:rFonts w:ascii="Arial" w:hAnsi="Arial" w:cs="Arial"/>
                <w:color w:val="000000"/>
                <w:sz w:val="20"/>
                <w:szCs w:val="20"/>
              </w:rPr>
              <w:t>100</w:t>
            </w:r>
          </w:p>
        </w:tc>
      </w:tr>
      <w:tr w:rsidR="0020458B" w:rsidRPr="00B92499" w14:paraId="3E78715B" w14:textId="77777777" w:rsidTr="0020458B">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15D7D25" w14:textId="77777777" w:rsidR="0020458B" w:rsidRPr="00B92499" w:rsidRDefault="0020458B">
            <w:pPr>
              <w:jc w:val="center"/>
              <w:rPr>
                <w:rFonts w:ascii="Arial" w:hAnsi="Arial" w:cs="Arial"/>
                <w:color w:val="000000"/>
                <w:sz w:val="20"/>
                <w:szCs w:val="20"/>
              </w:rPr>
            </w:pPr>
            <w:r w:rsidRPr="00B92499">
              <w:rPr>
                <w:rFonts w:ascii="Arial" w:hAnsi="Arial" w:cs="Arial"/>
                <w:color w:val="000000"/>
                <w:sz w:val="20"/>
                <w:szCs w:val="20"/>
              </w:rPr>
              <w:t>XXII</w:t>
            </w:r>
          </w:p>
        </w:tc>
        <w:tc>
          <w:tcPr>
            <w:tcW w:w="0" w:type="auto"/>
            <w:tcBorders>
              <w:top w:val="nil"/>
              <w:left w:val="nil"/>
              <w:bottom w:val="single" w:sz="4" w:space="0" w:color="auto"/>
              <w:right w:val="single" w:sz="4" w:space="0" w:color="auto"/>
            </w:tcBorders>
            <w:shd w:val="clear" w:color="auto" w:fill="auto"/>
            <w:vAlign w:val="center"/>
            <w:hideMark/>
          </w:tcPr>
          <w:p w14:paraId="4A96A691" w14:textId="77777777" w:rsidR="0020458B" w:rsidRPr="00B92499" w:rsidRDefault="0020458B" w:rsidP="003C6FE5">
            <w:pPr>
              <w:jc w:val="both"/>
              <w:rPr>
                <w:rFonts w:ascii="Arial" w:hAnsi="Arial" w:cs="Arial"/>
                <w:color w:val="000000"/>
                <w:sz w:val="20"/>
                <w:szCs w:val="20"/>
              </w:rPr>
            </w:pPr>
            <w:r w:rsidRPr="00B92499">
              <w:rPr>
                <w:rFonts w:ascii="Arial" w:hAnsi="Arial" w:cs="Arial"/>
                <w:color w:val="000000"/>
                <w:sz w:val="20"/>
                <w:szCs w:val="20"/>
              </w:rPr>
              <w:t>Programas Operativos Anuales y de trabajo.</w:t>
            </w:r>
          </w:p>
        </w:tc>
        <w:tc>
          <w:tcPr>
            <w:tcW w:w="1197" w:type="dxa"/>
            <w:tcBorders>
              <w:top w:val="nil"/>
              <w:left w:val="nil"/>
              <w:bottom w:val="single" w:sz="4" w:space="0" w:color="auto"/>
              <w:right w:val="single" w:sz="4" w:space="0" w:color="auto"/>
            </w:tcBorders>
            <w:shd w:val="clear" w:color="auto" w:fill="auto"/>
            <w:vAlign w:val="center"/>
            <w:hideMark/>
          </w:tcPr>
          <w:p w14:paraId="1080F660" w14:textId="77777777" w:rsidR="0020458B" w:rsidRPr="00B92499" w:rsidRDefault="0020458B" w:rsidP="0020458B">
            <w:pPr>
              <w:jc w:val="center"/>
              <w:rPr>
                <w:rFonts w:ascii="Arial" w:hAnsi="Arial" w:cs="Arial"/>
                <w:color w:val="000000"/>
                <w:sz w:val="20"/>
                <w:szCs w:val="20"/>
              </w:rPr>
            </w:pPr>
            <w:r w:rsidRPr="00B92499">
              <w:rPr>
                <w:rFonts w:ascii="Arial" w:hAnsi="Arial" w:cs="Arial"/>
                <w:color w:val="000000"/>
                <w:sz w:val="20"/>
                <w:szCs w:val="20"/>
              </w:rPr>
              <w:t>100</w:t>
            </w:r>
          </w:p>
        </w:tc>
      </w:tr>
      <w:tr w:rsidR="0020458B" w:rsidRPr="00B92499" w14:paraId="3699DB6A" w14:textId="77777777" w:rsidTr="0020458B">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DA1778B" w14:textId="77777777" w:rsidR="0020458B" w:rsidRPr="00B92499" w:rsidRDefault="0020458B">
            <w:pPr>
              <w:jc w:val="center"/>
              <w:rPr>
                <w:rFonts w:ascii="Arial" w:hAnsi="Arial" w:cs="Arial"/>
                <w:color w:val="000000"/>
                <w:sz w:val="20"/>
                <w:szCs w:val="20"/>
              </w:rPr>
            </w:pPr>
            <w:r w:rsidRPr="00B92499">
              <w:rPr>
                <w:rFonts w:ascii="Arial" w:hAnsi="Arial" w:cs="Arial"/>
                <w:color w:val="000000"/>
                <w:sz w:val="20"/>
                <w:szCs w:val="20"/>
              </w:rPr>
              <w:t>XXIV</w:t>
            </w:r>
          </w:p>
        </w:tc>
        <w:tc>
          <w:tcPr>
            <w:tcW w:w="0" w:type="auto"/>
            <w:tcBorders>
              <w:top w:val="nil"/>
              <w:left w:val="nil"/>
              <w:bottom w:val="single" w:sz="4" w:space="0" w:color="auto"/>
              <w:right w:val="single" w:sz="4" w:space="0" w:color="auto"/>
            </w:tcBorders>
            <w:shd w:val="clear" w:color="auto" w:fill="auto"/>
            <w:vAlign w:val="center"/>
            <w:hideMark/>
          </w:tcPr>
          <w:p w14:paraId="2673CDEA" w14:textId="77777777" w:rsidR="0020458B" w:rsidRPr="00B92499" w:rsidRDefault="0020458B" w:rsidP="003C6FE5">
            <w:pPr>
              <w:jc w:val="both"/>
              <w:rPr>
                <w:rFonts w:ascii="Arial" w:hAnsi="Arial" w:cs="Arial"/>
                <w:color w:val="000000"/>
                <w:sz w:val="20"/>
                <w:szCs w:val="20"/>
              </w:rPr>
            </w:pPr>
            <w:r w:rsidRPr="00B92499">
              <w:rPr>
                <w:rFonts w:ascii="Arial" w:hAnsi="Arial" w:cs="Arial"/>
                <w:color w:val="000000"/>
                <w:sz w:val="20"/>
                <w:szCs w:val="20"/>
              </w:rPr>
              <w:t>Información relativa a la cuenta y deuda públicas.</w:t>
            </w:r>
          </w:p>
        </w:tc>
        <w:tc>
          <w:tcPr>
            <w:tcW w:w="1197" w:type="dxa"/>
            <w:tcBorders>
              <w:top w:val="nil"/>
              <w:left w:val="nil"/>
              <w:bottom w:val="single" w:sz="4" w:space="0" w:color="auto"/>
              <w:right w:val="single" w:sz="4" w:space="0" w:color="auto"/>
            </w:tcBorders>
            <w:shd w:val="clear" w:color="auto" w:fill="auto"/>
            <w:vAlign w:val="center"/>
            <w:hideMark/>
          </w:tcPr>
          <w:p w14:paraId="43AF493F" w14:textId="77777777" w:rsidR="0020458B" w:rsidRPr="00B92499" w:rsidRDefault="0020458B" w:rsidP="0020458B">
            <w:pPr>
              <w:jc w:val="center"/>
              <w:rPr>
                <w:rFonts w:ascii="Arial" w:hAnsi="Arial" w:cs="Arial"/>
                <w:color w:val="000000"/>
                <w:sz w:val="20"/>
                <w:szCs w:val="20"/>
              </w:rPr>
            </w:pPr>
            <w:r w:rsidRPr="00B92499">
              <w:rPr>
                <w:rFonts w:ascii="Arial" w:hAnsi="Arial" w:cs="Arial"/>
                <w:color w:val="000000"/>
                <w:sz w:val="20"/>
                <w:szCs w:val="20"/>
              </w:rPr>
              <w:t>100</w:t>
            </w:r>
          </w:p>
        </w:tc>
      </w:tr>
      <w:tr w:rsidR="0020458B" w:rsidRPr="00B92499" w14:paraId="64BDF91C" w14:textId="77777777" w:rsidTr="0020458B">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7835011" w14:textId="77777777" w:rsidR="0020458B" w:rsidRPr="00B92499" w:rsidRDefault="0020458B">
            <w:pPr>
              <w:jc w:val="center"/>
              <w:rPr>
                <w:rFonts w:ascii="Arial" w:hAnsi="Arial" w:cs="Arial"/>
                <w:color w:val="000000"/>
                <w:sz w:val="20"/>
                <w:szCs w:val="20"/>
              </w:rPr>
            </w:pPr>
            <w:r w:rsidRPr="00B92499">
              <w:rPr>
                <w:rFonts w:ascii="Arial" w:hAnsi="Arial" w:cs="Arial"/>
                <w:color w:val="000000"/>
                <w:sz w:val="20"/>
                <w:szCs w:val="20"/>
              </w:rPr>
              <w:t>XXVI</w:t>
            </w:r>
          </w:p>
        </w:tc>
        <w:tc>
          <w:tcPr>
            <w:tcW w:w="0" w:type="auto"/>
            <w:tcBorders>
              <w:top w:val="nil"/>
              <w:left w:val="nil"/>
              <w:bottom w:val="single" w:sz="4" w:space="0" w:color="auto"/>
              <w:right w:val="single" w:sz="4" w:space="0" w:color="auto"/>
            </w:tcBorders>
            <w:shd w:val="clear" w:color="auto" w:fill="auto"/>
            <w:vAlign w:val="center"/>
            <w:hideMark/>
          </w:tcPr>
          <w:p w14:paraId="13A37EDC" w14:textId="32709986" w:rsidR="0020458B" w:rsidRPr="00B92499" w:rsidRDefault="0020458B" w:rsidP="003C6FE5">
            <w:pPr>
              <w:jc w:val="both"/>
              <w:rPr>
                <w:rFonts w:ascii="Arial" w:hAnsi="Arial" w:cs="Arial"/>
                <w:color w:val="000000"/>
                <w:sz w:val="20"/>
                <w:szCs w:val="20"/>
              </w:rPr>
            </w:pPr>
            <w:r w:rsidRPr="00B92499">
              <w:rPr>
                <w:rFonts w:ascii="Arial" w:hAnsi="Arial" w:cs="Arial"/>
                <w:color w:val="000000"/>
                <w:sz w:val="20"/>
                <w:szCs w:val="20"/>
              </w:rPr>
              <w:t xml:space="preserve">Informes de resultados de </w:t>
            </w:r>
            <w:r w:rsidR="00C7683E" w:rsidRPr="00B92499">
              <w:rPr>
                <w:rFonts w:ascii="Arial" w:hAnsi="Arial" w:cs="Arial"/>
                <w:color w:val="000000"/>
                <w:sz w:val="20"/>
                <w:szCs w:val="20"/>
              </w:rPr>
              <w:t>auditorías</w:t>
            </w:r>
            <w:r w:rsidRPr="00B92499">
              <w:rPr>
                <w:rFonts w:ascii="Arial" w:hAnsi="Arial" w:cs="Arial"/>
                <w:color w:val="000000"/>
                <w:sz w:val="20"/>
                <w:szCs w:val="20"/>
              </w:rPr>
              <w:t>.</w:t>
            </w:r>
          </w:p>
        </w:tc>
        <w:tc>
          <w:tcPr>
            <w:tcW w:w="1197" w:type="dxa"/>
            <w:tcBorders>
              <w:top w:val="nil"/>
              <w:left w:val="nil"/>
              <w:bottom w:val="single" w:sz="4" w:space="0" w:color="auto"/>
              <w:right w:val="single" w:sz="4" w:space="0" w:color="auto"/>
            </w:tcBorders>
            <w:shd w:val="clear" w:color="auto" w:fill="auto"/>
            <w:vAlign w:val="center"/>
            <w:hideMark/>
          </w:tcPr>
          <w:p w14:paraId="024679DE" w14:textId="77777777" w:rsidR="0020458B" w:rsidRPr="00B92499" w:rsidRDefault="0020458B" w:rsidP="0020458B">
            <w:pPr>
              <w:jc w:val="center"/>
              <w:rPr>
                <w:rFonts w:ascii="Arial" w:hAnsi="Arial" w:cs="Arial"/>
                <w:color w:val="000000"/>
                <w:sz w:val="20"/>
                <w:szCs w:val="20"/>
              </w:rPr>
            </w:pPr>
            <w:r w:rsidRPr="00B92499">
              <w:rPr>
                <w:rFonts w:ascii="Arial" w:hAnsi="Arial" w:cs="Arial"/>
                <w:color w:val="000000"/>
                <w:sz w:val="20"/>
                <w:szCs w:val="20"/>
              </w:rPr>
              <w:t>100</w:t>
            </w:r>
          </w:p>
        </w:tc>
      </w:tr>
      <w:tr w:rsidR="0020458B" w:rsidRPr="00B92499" w14:paraId="60C25D4B" w14:textId="77777777" w:rsidTr="0020458B">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70AA19B" w14:textId="77777777" w:rsidR="0020458B" w:rsidRPr="00B92499" w:rsidRDefault="0020458B">
            <w:pPr>
              <w:jc w:val="center"/>
              <w:rPr>
                <w:rFonts w:ascii="Arial" w:hAnsi="Arial" w:cs="Arial"/>
                <w:color w:val="000000"/>
                <w:sz w:val="20"/>
                <w:szCs w:val="20"/>
              </w:rPr>
            </w:pPr>
            <w:r w:rsidRPr="00B92499">
              <w:rPr>
                <w:rFonts w:ascii="Arial" w:hAnsi="Arial" w:cs="Arial"/>
                <w:color w:val="000000"/>
                <w:sz w:val="20"/>
                <w:szCs w:val="20"/>
              </w:rPr>
              <w:t>XXVIII</w:t>
            </w:r>
          </w:p>
        </w:tc>
        <w:tc>
          <w:tcPr>
            <w:tcW w:w="0" w:type="auto"/>
            <w:tcBorders>
              <w:top w:val="nil"/>
              <w:left w:val="nil"/>
              <w:bottom w:val="single" w:sz="4" w:space="0" w:color="auto"/>
              <w:right w:val="single" w:sz="4" w:space="0" w:color="auto"/>
            </w:tcBorders>
            <w:shd w:val="clear" w:color="auto" w:fill="auto"/>
            <w:vAlign w:val="center"/>
            <w:hideMark/>
          </w:tcPr>
          <w:p w14:paraId="1DE6A083" w14:textId="77777777" w:rsidR="0020458B" w:rsidRPr="00B92499" w:rsidRDefault="0020458B" w:rsidP="003C6FE5">
            <w:pPr>
              <w:jc w:val="both"/>
              <w:rPr>
                <w:rFonts w:ascii="Arial" w:hAnsi="Arial" w:cs="Arial"/>
                <w:color w:val="000000"/>
                <w:sz w:val="20"/>
                <w:szCs w:val="20"/>
              </w:rPr>
            </w:pPr>
            <w:r w:rsidRPr="00B92499">
              <w:rPr>
                <w:rFonts w:ascii="Arial" w:hAnsi="Arial" w:cs="Arial"/>
                <w:color w:val="000000"/>
                <w:sz w:val="20"/>
                <w:szCs w:val="20"/>
              </w:rPr>
              <w:t xml:space="preserve">Montos, criterios, convocatoria y convocatorias de personas físicas y morales que reciban recursos públicos o realicen actos de autoridad. </w:t>
            </w:r>
          </w:p>
        </w:tc>
        <w:tc>
          <w:tcPr>
            <w:tcW w:w="1197" w:type="dxa"/>
            <w:tcBorders>
              <w:top w:val="nil"/>
              <w:left w:val="nil"/>
              <w:bottom w:val="single" w:sz="4" w:space="0" w:color="auto"/>
              <w:right w:val="single" w:sz="4" w:space="0" w:color="auto"/>
            </w:tcBorders>
            <w:shd w:val="clear" w:color="auto" w:fill="auto"/>
            <w:vAlign w:val="center"/>
            <w:hideMark/>
          </w:tcPr>
          <w:p w14:paraId="33A875F7" w14:textId="77777777" w:rsidR="0020458B" w:rsidRPr="00B92499" w:rsidRDefault="0020458B" w:rsidP="0020458B">
            <w:pPr>
              <w:jc w:val="center"/>
              <w:rPr>
                <w:rFonts w:ascii="Arial" w:hAnsi="Arial" w:cs="Arial"/>
                <w:color w:val="000000"/>
                <w:sz w:val="20"/>
                <w:szCs w:val="20"/>
              </w:rPr>
            </w:pPr>
            <w:r w:rsidRPr="00B92499">
              <w:rPr>
                <w:rFonts w:ascii="Arial" w:hAnsi="Arial" w:cs="Arial"/>
                <w:color w:val="000000"/>
                <w:sz w:val="20"/>
                <w:szCs w:val="20"/>
              </w:rPr>
              <w:t>100</w:t>
            </w:r>
          </w:p>
        </w:tc>
      </w:tr>
      <w:tr w:rsidR="0020458B" w:rsidRPr="00B92499" w14:paraId="2DA1F49F" w14:textId="77777777" w:rsidTr="0020458B">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B81FAE9" w14:textId="77777777" w:rsidR="0020458B" w:rsidRPr="00B92499" w:rsidRDefault="0020458B">
            <w:pPr>
              <w:jc w:val="center"/>
              <w:rPr>
                <w:rFonts w:ascii="Arial" w:hAnsi="Arial" w:cs="Arial"/>
                <w:color w:val="000000"/>
                <w:sz w:val="20"/>
                <w:szCs w:val="20"/>
              </w:rPr>
            </w:pPr>
            <w:r w:rsidRPr="00B92499">
              <w:rPr>
                <w:rFonts w:ascii="Arial" w:hAnsi="Arial" w:cs="Arial"/>
                <w:color w:val="000000"/>
                <w:sz w:val="20"/>
                <w:szCs w:val="20"/>
              </w:rPr>
              <w:t>XXXII</w:t>
            </w:r>
          </w:p>
        </w:tc>
        <w:tc>
          <w:tcPr>
            <w:tcW w:w="0" w:type="auto"/>
            <w:tcBorders>
              <w:top w:val="nil"/>
              <w:left w:val="nil"/>
              <w:bottom w:val="single" w:sz="4" w:space="0" w:color="auto"/>
              <w:right w:val="single" w:sz="4" w:space="0" w:color="auto"/>
            </w:tcBorders>
            <w:shd w:val="clear" w:color="auto" w:fill="auto"/>
            <w:vAlign w:val="center"/>
            <w:hideMark/>
          </w:tcPr>
          <w:p w14:paraId="64838F5D" w14:textId="77777777" w:rsidR="0020458B" w:rsidRPr="00B92499" w:rsidRDefault="0020458B" w:rsidP="003C6FE5">
            <w:pPr>
              <w:jc w:val="both"/>
              <w:rPr>
                <w:rFonts w:ascii="Arial" w:hAnsi="Arial" w:cs="Arial"/>
                <w:color w:val="000000"/>
                <w:sz w:val="20"/>
                <w:szCs w:val="20"/>
              </w:rPr>
            </w:pPr>
            <w:r w:rsidRPr="00B92499">
              <w:rPr>
                <w:rFonts w:ascii="Arial" w:hAnsi="Arial" w:cs="Arial"/>
                <w:color w:val="000000"/>
                <w:sz w:val="20"/>
                <w:szCs w:val="20"/>
              </w:rPr>
              <w:t>Estadísticas que generen.</w:t>
            </w:r>
          </w:p>
        </w:tc>
        <w:tc>
          <w:tcPr>
            <w:tcW w:w="1197" w:type="dxa"/>
            <w:tcBorders>
              <w:top w:val="nil"/>
              <w:left w:val="nil"/>
              <w:bottom w:val="single" w:sz="4" w:space="0" w:color="auto"/>
              <w:right w:val="single" w:sz="4" w:space="0" w:color="auto"/>
            </w:tcBorders>
            <w:shd w:val="clear" w:color="auto" w:fill="auto"/>
            <w:vAlign w:val="center"/>
            <w:hideMark/>
          </w:tcPr>
          <w:p w14:paraId="261FD102" w14:textId="77777777" w:rsidR="0020458B" w:rsidRPr="00B92499" w:rsidRDefault="0020458B" w:rsidP="0020458B">
            <w:pPr>
              <w:jc w:val="center"/>
              <w:rPr>
                <w:rFonts w:ascii="Arial" w:hAnsi="Arial" w:cs="Arial"/>
                <w:color w:val="000000"/>
                <w:sz w:val="20"/>
                <w:szCs w:val="20"/>
              </w:rPr>
            </w:pPr>
            <w:r w:rsidRPr="00B92499">
              <w:rPr>
                <w:rFonts w:ascii="Arial" w:hAnsi="Arial" w:cs="Arial"/>
                <w:color w:val="000000"/>
                <w:sz w:val="20"/>
                <w:szCs w:val="20"/>
              </w:rPr>
              <w:t>100</w:t>
            </w:r>
          </w:p>
        </w:tc>
      </w:tr>
      <w:tr w:rsidR="0020458B" w:rsidRPr="00B92499" w14:paraId="38AA2BAF" w14:textId="77777777" w:rsidTr="0020458B">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93248C3" w14:textId="77777777" w:rsidR="0020458B" w:rsidRPr="00B92499" w:rsidRDefault="0020458B">
            <w:pPr>
              <w:jc w:val="center"/>
              <w:rPr>
                <w:rFonts w:ascii="Arial" w:hAnsi="Arial" w:cs="Arial"/>
                <w:color w:val="000000"/>
                <w:sz w:val="20"/>
                <w:szCs w:val="20"/>
              </w:rPr>
            </w:pPr>
            <w:r w:rsidRPr="00B92499">
              <w:rPr>
                <w:rFonts w:ascii="Arial" w:hAnsi="Arial" w:cs="Arial"/>
                <w:color w:val="000000"/>
                <w:sz w:val="20"/>
                <w:szCs w:val="20"/>
              </w:rPr>
              <w:t>XXXIV</w:t>
            </w:r>
          </w:p>
        </w:tc>
        <w:tc>
          <w:tcPr>
            <w:tcW w:w="0" w:type="auto"/>
            <w:tcBorders>
              <w:top w:val="nil"/>
              <w:left w:val="nil"/>
              <w:bottom w:val="single" w:sz="4" w:space="0" w:color="auto"/>
              <w:right w:val="single" w:sz="4" w:space="0" w:color="auto"/>
            </w:tcBorders>
            <w:shd w:val="clear" w:color="auto" w:fill="auto"/>
            <w:vAlign w:val="center"/>
            <w:hideMark/>
          </w:tcPr>
          <w:p w14:paraId="591E21E0" w14:textId="77777777" w:rsidR="0020458B" w:rsidRPr="00B92499" w:rsidRDefault="0020458B" w:rsidP="003C6FE5">
            <w:pPr>
              <w:jc w:val="both"/>
              <w:rPr>
                <w:rFonts w:ascii="Arial" w:hAnsi="Arial" w:cs="Arial"/>
                <w:color w:val="000000"/>
                <w:sz w:val="20"/>
                <w:szCs w:val="20"/>
              </w:rPr>
            </w:pPr>
            <w:r w:rsidRPr="00B92499">
              <w:rPr>
                <w:rFonts w:ascii="Arial" w:hAnsi="Arial" w:cs="Arial"/>
                <w:color w:val="000000"/>
                <w:sz w:val="20"/>
                <w:szCs w:val="20"/>
              </w:rPr>
              <w:t xml:space="preserve">Padrón de proveedores y contratistas. </w:t>
            </w:r>
          </w:p>
        </w:tc>
        <w:tc>
          <w:tcPr>
            <w:tcW w:w="1197" w:type="dxa"/>
            <w:tcBorders>
              <w:top w:val="nil"/>
              <w:left w:val="nil"/>
              <w:bottom w:val="single" w:sz="4" w:space="0" w:color="auto"/>
              <w:right w:val="single" w:sz="4" w:space="0" w:color="auto"/>
            </w:tcBorders>
            <w:shd w:val="clear" w:color="auto" w:fill="auto"/>
            <w:vAlign w:val="center"/>
            <w:hideMark/>
          </w:tcPr>
          <w:p w14:paraId="740681B0" w14:textId="77777777" w:rsidR="0020458B" w:rsidRPr="00B92499" w:rsidRDefault="0020458B" w:rsidP="0020458B">
            <w:pPr>
              <w:jc w:val="center"/>
              <w:rPr>
                <w:rFonts w:ascii="Arial" w:hAnsi="Arial" w:cs="Arial"/>
                <w:color w:val="000000"/>
                <w:sz w:val="20"/>
                <w:szCs w:val="20"/>
              </w:rPr>
            </w:pPr>
            <w:r w:rsidRPr="00B92499">
              <w:rPr>
                <w:rFonts w:ascii="Arial" w:hAnsi="Arial" w:cs="Arial"/>
                <w:color w:val="000000"/>
                <w:sz w:val="20"/>
                <w:szCs w:val="20"/>
              </w:rPr>
              <w:t>100</w:t>
            </w:r>
          </w:p>
        </w:tc>
      </w:tr>
      <w:tr w:rsidR="0020458B" w:rsidRPr="00B92499" w14:paraId="76A41055" w14:textId="77777777" w:rsidTr="0020458B">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35A9E08" w14:textId="77777777" w:rsidR="0020458B" w:rsidRPr="00B92499" w:rsidRDefault="0020458B">
            <w:pPr>
              <w:jc w:val="center"/>
              <w:rPr>
                <w:rFonts w:ascii="Arial" w:hAnsi="Arial" w:cs="Arial"/>
                <w:color w:val="000000"/>
                <w:sz w:val="20"/>
                <w:szCs w:val="20"/>
              </w:rPr>
            </w:pPr>
            <w:r w:rsidRPr="00B92499">
              <w:rPr>
                <w:rFonts w:ascii="Arial" w:hAnsi="Arial" w:cs="Arial"/>
                <w:color w:val="000000"/>
                <w:sz w:val="20"/>
                <w:szCs w:val="20"/>
              </w:rPr>
              <w:t>XL</w:t>
            </w:r>
          </w:p>
        </w:tc>
        <w:tc>
          <w:tcPr>
            <w:tcW w:w="0" w:type="auto"/>
            <w:tcBorders>
              <w:top w:val="nil"/>
              <w:left w:val="nil"/>
              <w:bottom w:val="single" w:sz="4" w:space="0" w:color="auto"/>
              <w:right w:val="single" w:sz="4" w:space="0" w:color="auto"/>
            </w:tcBorders>
            <w:shd w:val="clear" w:color="auto" w:fill="auto"/>
            <w:vAlign w:val="center"/>
            <w:hideMark/>
          </w:tcPr>
          <w:p w14:paraId="766D815A" w14:textId="77777777" w:rsidR="0020458B" w:rsidRPr="00B92499" w:rsidRDefault="0020458B" w:rsidP="003C6FE5">
            <w:pPr>
              <w:jc w:val="both"/>
              <w:rPr>
                <w:rFonts w:ascii="Arial" w:hAnsi="Arial" w:cs="Arial"/>
                <w:color w:val="000000"/>
                <w:sz w:val="20"/>
                <w:szCs w:val="20"/>
              </w:rPr>
            </w:pPr>
            <w:r w:rsidRPr="00B92499">
              <w:rPr>
                <w:rFonts w:ascii="Arial" w:hAnsi="Arial" w:cs="Arial"/>
                <w:color w:val="000000"/>
                <w:sz w:val="20"/>
                <w:szCs w:val="20"/>
              </w:rPr>
              <w:t>Mecanismos de participación ciudadana.</w:t>
            </w:r>
          </w:p>
        </w:tc>
        <w:tc>
          <w:tcPr>
            <w:tcW w:w="1197" w:type="dxa"/>
            <w:tcBorders>
              <w:top w:val="nil"/>
              <w:left w:val="nil"/>
              <w:bottom w:val="single" w:sz="4" w:space="0" w:color="auto"/>
              <w:right w:val="single" w:sz="4" w:space="0" w:color="auto"/>
            </w:tcBorders>
            <w:shd w:val="clear" w:color="auto" w:fill="auto"/>
            <w:vAlign w:val="center"/>
            <w:hideMark/>
          </w:tcPr>
          <w:p w14:paraId="620861FD" w14:textId="77777777" w:rsidR="0020458B" w:rsidRPr="00B92499" w:rsidRDefault="0020458B" w:rsidP="0020458B">
            <w:pPr>
              <w:jc w:val="center"/>
              <w:rPr>
                <w:rFonts w:ascii="Arial" w:hAnsi="Arial" w:cs="Arial"/>
                <w:color w:val="000000"/>
                <w:sz w:val="20"/>
                <w:szCs w:val="20"/>
              </w:rPr>
            </w:pPr>
            <w:r w:rsidRPr="00B92499">
              <w:rPr>
                <w:rFonts w:ascii="Arial" w:hAnsi="Arial" w:cs="Arial"/>
                <w:color w:val="000000"/>
                <w:sz w:val="20"/>
                <w:szCs w:val="20"/>
              </w:rPr>
              <w:t>100</w:t>
            </w:r>
          </w:p>
        </w:tc>
      </w:tr>
      <w:tr w:rsidR="0020458B" w:rsidRPr="00B92499" w14:paraId="2FC1FC22" w14:textId="77777777" w:rsidTr="0020458B">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F137C86" w14:textId="77777777" w:rsidR="0020458B" w:rsidRPr="00B92499" w:rsidRDefault="0020458B">
            <w:pPr>
              <w:jc w:val="center"/>
              <w:rPr>
                <w:rFonts w:ascii="Arial" w:hAnsi="Arial" w:cs="Arial"/>
                <w:color w:val="000000"/>
                <w:sz w:val="20"/>
                <w:szCs w:val="20"/>
              </w:rPr>
            </w:pPr>
            <w:r w:rsidRPr="00B92499">
              <w:rPr>
                <w:rFonts w:ascii="Arial" w:hAnsi="Arial" w:cs="Arial"/>
                <w:color w:val="000000"/>
                <w:sz w:val="20"/>
                <w:szCs w:val="20"/>
              </w:rPr>
              <w:t>XLIII</w:t>
            </w:r>
          </w:p>
        </w:tc>
        <w:tc>
          <w:tcPr>
            <w:tcW w:w="0" w:type="auto"/>
            <w:tcBorders>
              <w:top w:val="nil"/>
              <w:left w:val="nil"/>
              <w:bottom w:val="single" w:sz="4" w:space="0" w:color="auto"/>
              <w:right w:val="single" w:sz="4" w:space="0" w:color="auto"/>
            </w:tcBorders>
            <w:shd w:val="clear" w:color="auto" w:fill="auto"/>
            <w:vAlign w:val="center"/>
            <w:hideMark/>
          </w:tcPr>
          <w:p w14:paraId="799CED07" w14:textId="77777777" w:rsidR="0020458B" w:rsidRPr="00B92499" w:rsidRDefault="0020458B" w:rsidP="003C6FE5">
            <w:pPr>
              <w:jc w:val="both"/>
              <w:rPr>
                <w:rFonts w:ascii="Arial" w:hAnsi="Arial" w:cs="Arial"/>
                <w:color w:val="000000"/>
                <w:sz w:val="20"/>
                <w:szCs w:val="20"/>
              </w:rPr>
            </w:pPr>
            <w:r w:rsidRPr="00B92499">
              <w:rPr>
                <w:rFonts w:ascii="Arial" w:hAnsi="Arial" w:cs="Arial"/>
                <w:color w:val="000000"/>
                <w:sz w:val="20"/>
                <w:szCs w:val="20"/>
              </w:rPr>
              <w:t>Actas y Resoluciones del Comité de Transparencia.</w:t>
            </w:r>
          </w:p>
        </w:tc>
        <w:tc>
          <w:tcPr>
            <w:tcW w:w="1197" w:type="dxa"/>
            <w:tcBorders>
              <w:top w:val="nil"/>
              <w:left w:val="nil"/>
              <w:bottom w:val="single" w:sz="4" w:space="0" w:color="auto"/>
              <w:right w:val="single" w:sz="4" w:space="0" w:color="auto"/>
            </w:tcBorders>
            <w:shd w:val="clear" w:color="auto" w:fill="auto"/>
            <w:vAlign w:val="center"/>
            <w:hideMark/>
          </w:tcPr>
          <w:p w14:paraId="143E2945" w14:textId="77777777" w:rsidR="0020458B" w:rsidRPr="00B92499" w:rsidRDefault="0020458B" w:rsidP="0020458B">
            <w:pPr>
              <w:jc w:val="center"/>
              <w:rPr>
                <w:rFonts w:ascii="Arial" w:hAnsi="Arial" w:cs="Arial"/>
                <w:color w:val="000000"/>
                <w:sz w:val="20"/>
                <w:szCs w:val="20"/>
              </w:rPr>
            </w:pPr>
            <w:r w:rsidRPr="00B92499">
              <w:rPr>
                <w:rFonts w:ascii="Arial" w:hAnsi="Arial" w:cs="Arial"/>
                <w:color w:val="000000"/>
                <w:sz w:val="20"/>
                <w:szCs w:val="20"/>
              </w:rPr>
              <w:t>100</w:t>
            </w:r>
          </w:p>
        </w:tc>
      </w:tr>
      <w:tr w:rsidR="0020458B" w:rsidRPr="00B92499" w14:paraId="3D77222C" w14:textId="77777777" w:rsidTr="0020458B">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FF26371" w14:textId="77777777" w:rsidR="0020458B" w:rsidRPr="00B92499" w:rsidRDefault="0020458B">
            <w:pPr>
              <w:jc w:val="center"/>
              <w:rPr>
                <w:rFonts w:ascii="Arial" w:hAnsi="Arial" w:cs="Arial"/>
                <w:color w:val="000000"/>
                <w:sz w:val="20"/>
                <w:szCs w:val="20"/>
              </w:rPr>
            </w:pPr>
            <w:r w:rsidRPr="00B92499">
              <w:rPr>
                <w:rFonts w:ascii="Arial" w:hAnsi="Arial" w:cs="Arial"/>
                <w:color w:val="000000"/>
                <w:sz w:val="20"/>
                <w:szCs w:val="20"/>
              </w:rPr>
              <w:t>L</w:t>
            </w:r>
          </w:p>
        </w:tc>
        <w:tc>
          <w:tcPr>
            <w:tcW w:w="0" w:type="auto"/>
            <w:tcBorders>
              <w:top w:val="nil"/>
              <w:left w:val="nil"/>
              <w:bottom w:val="single" w:sz="4" w:space="0" w:color="auto"/>
              <w:right w:val="single" w:sz="4" w:space="0" w:color="auto"/>
            </w:tcBorders>
            <w:shd w:val="clear" w:color="auto" w:fill="auto"/>
            <w:vAlign w:val="center"/>
            <w:hideMark/>
          </w:tcPr>
          <w:p w14:paraId="50DDBDA4" w14:textId="77777777" w:rsidR="0020458B" w:rsidRPr="00B92499" w:rsidRDefault="0020458B" w:rsidP="003C6FE5">
            <w:pPr>
              <w:jc w:val="both"/>
              <w:rPr>
                <w:rFonts w:ascii="Arial" w:hAnsi="Arial" w:cs="Arial"/>
                <w:color w:val="000000"/>
                <w:sz w:val="20"/>
                <w:szCs w:val="20"/>
              </w:rPr>
            </w:pPr>
            <w:r w:rsidRPr="00B92499">
              <w:rPr>
                <w:rFonts w:ascii="Arial" w:hAnsi="Arial" w:cs="Arial"/>
                <w:color w:val="000000"/>
                <w:sz w:val="20"/>
                <w:szCs w:val="20"/>
              </w:rPr>
              <w:t xml:space="preserve">La calendarización, minutas y actas de las reuniones públicas de los consejos, colegiados, gabinetes, sesiones plenarias, comités, comisiones y sesiones de trabajo. </w:t>
            </w:r>
          </w:p>
        </w:tc>
        <w:tc>
          <w:tcPr>
            <w:tcW w:w="1197" w:type="dxa"/>
            <w:tcBorders>
              <w:top w:val="nil"/>
              <w:left w:val="nil"/>
              <w:bottom w:val="single" w:sz="4" w:space="0" w:color="auto"/>
              <w:right w:val="single" w:sz="4" w:space="0" w:color="auto"/>
            </w:tcBorders>
            <w:shd w:val="clear" w:color="auto" w:fill="auto"/>
            <w:vAlign w:val="center"/>
            <w:hideMark/>
          </w:tcPr>
          <w:p w14:paraId="65C12361" w14:textId="77777777" w:rsidR="0020458B" w:rsidRPr="00B92499" w:rsidRDefault="0020458B" w:rsidP="0020458B">
            <w:pPr>
              <w:jc w:val="center"/>
              <w:rPr>
                <w:rFonts w:ascii="Arial" w:hAnsi="Arial" w:cs="Arial"/>
                <w:color w:val="000000"/>
                <w:sz w:val="20"/>
                <w:szCs w:val="20"/>
              </w:rPr>
            </w:pPr>
            <w:r w:rsidRPr="00B92499">
              <w:rPr>
                <w:rFonts w:ascii="Arial" w:hAnsi="Arial" w:cs="Arial"/>
                <w:color w:val="000000"/>
                <w:sz w:val="20"/>
                <w:szCs w:val="20"/>
              </w:rPr>
              <w:t>100</w:t>
            </w:r>
          </w:p>
        </w:tc>
      </w:tr>
      <w:tr w:rsidR="0020458B" w:rsidRPr="00B92499" w14:paraId="326980E1" w14:textId="77777777" w:rsidTr="0020458B">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E66B4F9" w14:textId="77777777" w:rsidR="0020458B" w:rsidRPr="00B92499" w:rsidRDefault="0020458B">
            <w:pPr>
              <w:jc w:val="center"/>
              <w:rPr>
                <w:rFonts w:ascii="Arial" w:hAnsi="Arial" w:cs="Arial"/>
                <w:color w:val="000000"/>
                <w:sz w:val="20"/>
                <w:szCs w:val="20"/>
              </w:rPr>
            </w:pPr>
            <w:r w:rsidRPr="00B92499">
              <w:rPr>
                <w:rFonts w:ascii="Arial" w:hAnsi="Arial" w:cs="Arial"/>
                <w:color w:val="000000"/>
                <w:sz w:val="20"/>
                <w:szCs w:val="20"/>
              </w:rPr>
              <w:t>LII</w:t>
            </w:r>
          </w:p>
        </w:tc>
        <w:tc>
          <w:tcPr>
            <w:tcW w:w="0" w:type="auto"/>
            <w:tcBorders>
              <w:top w:val="nil"/>
              <w:left w:val="nil"/>
              <w:bottom w:val="single" w:sz="4" w:space="0" w:color="auto"/>
              <w:right w:val="single" w:sz="4" w:space="0" w:color="auto"/>
            </w:tcBorders>
            <w:shd w:val="clear" w:color="auto" w:fill="auto"/>
            <w:vAlign w:val="center"/>
            <w:hideMark/>
          </w:tcPr>
          <w:p w14:paraId="653976C4" w14:textId="77777777" w:rsidR="0020458B" w:rsidRPr="00B92499" w:rsidRDefault="0020458B" w:rsidP="003C6FE5">
            <w:pPr>
              <w:jc w:val="both"/>
              <w:rPr>
                <w:rFonts w:ascii="Arial" w:hAnsi="Arial" w:cs="Arial"/>
                <w:color w:val="000000"/>
                <w:sz w:val="20"/>
                <w:szCs w:val="20"/>
              </w:rPr>
            </w:pPr>
            <w:r w:rsidRPr="00B92499">
              <w:rPr>
                <w:rFonts w:ascii="Arial" w:hAnsi="Arial" w:cs="Arial"/>
                <w:color w:val="000000"/>
                <w:sz w:val="20"/>
                <w:szCs w:val="20"/>
              </w:rPr>
              <w:t xml:space="preserve">Cualquier otra información que sea de utilidad o se considere relevante. </w:t>
            </w:r>
          </w:p>
        </w:tc>
        <w:tc>
          <w:tcPr>
            <w:tcW w:w="1197" w:type="dxa"/>
            <w:tcBorders>
              <w:top w:val="nil"/>
              <w:left w:val="nil"/>
              <w:bottom w:val="single" w:sz="4" w:space="0" w:color="auto"/>
              <w:right w:val="single" w:sz="4" w:space="0" w:color="auto"/>
            </w:tcBorders>
            <w:shd w:val="clear" w:color="auto" w:fill="auto"/>
            <w:vAlign w:val="center"/>
            <w:hideMark/>
          </w:tcPr>
          <w:p w14:paraId="688E33E3" w14:textId="77777777" w:rsidR="0020458B" w:rsidRPr="00B92499" w:rsidRDefault="0020458B" w:rsidP="0020458B">
            <w:pPr>
              <w:jc w:val="center"/>
              <w:rPr>
                <w:rFonts w:ascii="Arial" w:hAnsi="Arial" w:cs="Arial"/>
                <w:color w:val="000000"/>
                <w:sz w:val="20"/>
                <w:szCs w:val="20"/>
              </w:rPr>
            </w:pPr>
            <w:r w:rsidRPr="00B92499">
              <w:rPr>
                <w:rFonts w:ascii="Arial" w:hAnsi="Arial" w:cs="Arial"/>
                <w:color w:val="000000"/>
                <w:sz w:val="20"/>
                <w:szCs w:val="20"/>
              </w:rPr>
              <w:t>100</w:t>
            </w:r>
          </w:p>
        </w:tc>
      </w:tr>
      <w:tr w:rsidR="0020458B" w:rsidRPr="00B92499" w14:paraId="5817FD2B" w14:textId="77777777" w:rsidTr="0020458B">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482036B" w14:textId="77777777" w:rsidR="0020458B" w:rsidRPr="00B92499" w:rsidRDefault="0020458B">
            <w:pPr>
              <w:jc w:val="center"/>
              <w:rPr>
                <w:rFonts w:ascii="Arial" w:hAnsi="Arial" w:cs="Arial"/>
                <w:color w:val="000000"/>
                <w:sz w:val="20"/>
                <w:szCs w:val="20"/>
              </w:rPr>
            </w:pPr>
            <w:r w:rsidRPr="00B92499">
              <w:rPr>
                <w:rFonts w:ascii="Arial" w:hAnsi="Arial" w:cs="Arial"/>
                <w:color w:val="000000"/>
                <w:sz w:val="20"/>
                <w:szCs w:val="20"/>
              </w:rPr>
              <w:t>VII</w:t>
            </w:r>
          </w:p>
        </w:tc>
        <w:tc>
          <w:tcPr>
            <w:tcW w:w="0" w:type="auto"/>
            <w:tcBorders>
              <w:top w:val="nil"/>
              <w:left w:val="nil"/>
              <w:bottom w:val="single" w:sz="4" w:space="0" w:color="auto"/>
              <w:right w:val="single" w:sz="4" w:space="0" w:color="auto"/>
            </w:tcBorders>
            <w:shd w:val="clear" w:color="auto" w:fill="auto"/>
            <w:vAlign w:val="center"/>
            <w:hideMark/>
          </w:tcPr>
          <w:p w14:paraId="5AC9E4E1" w14:textId="14120C9B" w:rsidR="0020458B" w:rsidRPr="00B92499" w:rsidRDefault="0020458B" w:rsidP="003C6FE5">
            <w:pPr>
              <w:jc w:val="both"/>
              <w:rPr>
                <w:rFonts w:ascii="Arial" w:hAnsi="Arial" w:cs="Arial"/>
                <w:color w:val="000000"/>
                <w:sz w:val="20"/>
                <w:szCs w:val="20"/>
              </w:rPr>
            </w:pPr>
            <w:r w:rsidRPr="00B92499">
              <w:rPr>
                <w:rFonts w:ascii="Arial" w:hAnsi="Arial" w:cs="Arial"/>
                <w:color w:val="000000"/>
                <w:sz w:val="20"/>
                <w:szCs w:val="20"/>
              </w:rPr>
              <w:t>Indicadores de gestión</w:t>
            </w:r>
            <w:r w:rsidR="003C6FE5" w:rsidRPr="00B92499">
              <w:rPr>
                <w:rFonts w:ascii="Arial" w:hAnsi="Arial" w:cs="Arial"/>
                <w:color w:val="000000"/>
                <w:sz w:val="20"/>
                <w:szCs w:val="20"/>
              </w:rPr>
              <w:t>.</w:t>
            </w:r>
          </w:p>
        </w:tc>
        <w:tc>
          <w:tcPr>
            <w:tcW w:w="1197" w:type="dxa"/>
            <w:tcBorders>
              <w:top w:val="nil"/>
              <w:left w:val="nil"/>
              <w:bottom w:val="single" w:sz="4" w:space="0" w:color="auto"/>
              <w:right w:val="single" w:sz="4" w:space="0" w:color="auto"/>
            </w:tcBorders>
            <w:shd w:val="clear" w:color="auto" w:fill="auto"/>
            <w:vAlign w:val="center"/>
            <w:hideMark/>
          </w:tcPr>
          <w:p w14:paraId="0E5E70BF" w14:textId="77777777" w:rsidR="0020458B" w:rsidRPr="00B92499" w:rsidRDefault="0020458B" w:rsidP="0020458B">
            <w:pPr>
              <w:jc w:val="center"/>
              <w:rPr>
                <w:rFonts w:ascii="Arial" w:hAnsi="Arial" w:cs="Arial"/>
                <w:color w:val="000000"/>
                <w:sz w:val="20"/>
                <w:szCs w:val="20"/>
              </w:rPr>
            </w:pPr>
            <w:r w:rsidRPr="00B92499">
              <w:rPr>
                <w:rFonts w:ascii="Arial" w:hAnsi="Arial" w:cs="Arial"/>
                <w:color w:val="000000"/>
                <w:sz w:val="20"/>
                <w:szCs w:val="20"/>
              </w:rPr>
              <w:t>100</w:t>
            </w:r>
          </w:p>
        </w:tc>
      </w:tr>
      <w:tr w:rsidR="0020458B" w:rsidRPr="00B92499" w14:paraId="3F75A015" w14:textId="77777777" w:rsidTr="0020458B">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B5833CA" w14:textId="77777777" w:rsidR="0020458B" w:rsidRPr="00B92499" w:rsidRDefault="0020458B">
            <w:pPr>
              <w:jc w:val="center"/>
              <w:rPr>
                <w:rFonts w:ascii="Arial" w:hAnsi="Arial" w:cs="Arial"/>
                <w:color w:val="000000"/>
                <w:sz w:val="20"/>
                <w:szCs w:val="20"/>
              </w:rPr>
            </w:pPr>
            <w:r w:rsidRPr="00B92499">
              <w:rPr>
                <w:rFonts w:ascii="Arial" w:hAnsi="Arial" w:cs="Arial"/>
                <w:color w:val="000000"/>
                <w:sz w:val="20"/>
                <w:szCs w:val="20"/>
              </w:rPr>
              <w:t>XXXVI</w:t>
            </w:r>
          </w:p>
        </w:tc>
        <w:tc>
          <w:tcPr>
            <w:tcW w:w="0" w:type="auto"/>
            <w:tcBorders>
              <w:top w:val="nil"/>
              <w:left w:val="nil"/>
              <w:bottom w:val="single" w:sz="4" w:space="0" w:color="auto"/>
              <w:right w:val="single" w:sz="4" w:space="0" w:color="auto"/>
            </w:tcBorders>
            <w:shd w:val="clear" w:color="auto" w:fill="auto"/>
            <w:vAlign w:val="center"/>
            <w:hideMark/>
          </w:tcPr>
          <w:p w14:paraId="71C785B3" w14:textId="77777777" w:rsidR="0020458B" w:rsidRPr="00B92499" w:rsidRDefault="0020458B" w:rsidP="003C6FE5">
            <w:pPr>
              <w:jc w:val="both"/>
              <w:rPr>
                <w:rFonts w:ascii="Arial" w:hAnsi="Arial" w:cs="Arial"/>
                <w:color w:val="000000"/>
                <w:sz w:val="20"/>
                <w:szCs w:val="20"/>
              </w:rPr>
            </w:pPr>
            <w:r w:rsidRPr="00B92499">
              <w:rPr>
                <w:rFonts w:ascii="Arial" w:hAnsi="Arial" w:cs="Arial"/>
                <w:color w:val="000000"/>
                <w:sz w:val="20"/>
                <w:szCs w:val="20"/>
              </w:rPr>
              <w:t>Inventario de bienes muebles.</w:t>
            </w:r>
          </w:p>
        </w:tc>
        <w:tc>
          <w:tcPr>
            <w:tcW w:w="1197" w:type="dxa"/>
            <w:tcBorders>
              <w:top w:val="nil"/>
              <w:left w:val="nil"/>
              <w:bottom w:val="single" w:sz="4" w:space="0" w:color="auto"/>
              <w:right w:val="single" w:sz="4" w:space="0" w:color="auto"/>
            </w:tcBorders>
            <w:shd w:val="clear" w:color="auto" w:fill="auto"/>
            <w:vAlign w:val="center"/>
            <w:hideMark/>
          </w:tcPr>
          <w:p w14:paraId="0E612282" w14:textId="77777777" w:rsidR="0020458B" w:rsidRPr="00B92499" w:rsidRDefault="0020458B" w:rsidP="0020458B">
            <w:pPr>
              <w:jc w:val="center"/>
              <w:rPr>
                <w:rFonts w:ascii="Arial" w:hAnsi="Arial" w:cs="Arial"/>
                <w:color w:val="000000"/>
                <w:sz w:val="20"/>
                <w:szCs w:val="20"/>
              </w:rPr>
            </w:pPr>
            <w:r w:rsidRPr="00B92499">
              <w:rPr>
                <w:rFonts w:ascii="Arial" w:hAnsi="Arial" w:cs="Arial"/>
                <w:color w:val="000000"/>
                <w:sz w:val="20"/>
                <w:szCs w:val="20"/>
              </w:rPr>
              <w:t>100</w:t>
            </w:r>
          </w:p>
        </w:tc>
      </w:tr>
      <w:tr w:rsidR="0020458B" w:rsidRPr="00B92499" w14:paraId="1DCFD0C8" w14:textId="77777777" w:rsidTr="0020458B">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E8B0AB7" w14:textId="77777777" w:rsidR="0020458B" w:rsidRPr="00B92499" w:rsidRDefault="0020458B">
            <w:pPr>
              <w:jc w:val="center"/>
              <w:rPr>
                <w:rFonts w:ascii="Arial" w:hAnsi="Arial" w:cs="Arial"/>
                <w:color w:val="000000"/>
                <w:sz w:val="20"/>
                <w:szCs w:val="20"/>
              </w:rPr>
            </w:pPr>
            <w:r w:rsidRPr="00B92499">
              <w:rPr>
                <w:rFonts w:ascii="Arial" w:hAnsi="Arial" w:cs="Arial"/>
                <w:color w:val="000000"/>
                <w:sz w:val="20"/>
                <w:szCs w:val="20"/>
              </w:rPr>
              <w:t>XXXVII</w:t>
            </w:r>
          </w:p>
        </w:tc>
        <w:tc>
          <w:tcPr>
            <w:tcW w:w="0" w:type="auto"/>
            <w:tcBorders>
              <w:top w:val="nil"/>
              <w:left w:val="nil"/>
              <w:bottom w:val="single" w:sz="4" w:space="0" w:color="auto"/>
              <w:right w:val="single" w:sz="4" w:space="0" w:color="auto"/>
            </w:tcBorders>
            <w:shd w:val="clear" w:color="auto" w:fill="auto"/>
            <w:vAlign w:val="center"/>
            <w:hideMark/>
          </w:tcPr>
          <w:p w14:paraId="5726D416" w14:textId="4D0986C4" w:rsidR="0020458B" w:rsidRPr="00B92499" w:rsidRDefault="0020458B" w:rsidP="003C6FE5">
            <w:pPr>
              <w:jc w:val="both"/>
              <w:rPr>
                <w:rFonts w:ascii="Arial" w:hAnsi="Arial" w:cs="Arial"/>
                <w:color w:val="000000"/>
                <w:sz w:val="20"/>
                <w:szCs w:val="20"/>
              </w:rPr>
            </w:pPr>
            <w:r w:rsidRPr="00B92499">
              <w:rPr>
                <w:rFonts w:ascii="Arial" w:hAnsi="Arial" w:cs="Arial"/>
                <w:color w:val="000000"/>
                <w:sz w:val="20"/>
                <w:szCs w:val="20"/>
              </w:rPr>
              <w:t xml:space="preserve">Relación del número de recomendaciones emitidas al </w:t>
            </w:r>
            <w:r w:rsidR="008710F6" w:rsidRPr="00B92499">
              <w:rPr>
                <w:rFonts w:ascii="Arial" w:hAnsi="Arial" w:cs="Arial"/>
                <w:color w:val="000000"/>
                <w:sz w:val="20"/>
                <w:szCs w:val="20"/>
              </w:rPr>
              <w:t>sujeto obligado</w:t>
            </w:r>
            <w:r w:rsidRPr="00B92499">
              <w:rPr>
                <w:rFonts w:ascii="Arial" w:hAnsi="Arial" w:cs="Arial"/>
                <w:color w:val="000000"/>
                <w:sz w:val="20"/>
                <w:szCs w:val="20"/>
              </w:rPr>
              <w:t xml:space="preserve"> la CDHCDMX.</w:t>
            </w:r>
          </w:p>
        </w:tc>
        <w:tc>
          <w:tcPr>
            <w:tcW w:w="1197" w:type="dxa"/>
            <w:tcBorders>
              <w:top w:val="nil"/>
              <w:left w:val="nil"/>
              <w:bottom w:val="single" w:sz="4" w:space="0" w:color="auto"/>
              <w:right w:val="single" w:sz="4" w:space="0" w:color="auto"/>
            </w:tcBorders>
            <w:shd w:val="clear" w:color="auto" w:fill="auto"/>
            <w:vAlign w:val="center"/>
            <w:hideMark/>
          </w:tcPr>
          <w:p w14:paraId="07A34662" w14:textId="77777777" w:rsidR="0020458B" w:rsidRPr="00B92499" w:rsidRDefault="0020458B" w:rsidP="0020458B">
            <w:pPr>
              <w:jc w:val="center"/>
              <w:rPr>
                <w:rFonts w:ascii="Arial" w:hAnsi="Arial" w:cs="Arial"/>
                <w:color w:val="000000"/>
                <w:sz w:val="20"/>
                <w:szCs w:val="20"/>
              </w:rPr>
            </w:pPr>
            <w:r w:rsidRPr="00B92499">
              <w:rPr>
                <w:rFonts w:ascii="Arial" w:hAnsi="Arial" w:cs="Arial"/>
                <w:color w:val="000000"/>
                <w:sz w:val="20"/>
                <w:szCs w:val="20"/>
              </w:rPr>
              <w:t>100</w:t>
            </w:r>
          </w:p>
        </w:tc>
      </w:tr>
      <w:tr w:rsidR="0020458B" w:rsidRPr="00B92499" w14:paraId="0619AE8E" w14:textId="77777777" w:rsidTr="0020458B">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8893E74" w14:textId="77777777" w:rsidR="0020458B" w:rsidRPr="00B92499" w:rsidRDefault="0020458B">
            <w:pPr>
              <w:jc w:val="center"/>
              <w:rPr>
                <w:rFonts w:ascii="Arial" w:hAnsi="Arial" w:cs="Arial"/>
                <w:color w:val="000000"/>
                <w:sz w:val="20"/>
                <w:szCs w:val="20"/>
              </w:rPr>
            </w:pPr>
            <w:r w:rsidRPr="00B92499">
              <w:rPr>
                <w:rFonts w:ascii="Arial" w:hAnsi="Arial" w:cs="Arial"/>
                <w:color w:val="000000"/>
                <w:sz w:val="20"/>
                <w:szCs w:val="20"/>
              </w:rPr>
              <w:t>XXXI</w:t>
            </w:r>
          </w:p>
        </w:tc>
        <w:tc>
          <w:tcPr>
            <w:tcW w:w="0" w:type="auto"/>
            <w:tcBorders>
              <w:top w:val="nil"/>
              <w:left w:val="nil"/>
              <w:bottom w:val="single" w:sz="4" w:space="0" w:color="auto"/>
              <w:right w:val="single" w:sz="4" w:space="0" w:color="auto"/>
            </w:tcBorders>
            <w:shd w:val="clear" w:color="auto" w:fill="auto"/>
            <w:vAlign w:val="center"/>
            <w:hideMark/>
          </w:tcPr>
          <w:p w14:paraId="542DD203" w14:textId="3AB3D4A5" w:rsidR="0020458B" w:rsidRPr="00B92499" w:rsidRDefault="0020458B" w:rsidP="003C6FE5">
            <w:pPr>
              <w:jc w:val="both"/>
              <w:rPr>
                <w:rFonts w:ascii="Arial" w:hAnsi="Arial" w:cs="Arial"/>
                <w:color w:val="000000"/>
                <w:sz w:val="20"/>
                <w:szCs w:val="20"/>
              </w:rPr>
            </w:pPr>
            <w:r w:rsidRPr="00B92499">
              <w:rPr>
                <w:rFonts w:ascii="Arial" w:hAnsi="Arial" w:cs="Arial"/>
                <w:color w:val="000000"/>
                <w:sz w:val="20"/>
                <w:szCs w:val="20"/>
              </w:rPr>
              <w:t xml:space="preserve">Informes que debe de rendir el </w:t>
            </w:r>
            <w:r w:rsidR="008710F6" w:rsidRPr="00B92499">
              <w:rPr>
                <w:rFonts w:ascii="Arial" w:hAnsi="Arial" w:cs="Arial"/>
                <w:color w:val="000000"/>
                <w:sz w:val="20"/>
                <w:szCs w:val="20"/>
              </w:rPr>
              <w:t>sujeto obligado</w:t>
            </w:r>
            <w:r w:rsidRPr="00B92499">
              <w:rPr>
                <w:rFonts w:ascii="Arial" w:hAnsi="Arial" w:cs="Arial"/>
                <w:color w:val="000000"/>
                <w:sz w:val="20"/>
                <w:szCs w:val="20"/>
              </w:rPr>
              <w:t xml:space="preserve">. </w:t>
            </w:r>
          </w:p>
        </w:tc>
        <w:tc>
          <w:tcPr>
            <w:tcW w:w="1197" w:type="dxa"/>
            <w:tcBorders>
              <w:top w:val="nil"/>
              <w:left w:val="nil"/>
              <w:bottom w:val="single" w:sz="4" w:space="0" w:color="auto"/>
              <w:right w:val="single" w:sz="4" w:space="0" w:color="auto"/>
            </w:tcBorders>
            <w:shd w:val="clear" w:color="auto" w:fill="auto"/>
            <w:vAlign w:val="center"/>
            <w:hideMark/>
          </w:tcPr>
          <w:p w14:paraId="7CDEB02D" w14:textId="0D459223" w:rsidR="0020458B" w:rsidRPr="00B92499" w:rsidRDefault="0020458B" w:rsidP="003B202F">
            <w:pPr>
              <w:jc w:val="center"/>
              <w:rPr>
                <w:rFonts w:ascii="Arial" w:hAnsi="Arial" w:cs="Arial"/>
                <w:color w:val="000000"/>
                <w:sz w:val="20"/>
                <w:szCs w:val="20"/>
              </w:rPr>
            </w:pPr>
            <w:r w:rsidRPr="00B92499">
              <w:rPr>
                <w:rFonts w:ascii="Arial" w:hAnsi="Arial" w:cs="Arial"/>
                <w:color w:val="000000"/>
                <w:sz w:val="20"/>
                <w:szCs w:val="20"/>
              </w:rPr>
              <w:t>98.4</w:t>
            </w:r>
            <w:r w:rsidR="003B202F" w:rsidRPr="00B92499">
              <w:rPr>
                <w:rFonts w:ascii="Arial" w:hAnsi="Arial" w:cs="Arial"/>
                <w:color w:val="000000"/>
                <w:sz w:val="20"/>
                <w:szCs w:val="20"/>
              </w:rPr>
              <w:t>4</w:t>
            </w:r>
          </w:p>
        </w:tc>
      </w:tr>
      <w:tr w:rsidR="0020458B" w:rsidRPr="00B92499" w14:paraId="43F2DB04" w14:textId="77777777" w:rsidTr="0020458B">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24A28F9" w14:textId="77777777" w:rsidR="0020458B" w:rsidRPr="00B92499" w:rsidRDefault="0020458B">
            <w:pPr>
              <w:jc w:val="center"/>
              <w:rPr>
                <w:rFonts w:ascii="Arial" w:hAnsi="Arial" w:cs="Arial"/>
                <w:color w:val="000000"/>
                <w:sz w:val="20"/>
                <w:szCs w:val="20"/>
              </w:rPr>
            </w:pPr>
            <w:r w:rsidRPr="00B92499">
              <w:rPr>
                <w:rFonts w:ascii="Arial" w:hAnsi="Arial" w:cs="Arial"/>
                <w:color w:val="000000"/>
                <w:sz w:val="20"/>
                <w:szCs w:val="20"/>
              </w:rPr>
              <w:t>XXXIX</w:t>
            </w:r>
          </w:p>
        </w:tc>
        <w:tc>
          <w:tcPr>
            <w:tcW w:w="0" w:type="auto"/>
            <w:tcBorders>
              <w:top w:val="nil"/>
              <w:left w:val="nil"/>
              <w:bottom w:val="single" w:sz="4" w:space="0" w:color="auto"/>
              <w:right w:val="single" w:sz="4" w:space="0" w:color="auto"/>
            </w:tcBorders>
            <w:shd w:val="clear" w:color="auto" w:fill="auto"/>
            <w:vAlign w:val="center"/>
            <w:hideMark/>
          </w:tcPr>
          <w:p w14:paraId="12129274" w14:textId="77777777" w:rsidR="0020458B" w:rsidRPr="00B92499" w:rsidRDefault="0020458B" w:rsidP="003C6FE5">
            <w:pPr>
              <w:jc w:val="both"/>
              <w:rPr>
                <w:rFonts w:ascii="Arial" w:hAnsi="Arial" w:cs="Arial"/>
                <w:color w:val="000000"/>
                <w:sz w:val="20"/>
                <w:szCs w:val="20"/>
              </w:rPr>
            </w:pPr>
            <w:r w:rsidRPr="00B92499">
              <w:rPr>
                <w:rFonts w:ascii="Arial" w:hAnsi="Arial" w:cs="Arial"/>
                <w:color w:val="000000"/>
                <w:sz w:val="20"/>
                <w:szCs w:val="20"/>
              </w:rPr>
              <w:t>Resoluciones y laudos que se emitan en procesos seguidos en forma de juicio.</w:t>
            </w:r>
          </w:p>
        </w:tc>
        <w:tc>
          <w:tcPr>
            <w:tcW w:w="1197" w:type="dxa"/>
            <w:tcBorders>
              <w:top w:val="nil"/>
              <w:left w:val="nil"/>
              <w:bottom w:val="single" w:sz="4" w:space="0" w:color="auto"/>
              <w:right w:val="single" w:sz="4" w:space="0" w:color="auto"/>
            </w:tcBorders>
            <w:shd w:val="clear" w:color="auto" w:fill="auto"/>
            <w:vAlign w:val="center"/>
            <w:hideMark/>
          </w:tcPr>
          <w:p w14:paraId="6D89363E" w14:textId="77777777" w:rsidR="0020458B" w:rsidRPr="00B92499" w:rsidRDefault="0020458B" w:rsidP="0020458B">
            <w:pPr>
              <w:jc w:val="center"/>
              <w:rPr>
                <w:rFonts w:ascii="Arial" w:hAnsi="Arial" w:cs="Arial"/>
                <w:color w:val="000000"/>
                <w:sz w:val="20"/>
                <w:szCs w:val="20"/>
              </w:rPr>
            </w:pPr>
            <w:r w:rsidRPr="00B92499">
              <w:rPr>
                <w:rFonts w:ascii="Arial" w:hAnsi="Arial" w:cs="Arial"/>
                <w:color w:val="000000"/>
                <w:sz w:val="20"/>
                <w:szCs w:val="20"/>
              </w:rPr>
              <w:t>93.75</w:t>
            </w:r>
          </w:p>
        </w:tc>
      </w:tr>
      <w:tr w:rsidR="0020458B" w:rsidRPr="00B92499" w14:paraId="7C8D3018" w14:textId="77777777" w:rsidTr="0020458B">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6C8F0E8" w14:textId="77777777" w:rsidR="0020458B" w:rsidRPr="00B92499" w:rsidRDefault="0020458B">
            <w:pPr>
              <w:jc w:val="center"/>
              <w:rPr>
                <w:rFonts w:ascii="Arial" w:hAnsi="Arial" w:cs="Arial"/>
                <w:color w:val="000000"/>
                <w:sz w:val="20"/>
                <w:szCs w:val="20"/>
              </w:rPr>
            </w:pPr>
            <w:r w:rsidRPr="00B92499">
              <w:rPr>
                <w:rFonts w:ascii="Arial" w:hAnsi="Arial" w:cs="Arial"/>
                <w:color w:val="000000"/>
                <w:sz w:val="20"/>
                <w:szCs w:val="20"/>
              </w:rPr>
              <w:t>XXXIII</w:t>
            </w:r>
          </w:p>
        </w:tc>
        <w:tc>
          <w:tcPr>
            <w:tcW w:w="0" w:type="auto"/>
            <w:tcBorders>
              <w:top w:val="nil"/>
              <w:left w:val="nil"/>
              <w:bottom w:val="single" w:sz="4" w:space="0" w:color="auto"/>
              <w:right w:val="single" w:sz="4" w:space="0" w:color="auto"/>
            </w:tcBorders>
            <w:shd w:val="clear" w:color="auto" w:fill="auto"/>
            <w:vAlign w:val="center"/>
            <w:hideMark/>
          </w:tcPr>
          <w:p w14:paraId="75CEE6EB" w14:textId="77777777" w:rsidR="0020458B" w:rsidRPr="00B92499" w:rsidRDefault="0020458B" w:rsidP="003C6FE5">
            <w:pPr>
              <w:jc w:val="both"/>
              <w:rPr>
                <w:rFonts w:ascii="Arial" w:hAnsi="Arial" w:cs="Arial"/>
                <w:color w:val="000000"/>
                <w:sz w:val="20"/>
                <w:szCs w:val="20"/>
              </w:rPr>
            </w:pPr>
            <w:r w:rsidRPr="00B92499">
              <w:rPr>
                <w:rFonts w:ascii="Arial" w:hAnsi="Arial" w:cs="Arial"/>
                <w:color w:val="000000"/>
                <w:sz w:val="20"/>
                <w:szCs w:val="20"/>
              </w:rPr>
              <w:t xml:space="preserve">Informe de avances programáticos o presupuestales. </w:t>
            </w:r>
          </w:p>
        </w:tc>
        <w:tc>
          <w:tcPr>
            <w:tcW w:w="1197" w:type="dxa"/>
            <w:tcBorders>
              <w:top w:val="nil"/>
              <w:left w:val="nil"/>
              <w:bottom w:val="single" w:sz="4" w:space="0" w:color="auto"/>
              <w:right w:val="single" w:sz="4" w:space="0" w:color="auto"/>
            </w:tcBorders>
            <w:shd w:val="clear" w:color="auto" w:fill="auto"/>
            <w:vAlign w:val="center"/>
            <w:hideMark/>
          </w:tcPr>
          <w:p w14:paraId="1D7DC221" w14:textId="41040A21" w:rsidR="0020458B" w:rsidRPr="00B92499" w:rsidRDefault="0020458B" w:rsidP="003B202F">
            <w:pPr>
              <w:jc w:val="center"/>
              <w:rPr>
                <w:rFonts w:ascii="Arial" w:hAnsi="Arial" w:cs="Arial"/>
                <w:color w:val="000000"/>
                <w:sz w:val="20"/>
                <w:szCs w:val="20"/>
              </w:rPr>
            </w:pPr>
            <w:r w:rsidRPr="00B92499">
              <w:rPr>
                <w:rFonts w:ascii="Arial" w:hAnsi="Arial" w:cs="Arial"/>
                <w:color w:val="000000"/>
                <w:sz w:val="20"/>
                <w:szCs w:val="20"/>
              </w:rPr>
              <w:t>89.77</w:t>
            </w:r>
          </w:p>
        </w:tc>
      </w:tr>
      <w:tr w:rsidR="0020458B" w:rsidRPr="00B92499" w14:paraId="290EA3C5" w14:textId="77777777" w:rsidTr="0020458B">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F7B0D31" w14:textId="77777777" w:rsidR="0020458B" w:rsidRPr="00B92499" w:rsidRDefault="0020458B">
            <w:pPr>
              <w:jc w:val="center"/>
              <w:rPr>
                <w:rFonts w:ascii="Arial" w:hAnsi="Arial" w:cs="Arial"/>
                <w:color w:val="000000"/>
                <w:sz w:val="20"/>
                <w:szCs w:val="20"/>
              </w:rPr>
            </w:pPr>
            <w:r w:rsidRPr="00B92499">
              <w:rPr>
                <w:rFonts w:ascii="Arial" w:hAnsi="Arial" w:cs="Arial"/>
                <w:color w:val="000000"/>
                <w:sz w:val="20"/>
                <w:szCs w:val="20"/>
              </w:rPr>
              <w:t>I</w:t>
            </w:r>
          </w:p>
        </w:tc>
        <w:tc>
          <w:tcPr>
            <w:tcW w:w="0" w:type="auto"/>
            <w:tcBorders>
              <w:top w:val="nil"/>
              <w:left w:val="nil"/>
              <w:bottom w:val="single" w:sz="4" w:space="0" w:color="auto"/>
              <w:right w:val="single" w:sz="4" w:space="0" w:color="auto"/>
            </w:tcBorders>
            <w:shd w:val="clear" w:color="auto" w:fill="auto"/>
            <w:vAlign w:val="center"/>
            <w:hideMark/>
          </w:tcPr>
          <w:p w14:paraId="3EB5F009" w14:textId="77777777" w:rsidR="0020458B" w:rsidRPr="00B92499" w:rsidRDefault="0020458B" w:rsidP="003C6FE5">
            <w:pPr>
              <w:jc w:val="both"/>
              <w:rPr>
                <w:rFonts w:ascii="Arial" w:hAnsi="Arial" w:cs="Arial"/>
                <w:color w:val="000000"/>
                <w:sz w:val="20"/>
                <w:szCs w:val="20"/>
              </w:rPr>
            </w:pPr>
            <w:r w:rsidRPr="00B92499">
              <w:rPr>
                <w:rFonts w:ascii="Arial" w:hAnsi="Arial" w:cs="Arial"/>
                <w:color w:val="000000"/>
                <w:sz w:val="20"/>
                <w:szCs w:val="20"/>
              </w:rPr>
              <w:t>Marco Normativo.</w:t>
            </w:r>
          </w:p>
        </w:tc>
        <w:tc>
          <w:tcPr>
            <w:tcW w:w="1197" w:type="dxa"/>
            <w:tcBorders>
              <w:top w:val="nil"/>
              <w:left w:val="nil"/>
              <w:bottom w:val="single" w:sz="4" w:space="0" w:color="auto"/>
              <w:right w:val="single" w:sz="4" w:space="0" w:color="auto"/>
            </w:tcBorders>
            <w:shd w:val="clear" w:color="auto" w:fill="auto"/>
            <w:vAlign w:val="center"/>
            <w:hideMark/>
          </w:tcPr>
          <w:p w14:paraId="64C65DF0" w14:textId="53055D6B" w:rsidR="0020458B" w:rsidRPr="00B92499" w:rsidRDefault="0020458B" w:rsidP="003B202F">
            <w:pPr>
              <w:jc w:val="center"/>
              <w:rPr>
                <w:rFonts w:ascii="Arial" w:hAnsi="Arial" w:cs="Arial"/>
                <w:color w:val="000000"/>
                <w:sz w:val="20"/>
                <w:szCs w:val="20"/>
              </w:rPr>
            </w:pPr>
            <w:r w:rsidRPr="00B92499">
              <w:rPr>
                <w:rFonts w:ascii="Arial" w:hAnsi="Arial" w:cs="Arial"/>
                <w:color w:val="000000"/>
                <w:sz w:val="20"/>
                <w:szCs w:val="20"/>
              </w:rPr>
              <w:t>77.08</w:t>
            </w:r>
          </w:p>
        </w:tc>
      </w:tr>
      <w:tr w:rsidR="0020458B" w:rsidRPr="00B92499" w14:paraId="4F463D62" w14:textId="77777777" w:rsidTr="0020458B">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1AD7F67" w14:textId="77777777" w:rsidR="0020458B" w:rsidRPr="00B92499" w:rsidRDefault="0020458B">
            <w:pPr>
              <w:jc w:val="center"/>
              <w:rPr>
                <w:rFonts w:ascii="Arial" w:hAnsi="Arial" w:cs="Arial"/>
                <w:color w:val="000000"/>
                <w:sz w:val="20"/>
                <w:szCs w:val="20"/>
              </w:rPr>
            </w:pPr>
            <w:r w:rsidRPr="00B92499">
              <w:rPr>
                <w:rFonts w:ascii="Arial" w:hAnsi="Arial" w:cs="Arial"/>
                <w:color w:val="000000"/>
                <w:sz w:val="20"/>
                <w:szCs w:val="20"/>
              </w:rPr>
              <w:t>XXV</w:t>
            </w:r>
          </w:p>
        </w:tc>
        <w:tc>
          <w:tcPr>
            <w:tcW w:w="0" w:type="auto"/>
            <w:tcBorders>
              <w:top w:val="nil"/>
              <w:left w:val="nil"/>
              <w:bottom w:val="single" w:sz="4" w:space="0" w:color="auto"/>
              <w:right w:val="single" w:sz="4" w:space="0" w:color="auto"/>
            </w:tcBorders>
            <w:shd w:val="clear" w:color="auto" w:fill="auto"/>
            <w:vAlign w:val="center"/>
            <w:hideMark/>
          </w:tcPr>
          <w:p w14:paraId="67FD6D27" w14:textId="77777777" w:rsidR="0020458B" w:rsidRPr="00B92499" w:rsidRDefault="0020458B" w:rsidP="003C6FE5">
            <w:pPr>
              <w:jc w:val="both"/>
              <w:rPr>
                <w:rFonts w:ascii="Arial" w:hAnsi="Arial" w:cs="Arial"/>
                <w:color w:val="000000"/>
                <w:sz w:val="20"/>
                <w:szCs w:val="20"/>
              </w:rPr>
            </w:pPr>
            <w:r w:rsidRPr="00B92499">
              <w:rPr>
                <w:rFonts w:ascii="Arial" w:hAnsi="Arial" w:cs="Arial"/>
                <w:color w:val="000000"/>
                <w:sz w:val="20"/>
                <w:szCs w:val="20"/>
              </w:rPr>
              <w:t>Montos destinados a Comunicación Social y publicidad.</w:t>
            </w:r>
          </w:p>
        </w:tc>
        <w:tc>
          <w:tcPr>
            <w:tcW w:w="1197" w:type="dxa"/>
            <w:tcBorders>
              <w:top w:val="nil"/>
              <w:left w:val="nil"/>
              <w:bottom w:val="single" w:sz="4" w:space="0" w:color="auto"/>
              <w:right w:val="single" w:sz="4" w:space="0" w:color="auto"/>
            </w:tcBorders>
            <w:shd w:val="clear" w:color="auto" w:fill="auto"/>
            <w:vAlign w:val="center"/>
            <w:hideMark/>
          </w:tcPr>
          <w:p w14:paraId="0051701A" w14:textId="461CB646" w:rsidR="0020458B" w:rsidRPr="00B92499" w:rsidRDefault="0020458B" w:rsidP="003B202F">
            <w:pPr>
              <w:jc w:val="center"/>
              <w:rPr>
                <w:rFonts w:ascii="Arial" w:hAnsi="Arial" w:cs="Arial"/>
                <w:color w:val="000000"/>
                <w:sz w:val="20"/>
                <w:szCs w:val="20"/>
              </w:rPr>
            </w:pPr>
            <w:r w:rsidRPr="00B92499">
              <w:rPr>
                <w:rFonts w:ascii="Arial" w:hAnsi="Arial" w:cs="Arial"/>
                <w:color w:val="000000"/>
                <w:sz w:val="20"/>
                <w:szCs w:val="20"/>
              </w:rPr>
              <w:t>64.6</w:t>
            </w:r>
            <w:r w:rsidR="003B202F" w:rsidRPr="00B92499">
              <w:rPr>
                <w:rFonts w:ascii="Arial" w:hAnsi="Arial" w:cs="Arial"/>
                <w:color w:val="000000"/>
                <w:sz w:val="20"/>
                <w:szCs w:val="20"/>
              </w:rPr>
              <w:t>6</w:t>
            </w:r>
          </w:p>
        </w:tc>
      </w:tr>
      <w:tr w:rsidR="0020458B" w:rsidRPr="00B92499" w14:paraId="0B9AA78E" w14:textId="77777777" w:rsidTr="0020458B">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4ADAB53" w14:textId="77777777" w:rsidR="0020458B" w:rsidRPr="00B92499" w:rsidRDefault="0020458B">
            <w:pPr>
              <w:jc w:val="center"/>
              <w:rPr>
                <w:rFonts w:ascii="Arial" w:hAnsi="Arial" w:cs="Arial"/>
                <w:color w:val="000000"/>
                <w:sz w:val="20"/>
                <w:szCs w:val="20"/>
              </w:rPr>
            </w:pPr>
            <w:r w:rsidRPr="00B92499">
              <w:rPr>
                <w:rFonts w:ascii="Arial" w:hAnsi="Arial" w:cs="Arial"/>
                <w:color w:val="000000"/>
                <w:sz w:val="20"/>
                <w:szCs w:val="20"/>
              </w:rPr>
              <w:t>VI</w:t>
            </w:r>
          </w:p>
        </w:tc>
        <w:tc>
          <w:tcPr>
            <w:tcW w:w="0" w:type="auto"/>
            <w:tcBorders>
              <w:top w:val="nil"/>
              <w:left w:val="nil"/>
              <w:bottom w:val="single" w:sz="4" w:space="0" w:color="auto"/>
              <w:right w:val="single" w:sz="4" w:space="0" w:color="auto"/>
            </w:tcBorders>
            <w:shd w:val="clear" w:color="auto" w:fill="auto"/>
            <w:vAlign w:val="center"/>
            <w:hideMark/>
          </w:tcPr>
          <w:p w14:paraId="25926566" w14:textId="77777777" w:rsidR="0020458B" w:rsidRPr="00B92499" w:rsidRDefault="0020458B" w:rsidP="003C6FE5">
            <w:pPr>
              <w:jc w:val="both"/>
              <w:rPr>
                <w:rFonts w:ascii="Arial" w:hAnsi="Arial" w:cs="Arial"/>
                <w:color w:val="000000"/>
                <w:sz w:val="20"/>
                <w:szCs w:val="20"/>
              </w:rPr>
            </w:pPr>
            <w:r w:rsidRPr="00B92499">
              <w:rPr>
                <w:rFonts w:ascii="Arial" w:hAnsi="Arial" w:cs="Arial"/>
                <w:color w:val="000000"/>
                <w:sz w:val="20"/>
                <w:szCs w:val="20"/>
              </w:rPr>
              <w:t>Indicadores que permitan rendir cuentas.</w:t>
            </w:r>
          </w:p>
        </w:tc>
        <w:tc>
          <w:tcPr>
            <w:tcW w:w="1197" w:type="dxa"/>
            <w:tcBorders>
              <w:top w:val="nil"/>
              <w:left w:val="nil"/>
              <w:bottom w:val="single" w:sz="4" w:space="0" w:color="auto"/>
              <w:right w:val="single" w:sz="4" w:space="0" w:color="auto"/>
            </w:tcBorders>
            <w:shd w:val="clear" w:color="auto" w:fill="auto"/>
            <w:vAlign w:val="center"/>
            <w:hideMark/>
          </w:tcPr>
          <w:p w14:paraId="7C48B026" w14:textId="56896455" w:rsidR="0020458B" w:rsidRPr="00B92499" w:rsidRDefault="0020458B" w:rsidP="0020458B">
            <w:pPr>
              <w:jc w:val="center"/>
              <w:rPr>
                <w:rFonts w:ascii="Arial" w:hAnsi="Arial" w:cs="Arial"/>
                <w:color w:val="000000"/>
                <w:sz w:val="20"/>
                <w:szCs w:val="20"/>
              </w:rPr>
            </w:pPr>
            <w:r w:rsidRPr="00B92499">
              <w:rPr>
                <w:rFonts w:ascii="Arial" w:hAnsi="Arial" w:cs="Arial"/>
                <w:color w:val="000000"/>
                <w:sz w:val="20"/>
                <w:szCs w:val="20"/>
              </w:rPr>
              <w:t>50</w:t>
            </w:r>
            <w:r w:rsidR="003B202F" w:rsidRPr="00B92499">
              <w:rPr>
                <w:rFonts w:ascii="Arial" w:hAnsi="Arial" w:cs="Arial"/>
                <w:color w:val="000000"/>
                <w:sz w:val="20"/>
                <w:szCs w:val="20"/>
              </w:rPr>
              <w:t>.00</w:t>
            </w:r>
          </w:p>
        </w:tc>
      </w:tr>
    </w:tbl>
    <w:p w14:paraId="0B646D15" w14:textId="77777777" w:rsidR="000B0B2E" w:rsidRPr="00B92499" w:rsidRDefault="000B0B2E" w:rsidP="000B0B2E">
      <w:pPr>
        <w:spacing w:before="100" w:beforeAutospacing="1" w:after="100" w:afterAutospacing="1" w:line="360" w:lineRule="auto"/>
        <w:contextualSpacing/>
        <w:jc w:val="both"/>
        <w:rPr>
          <w:rFonts w:ascii="Arial" w:hAnsi="Arial" w:cs="Arial"/>
        </w:rPr>
      </w:pPr>
    </w:p>
    <w:p w14:paraId="26B963B8" w14:textId="24BE66AC" w:rsidR="000B0B2E" w:rsidRPr="00B92499" w:rsidRDefault="000B0B2E" w:rsidP="009F64B5">
      <w:pPr>
        <w:pStyle w:val="Ttulo2"/>
        <w:numPr>
          <w:ilvl w:val="1"/>
          <w:numId w:val="18"/>
        </w:numPr>
        <w:contextualSpacing/>
        <w:jc w:val="both"/>
        <w:rPr>
          <w:rFonts w:ascii="Arial" w:hAnsi="Arial" w:cs="Arial"/>
          <w:b/>
          <w:color w:val="auto"/>
          <w:sz w:val="24"/>
          <w:szCs w:val="24"/>
        </w:rPr>
      </w:pPr>
      <w:bookmarkStart w:id="48" w:name="_Toc23253004"/>
      <w:r w:rsidRPr="00B92499">
        <w:rPr>
          <w:rFonts w:ascii="Arial" w:hAnsi="Arial" w:cs="Arial"/>
          <w:b/>
          <w:color w:val="auto"/>
          <w:sz w:val="24"/>
          <w:szCs w:val="24"/>
        </w:rPr>
        <w:lastRenderedPageBreak/>
        <w:t xml:space="preserve">Análisis del </w:t>
      </w:r>
      <w:r w:rsidR="008F67E4" w:rsidRPr="00B92499">
        <w:rPr>
          <w:rFonts w:ascii="Arial" w:hAnsi="Arial" w:cs="Arial"/>
          <w:b/>
          <w:color w:val="auto"/>
          <w:sz w:val="24"/>
          <w:szCs w:val="24"/>
        </w:rPr>
        <w:t>artículo</w:t>
      </w:r>
      <w:r w:rsidRPr="00B92499">
        <w:rPr>
          <w:rFonts w:ascii="Arial" w:hAnsi="Arial" w:cs="Arial"/>
          <w:b/>
          <w:color w:val="auto"/>
          <w:sz w:val="24"/>
          <w:szCs w:val="24"/>
        </w:rPr>
        <w:t xml:space="preserve"> 1</w:t>
      </w:r>
      <w:r w:rsidR="0020458B" w:rsidRPr="00B92499">
        <w:rPr>
          <w:rFonts w:ascii="Arial" w:hAnsi="Arial" w:cs="Arial"/>
          <w:b/>
          <w:color w:val="auto"/>
          <w:sz w:val="24"/>
          <w:szCs w:val="24"/>
        </w:rPr>
        <w:t>33</w:t>
      </w:r>
      <w:r w:rsidRPr="00B92499">
        <w:rPr>
          <w:rFonts w:ascii="Arial" w:hAnsi="Arial" w:cs="Arial"/>
          <w:b/>
          <w:color w:val="auto"/>
          <w:sz w:val="24"/>
          <w:szCs w:val="24"/>
        </w:rPr>
        <w:t xml:space="preserve"> y sus respectivas fracciones</w:t>
      </w:r>
      <w:bookmarkEnd w:id="48"/>
    </w:p>
    <w:p w14:paraId="31336050" w14:textId="641B9BDA" w:rsidR="000B0B2E" w:rsidRPr="00B92499" w:rsidRDefault="000B0B2E" w:rsidP="000B0B2E">
      <w:pPr>
        <w:spacing w:before="100" w:beforeAutospacing="1" w:after="100" w:afterAutospacing="1" w:line="360" w:lineRule="auto"/>
        <w:contextualSpacing/>
        <w:jc w:val="both"/>
        <w:rPr>
          <w:rFonts w:ascii="Arial" w:hAnsi="Arial" w:cs="Arial"/>
        </w:rPr>
      </w:pPr>
      <w:r w:rsidRPr="00B92499">
        <w:rPr>
          <w:rFonts w:ascii="Arial" w:hAnsi="Arial" w:cs="Arial"/>
        </w:rPr>
        <w:t xml:space="preserve">El </w:t>
      </w:r>
      <w:r w:rsidR="00741711" w:rsidRPr="00B92499">
        <w:rPr>
          <w:rFonts w:ascii="Arial" w:hAnsi="Arial" w:cs="Arial"/>
        </w:rPr>
        <w:t>Instituto</w:t>
      </w:r>
      <w:r w:rsidRPr="00B92499">
        <w:rPr>
          <w:rFonts w:ascii="Arial" w:hAnsi="Arial" w:cs="Arial"/>
        </w:rPr>
        <w:t xml:space="preserve"> obtuvo un ICP en este artículo de </w:t>
      </w:r>
      <w:r w:rsidR="0020458B" w:rsidRPr="00B92499">
        <w:rPr>
          <w:rFonts w:ascii="Arial" w:hAnsi="Arial" w:cs="Arial"/>
        </w:rPr>
        <w:t>91.72</w:t>
      </w:r>
      <w:r w:rsidRPr="00B92499">
        <w:rPr>
          <w:rFonts w:ascii="Arial" w:hAnsi="Arial" w:cs="Arial"/>
        </w:rPr>
        <w:t xml:space="preserve">%, por lo que se encuentra dentro del área de cumplimiento parcial. Lo anterior se debió a que de las </w:t>
      </w:r>
      <w:r w:rsidR="003C6FE5" w:rsidRPr="00B92499">
        <w:rPr>
          <w:rFonts w:ascii="Arial" w:hAnsi="Arial" w:cs="Arial"/>
        </w:rPr>
        <w:t>13</w:t>
      </w:r>
      <w:r w:rsidRPr="00B92499">
        <w:rPr>
          <w:rFonts w:ascii="Arial" w:hAnsi="Arial" w:cs="Arial"/>
        </w:rPr>
        <w:t xml:space="preserve"> fracciones que les son aplicables, en </w:t>
      </w:r>
      <w:r w:rsidR="000D67A7" w:rsidRPr="00B92499">
        <w:rPr>
          <w:rFonts w:ascii="Arial" w:hAnsi="Arial" w:cs="Arial"/>
        </w:rPr>
        <w:t xml:space="preserve"> 9 </w:t>
      </w:r>
      <w:r w:rsidRPr="00B92499">
        <w:rPr>
          <w:rFonts w:ascii="Arial" w:hAnsi="Arial" w:cs="Arial"/>
        </w:rPr>
        <w:t xml:space="preserve"> alcanzó un cumplimiento total de 100%</w:t>
      </w:r>
      <w:r w:rsidR="003C6FE5" w:rsidRPr="00B92499">
        <w:rPr>
          <w:rFonts w:ascii="Arial" w:hAnsi="Arial" w:cs="Arial"/>
        </w:rPr>
        <w:t xml:space="preserve"> y </w:t>
      </w:r>
      <w:r w:rsidRPr="00B92499">
        <w:rPr>
          <w:rFonts w:ascii="Arial" w:hAnsi="Arial" w:cs="Arial"/>
        </w:rPr>
        <w:t xml:space="preserve">en </w:t>
      </w:r>
      <w:r w:rsidR="003C6FE5" w:rsidRPr="00B92499">
        <w:rPr>
          <w:rFonts w:ascii="Arial" w:hAnsi="Arial" w:cs="Arial"/>
        </w:rPr>
        <w:t>4</w:t>
      </w:r>
      <w:r w:rsidRPr="00B92499">
        <w:rPr>
          <w:rFonts w:ascii="Arial" w:hAnsi="Arial" w:cs="Arial"/>
        </w:rPr>
        <w:t xml:space="preserve"> fracciones un cumplimiento parcial entre </w:t>
      </w:r>
      <w:r w:rsidR="003C6FE5" w:rsidRPr="00B92499">
        <w:rPr>
          <w:rFonts w:ascii="Arial" w:hAnsi="Arial" w:cs="Arial"/>
        </w:rPr>
        <w:t>66.66</w:t>
      </w:r>
      <w:r w:rsidRPr="00B92499">
        <w:rPr>
          <w:rFonts w:ascii="Arial" w:hAnsi="Arial" w:cs="Arial"/>
        </w:rPr>
        <w:t>% y 9</w:t>
      </w:r>
      <w:r w:rsidR="003C6FE5" w:rsidRPr="00B92499">
        <w:rPr>
          <w:rFonts w:ascii="Arial" w:hAnsi="Arial" w:cs="Arial"/>
        </w:rPr>
        <w:t>3.75</w:t>
      </w:r>
      <w:r w:rsidRPr="00B92499">
        <w:rPr>
          <w:rFonts w:ascii="Arial" w:hAnsi="Arial" w:cs="Arial"/>
        </w:rPr>
        <w:t xml:space="preserve">%. </w:t>
      </w:r>
    </w:p>
    <w:p w14:paraId="1B02A811" w14:textId="77777777" w:rsidR="000B0B2E" w:rsidRPr="00B92499" w:rsidRDefault="000B0B2E" w:rsidP="000B0B2E">
      <w:pPr>
        <w:spacing w:before="100" w:beforeAutospacing="1" w:after="100" w:afterAutospacing="1" w:line="360" w:lineRule="auto"/>
        <w:contextualSpacing/>
        <w:jc w:val="both"/>
        <w:rPr>
          <w:rFonts w:ascii="Arial" w:hAnsi="Arial" w:cs="Arial"/>
        </w:rPr>
      </w:pPr>
    </w:p>
    <w:p w14:paraId="4FF66732" w14:textId="315025C8" w:rsidR="000B0B2E" w:rsidRPr="00B92499" w:rsidRDefault="000B0B2E" w:rsidP="000B0B2E">
      <w:pPr>
        <w:spacing w:before="100" w:beforeAutospacing="1" w:after="100" w:afterAutospacing="1" w:line="360" w:lineRule="auto"/>
        <w:contextualSpacing/>
        <w:jc w:val="both"/>
        <w:rPr>
          <w:rFonts w:ascii="Arial" w:hAnsi="Arial" w:cs="Arial"/>
        </w:rPr>
      </w:pPr>
      <w:r w:rsidRPr="00B92499">
        <w:rPr>
          <w:rFonts w:ascii="Arial" w:hAnsi="Arial" w:cs="Arial"/>
        </w:rPr>
        <w:t xml:space="preserve">En esta línea, de las </w:t>
      </w:r>
      <w:r w:rsidR="003C6FE5" w:rsidRPr="00B92499">
        <w:rPr>
          <w:rFonts w:ascii="Arial" w:hAnsi="Arial" w:cs="Arial"/>
        </w:rPr>
        <w:t>13</w:t>
      </w:r>
      <w:r w:rsidRPr="00B92499">
        <w:rPr>
          <w:rFonts w:ascii="Arial" w:hAnsi="Arial" w:cs="Arial"/>
        </w:rPr>
        <w:t xml:space="preserve"> fracciones que le son aplicables; las</w:t>
      </w:r>
      <w:r w:rsidR="000D67A7" w:rsidRPr="00B92499">
        <w:rPr>
          <w:rFonts w:ascii="Arial" w:hAnsi="Arial" w:cs="Arial"/>
        </w:rPr>
        <w:t xml:space="preserve"> 4 </w:t>
      </w:r>
      <w:r w:rsidRPr="00B92499">
        <w:rPr>
          <w:rFonts w:ascii="Arial" w:hAnsi="Arial" w:cs="Arial"/>
        </w:rPr>
        <w:t xml:space="preserve">que presentan mayores áreas de oportunidad son las siguientes: </w:t>
      </w:r>
    </w:p>
    <w:p w14:paraId="3AE1CCE5" w14:textId="11E2D619" w:rsidR="000B0B2E" w:rsidRPr="00B92499" w:rsidRDefault="000B0B2E" w:rsidP="009F64B5">
      <w:pPr>
        <w:pStyle w:val="Prrafodelista"/>
        <w:numPr>
          <w:ilvl w:val="0"/>
          <w:numId w:val="25"/>
        </w:numPr>
        <w:spacing w:before="100" w:beforeAutospacing="1" w:after="100" w:afterAutospacing="1" w:line="360" w:lineRule="auto"/>
        <w:jc w:val="both"/>
        <w:rPr>
          <w:rFonts w:ascii="Arial" w:hAnsi="Arial" w:cs="Arial"/>
          <w:sz w:val="24"/>
          <w:szCs w:val="24"/>
          <w:lang w:val="es-ES_tradnl"/>
        </w:rPr>
      </w:pPr>
      <w:r w:rsidRPr="00B92499">
        <w:rPr>
          <w:rFonts w:ascii="Arial" w:hAnsi="Arial" w:cs="Arial"/>
          <w:sz w:val="24"/>
          <w:szCs w:val="24"/>
          <w:lang w:val="es-ES_tradnl"/>
        </w:rPr>
        <w:t xml:space="preserve">Fracción </w:t>
      </w:r>
      <w:r w:rsidR="003C6FE5" w:rsidRPr="00B92499">
        <w:rPr>
          <w:rFonts w:ascii="Arial" w:hAnsi="Arial" w:cs="Arial"/>
          <w:sz w:val="24"/>
          <w:szCs w:val="24"/>
          <w:lang w:val="es-ES_tradnl"/>
        </w:rPr>
        <w:t>VII</w:t>
      </w:r>
      <w:r w:rsidRPr="00B92499">
        <w:rPr>
          <w:rFonts w:ascii="Arial" w:hAnsi="Arial" w:cs="Arial"/>
          <w:sz w:val="24"/>
          <w:szCs w:val="24"/>
          <w:lang w:val="es-ES_tradnl"/>
        </w:rPr>
        <w:t xml:space="preserve">, con un ICP de </w:t>
      </w:r>
      <w:r w:rsidR="003C6FE5" w:rsidRPr="00B92499">
        <w:rPr>
          <w:rFonts w:ascii="Arial" w:hAnsi="Arial" w:cs="Arial"/>
          <w:sz w:val="24"/>
          <w:szCs w:val="24"/>
          <w:lang w:val="es-ES_tradnl"/>
        </w:rPr>
        <w:t>66.66</w:t>
      </w:r>
      <w:r w:rsidRPr="00B92499">
        <w:rPr>
          <w:rFonts w:ascii="Arial" w:hAnsi="Arial" w:cs="Arial"/>
          <w:sz w:val="24"/>
          <w:szCs w:val="24"/>
          <w:lang w:val="es-ES_tradnl"/>
        </w:rPr>
        <w:t xml:space="preserve">% que hace referencia a la publicación </w:t>
      </w:r>
      <w:r w:rsidR="003C6FE5" w:rsidRPr="00B92499">
        <w:rPr>
          <w:rFonts w:ascii="Arial" w:hAnsi="Arial" w:cs="Arial"/>
          <w:sz w:val="24"/>
          <w:szCs w:val="24"/>
          <w:lang w:val="es-ES_tradnl"/>
        </w:rPr>
        <w:t>de las actas, las versiones estenográficas, la liga de grabaciones y la liga de internet donde se pueden ver en directo las sesiones celebradas del pleno</w:t>
      </w:r>
      <w:r w:rsidRPr="00B92499">
        <w:rPr>
          <w:rFonts w:ascii="Arial" w:hAnsi="Arial" w:cs="Arial"/>
          <w:sz w:val="24"/>
          <w:szCs w:val="24"/>
          <w:lang w:val="es-ES_tradnl"/>
        </w:rPr>
        <w:t xml:space="preserve">. El área de oportunidad del </w:t>
      </w:r>
      <w:r w:rsidR="008710F6" w:rsidRPr="00B92499">
        <w:rPr>
          <w:rFonts w:ascii="Arial" w:hAnsi="Arial" w:cs="Arial"/>
          <w:sz w:val="24"/>
          <w:szCs w:val="24"/>
          <w:lang w:val="es-ES_tradnl"/>
        </w:rPr>
        <w:t>sujeto obligado</w:t>
      </w:r>
      <w:r w:rsidRPr="00B92499">
        <w:rPr>
          <w:rFonts w:ascii="Arial" w:hAnsi="Arial" w:cs="Arial"/>
          <w:sz w:val="24"/>
          <w:szCs w:val="24"/>
          <w:lang w:val="es-ES_tradnl"/>
        </w:rPr>
        <w:t xml:space="preserve"> consiste e</w:t>
      </w:r>
      <w:r w:rsidR="00814637" w:rsidRPr="00B92499">
        <w:rPr>
          <w:rFonts w:ascii="Arial" w:hAnsi="Arial" w:cs="Arial"/>
          <w:sz w:val="24"/>
          <w:szCs w:val="24"/>
          <w:lang w:val="es-ES_tradnl"/>
        </w:rPr>
        <w:t>n publicar y actualizar la información correspondiente al primer y segundo trimestre del año 2019.</w:t>
      </w:r>
    </w:p>
    <w:p w14:paraId="037E3DF8" w14:textId="0F2DE378" w:rsidR="000B0B2E" w:rsidRPr="00B92499" w:rsidRDefault="000B0B2E" w:rsidP="009F64B5">
      <w:pPr>
        <w:pStyle w:val="Prrafodelista"/>
        <w:numPr>
          <w:ilvl w:val="0"/>
          <w:numId w:val="25"/>
        </w:numPr>
        <w:spacing w:before="100" w:beforeAutospacing="1" w:after="100" w:afterAutospacing="1" w:line="360" w:lineRule="auto"/>
        <w:jc w:val="both"/>
        <w:rPr>
          <w:rFonts w:ascii="Arial" w:hAnsi="Arial" w:cs="Arial"/>
          <w:sz w:val="24"/>
          <w:szCs w:val="24"/>
          <w:lang w:val="es-ES_tradnl"/>
        </w:rPr>
      </w:pPr>
      <w:r w:rsidRPr="00B92499">
        <w:rPr>
          <w:rFonts w:ascii="Arial" w:hAnsi="Arial" w:cs="Arial"/>
          <w:sz w:val="24"/>
          <w:szCs w:val="24"/>
          <w:lang w:val="es-ES_tradnl"/>
        </w:rPr>
        <w:t xml:space="preserve">Fracción I, con un ICP de </w:t>
      </w:r>
      <w:r w:rsidR="003C6FE5" w:rsidRPr="00B92499">
        <w:rPr>
          <w:rFonts w:ascii="Arial" w:hAnsi="Arial" w:cs="Arial"/>
          <w:sz w:val="24"/>
          <w:szCs w:val="24"/>
          <w:lang w:val="es-ES_tradnl"/>
        </w:rPr>
        <w:t>75</w:t>
      </w:r>
      <w:r w:rsidRPr="00B92499">
        <w:rPr>
          <w:rFonts w:ascii="Arial" w:hAnsi="Arial" w:cs="Arial"/>
          <w:sz w:val="24"/>
          <w:szCs w:val="24"/>
          <w:lang w:val="es-ES_tradnl"/>
        </w:rPr>
        <w:t xml:space="preserve">%, que establece la publicación de </w:t>
      </w:r>
      <w:r w:rsidR="003C6FE5" w:rsidRPr="00B92499">
        <w:rPr>
          <w:rFonts w:ascii="Arial" w:hAnsi="Arial" w:cs="Arial"/>
          <w:sz w:val="24"/>
          <w:szCs w:val="24"/>
          <w:lang w:val="es-ES_tradnl"/>
        </w:rPr>
        <w:t>la relación de observaciones y resoluciones emitidas y el seguimiento a cada una de ellas</w:t>
      </w:r>
      <w:r w:rsidRPr="00B92499">
        <w:rPr>
          <w:rFonts w:ascii="Arial" w:hAnsi="Arial" w:cs="Arial"/>
          <w:sz w:val="24"/>
          <w:szCs w:val="24"/>
          <w:lang w:val="es-ES_tradnl"/>
        </w:rPr>
        <w:t xml:space="preserve">. El área de oportunidad del </w:t>
      </w:r>
      <w:r w:rsidR="008710F6" w:rsidRPr="00B92499">
        <w:rPr>
          <w:rFonts w:ascii="Arial" w:hAnsi="Arial" w:cs="Arial"/>
          <w:sz w:val="24"/>
          <w:szCs w:val="24"/>
          <w:lang w:val="es-ES_tradnl"/>
        </w:rPr>
        <w:t>sujeto obligado</w:t>
      </w:r>
      <w:r w:rsidRPr="00B92499">
        <w:rPr>
          <w:rFonts w:ascii="Arial" w:hAnsi="Arial" w:cs="Arial"/>
          <w:sz w:val="24"/>
          <w:szCs w:val="24"/>
          <w:lang w:val="es-ES_tradnl"/>
        </w:rPr>
        <w:t xml:space="preserve"> consiste </w:t>
      </w:r>
      <w:r w:rsidR="00814637" w:rsidRPr="00B92499">
        <w:rPr>
          <w:rFonts w:ascii="Arial" w:hAnsi="Arial" w:cs="Arial"/>
          <w:sz w:val="24"/>
          <w:szCs w:val="24"/>
          <w:lang w:val="es-ES_tradnl"/>
        </w:rPr>
        <w:t>en publicar y actualizar la información correspondiente al primer y segundo trimestre del año 2019.</w:t>
      </w:r>
    </w:p>
    <w:p w14:paraId="1D1BFF3B" w14:textId="2B2C5974" w:rsidR="000B0B2E" w:rsidRPr="00B92499" w:rsidRDefault="000B0B2E" w:rsidP="009F64B5">
      <w:pPr>
        <w:pStyle w:val="Prrafodelista"/>
        <w:numPr>
          <w:ilvl w:val="0"/>
          <w:numId w:val="25"/>
        </w:numPr>
        <w:spacing w:before="100" w:beforeAutospacing="1" w:after="100" w:afterAutospacing="1" w:line="360" w:lineRule="auto"/>
        <w:jc w:val="both"/>
        <w:rPr>
          <w:rFonts w:ascii="Arial" w:hAnsi="Arial" w:cs="Arial"/>
          <w:sz w:val="24"/>
          <w:szCs w:val="24"/>
          <w:lang w:val="es-ES_tradnl"/>
        </w:rPr>
      </w:pPr>
      <w:r w:rsidRPr="00B92499">
        <w:rPr>
          <w:rFonts w:ascii="Arial" w:hAnsi="Arial" w:cs="Arial"/>
          <w:sz w:val="24"/>
          <w:szCs w:val="24"/>
          <w:lang w:val="es-ES_tradnl"/>
        </w:rPr>
        <w:t xml:space="preserve">Fracción </w:t>
      </w:r>
      <w:r w:rsidR="003C6FE5" w:rsidRPr="00B92499">
        <w:rPr>
          <w:rFonts w:ascii="Arial" w:hAnsi="Arial" w:cs="Arial"/>
          <w:sz w:val="24"/>
          <w:szCs w:val="24"/>
          <w:lang w:val="es-ES_tradnl"/>
        </w:rPr>
        <w:t>II</w:t>
      </w:r>
      <w:r w:rsidRPr="00B92499">
        <w:rPr>
          <w:rFonts w:ascii="Arial" w:hAnsi="Arial" w:cs="Arial"/>
          <w:sz w:val="24"/>
          <w:szCs w:val="24"/>
          <w:lang w:val="es-ES_tradnl"/>
        </w:rPr>
        <w:t xml:space="preserve">, con un ICP de </w:t>
      </w:r>
      <w:r w:rsidR="003C6FE5" w:rsidRPr="00B92499">
        <w:rPr>
          <w:rFonts w:ascii="Arial" w:hAnsi="Arial" w:cs="Arial"/>
          <w:sz w:val="24"/>
          <w:szCs w:val="24"/>
          <w:lang w:val="es-ES_tradnl"/>
        </w:rPr>
        <w:t>87.5</w:t>
      </w:r>
      <w:r w:rsidRPr="00B92499">
        <w:rPr>
          <w:rFonts w:ascii="Arial" w:hAnsi="Arial" w:cs="Arial"/>
          <w:sz w:val="24"/>
          <w:szCs w:val="24"/>
          <w:lang w:val="es-ES_tradnl"/>
        </w:rPr>
        <w:t xml:space="preserve">%, que establece la publicación </w:t>
      </w:r>
      <w:r w:rsidR="003C6FE5" w:rsidRPr="00B92499">
        <w:rPr>
          <w:rFonts w:ascii="Arial" w:hAnsi="Arial" w:cs="Arial"/>
          <w:sz w:val="24"/>
          <w:szCs w:val="24"/>
          <w:lang w:val="es-ES_tradnl"/>
        </w:rPr>
        <w:t>de los criterios orientadores que deriven de sus resoluciones</w:t>
      </w:r>
      <w:r w:rsidRPr="00B92499">
        <w:rPr>
          <w:rFonts w:ascii="Arial" w:hAnsi="Arial" w:cs="Arial"/>
          <w:sz w:val="24"/>
          <w:szCs w:val="24"/>
          <w:lang w:val="es-ES_tradnl"/>
        </w:rPr>
        <w:t xml:space="preserve">. El área de oportunidad del </w:t>
      </w:r>
      <w:r w:rsidR="008710F6" w:rsidRPr="00B92499">
        <w:rPr>
          <w:rFonts w:ascii="Arial" w:hAnsi="Arial" w:cs="Arial"/>
          <w:sz w:val="24"/>
          <w:szCs w:val="24"/>
          <w:lang w:val="es-ES_tradnl"/>
        </w:rPr>
        <w:t>sujeto obligado</w:t>
      </w:r>
      <w:r w:rsidRPr="00B92499">
        <w:rPr>
          <w:rFonts w:ascii="Arial" w:hAnsi="Arial" w:cs="Arial"/>
          <w:sz w:val="24"/>
          <w:szCs w:val="24"/>
          <w:lang w:val="es-ES_tradnl"/>
        </w:rPr>
        <w:t xml:space="preserve"> consiste </w:t>
      </w:r>
      <w:r w:rsidR="00814637" w:rsidRPr="00B92499">
        <w:rPr>
          <w:rFonts w:ascii="Arial" w:hAnsi="Arial" w:cs="Arial"/>
          <w:sz w:val="24"/>
          <w:szCs w:val="24"/>
          <w:lang w:val="es-ES_tradnl"/>
        </w:rPr>
        <w:t>en publicar y actualizar la información correspondiente al primer y segundo trimestre del año 2019.</w:t>
      </w:r>
    </w:p>
    <w:p w14:paraId="561B2D62" w14:textId="7C823E56" w:rsidR="000B0B2E" w:rsidRPr="00B92499" w:rsidRDefault="000B0B2E" w:rsidP="009F64B5">
      <w:pPr>
        <w:pStyle w:val="Prrafodelista"/>
        <w:numPr>
          <w:ilvl w:val="0"/>
          <w:numId w:val="25"/>
        </w:numPr>
        <w:spacing w:before="100" w:beforeAutospacing="1" w:after="100" w:afterAutospacing="1" w:line="360" w:lineRule="auto"/>
        <w:jc w:val="both"/>
        <w:rPr>
          <w:rFonts w:ascii="Arial" w:hAnsi="Arial" w:cs="Arial"/>
          <w:sz w:val="24"/>
          <w:szCs w:val="24"/>
          <w:lang w:val="es-ES_tradnl"/>
        </w:rPr>
      </w:pPr>
      <w:r w:rsidRPr="00B92499">
        <w:rPr>
          <w:rFonts w:ascii="Arial" w:hAnsi="Arial" w:cs="Arial"/>
          <w:sz w:val="24"/>
          <w:szCs w:val="24"/>
          <w:lang w:val="es-ES_tradnl"/>
        </w:rPr>
        <w:t>Fracción X</w:t>
      </w:r>
      <w:r w:rsidR="003C6FE5" w:rsidRPr="00B92499">
        <w:rPr>
          <w:rFonts w:ascii="Arial" w:hAnsi="Arial" w:cs="Arial"/>
          <w:sz w:val="24"/>
          <w:szCs w:val="24"/>
          <w:lang w:val="es-ES_tradnl"/>
        </w:rPr>
        <w:t>I</w:t>
      </w:r>
      <w:r w:rsidRPr="00B92499">
        <w:rPr>
          <w:rFonts w:ascii="Arial" w:hAnsi="Arial" w:cs="Arial"/>
          <w:sz w:val="24"/>
          <w:szCs w:val="24"/>
          <w:lang w:val="es-ES_tradnl"/>
        </w:rPr>
        <w:t xml:space="preserve">, con un ICP de </w:t>
      </w:r>
      <w:r w:rsidR="003C6FE5" w:rsidRPr="00B92499">
        <w:rPr>
          <w:rFonts w:ascii="Arial" w:hAnsi="Arial" w:cs="Arial"/>
          <w:sz w:val="24"/>
          <w:szCs w:val="24"/>
          <w:lang w:val="es-ES_tradnl"/>
        </w:rPr>
        <w:t>93.75</w:t>
      </w:r>
      <w:r w:rsidRPr="00B92499">
        <w:rPr>
          <w:rFonts w:ascii="Arial" w:hAnsi="Arial" w:cs="Arial"/>
          <w:sz w:val="24"/>
          <w:szCs w:val="24"/>
          <w:lang w:val="es-ES_tradnl"/>
        </w:rPr>
        <w:t xml:space="preserve">%, que establece la publicación de </w:t>
      </w:r>
      <w:r w:rsidR="003C6FE5" w:rsidRPr="00B92499">
        <w:rPr>
          <w:rFonts w:ascii="Arial" w:hAnsi="Arial" w:cs="Arial"/>
          <w:sz w:val="24"/>
          <w:szCs w:val="24"/>
          <w:lang w:val="es-ES_tradnl"/>
        </w:rPr>
        <w:t xml:space="preserve">el número de quejas, denuncias y recursos de revisión dirigidos a cada uno de los </w:t>
      </w:r>
      <w:r w:rsidR="008710F6" w:rsidRPr="00B92499">
        <w:rPr>
          <w:rFonts w:ascii="Arial" w:hAnsi="Arial" w:cs="Arial"/>
          <w:sz w:val="24"/>
          <w:szCs w:val="24"/>
          <w:lang w:val="es-ES_tradnl"/>
        </w:rPr>
        <w:t>sujeto</w:t>
      </w:r>
      <w:r w:rsidR="003C6FE5" w:rsidRPr="00B92499">
        <w:rPr>
          <w:rFonts w:ascii="Arial" w:hAnsi="Arial" w:cs="Arial"/>
          <w:sz w:val="24"/>
          <w:szCs w:val="24"/>
          <w:lang w:val="es-ES_tradnl"/>
        </w:rPr>
        <w:t>s obligados</w:t>
      </w:r>
      <w:r w:rsidRPr="00B92499">
        <w:rPr>
          <w:rFonts w:ascii="Arial" w:hAnsi="Arial" w:cs="Arial"/>
          <w:sz w:val="24"/>
          <w:szCs w:val="24"/>
          <w:lang w:val="es-ES_tradnl"/>
        </w:rPr>
        <w:t xml:space="preserve">. El área de oportunidad del </w:t>
      </w:r>
      <w:r w:rsidR="008710F6" w:rsidRPr="00B92499">
        <w:rPr>
          <w:rFonts w:ascii="Arial" w:hAnsi="Arial" w:cs="Arial"/>
          <w:sz w:val="24"/>
          <w:szCs w:val="24"/>
          <w:lang w:val="es-ES_tradnl"/>
        </w:rPr>
        <w:t>sujeto obligado</w:t>
      </w:r>
      <w:r w:rsidRPr="00B92499">
        <w:rPr>
          <w:rFonts w:ascii="Arial" w:hAnsi="Arial" w:cs="Arial"/>
          <w:sz w:val="24"/>
          <w:szCs w:val="24"/>
          <w:lang w:val="es-ES_tradnl"/>
        </w:rPr>
        <w:t xml:space="preserve"> consiste </w:t>
      </w:r>
      <w:r w:rsidR="00814637" w:rsidRPr="00B92499">
        <w:rPr>
          <w:rFonts w:ascii="Arial" w:hAnsi="Arial" w:cs="Arial"/>
          <w:sz w:val="24"/>
          <w:szCs w:val="24"/>
          <w:lang w:val="es-ES_tradnl"/>
        </w:rPr>
        <w:t>en publicar y actualizar la información correspondiente al primer y segundo trimestre del año 2019.</w:t>
      </w:r>
    </w:p>
    <w:p w14:paraId="6BA8F638" w14:textId="51DDF0C9" w:rsidR="000B0B2E" w:rsidRPr="00B92499" w:rsidRDefault="000B0B2E" w:rsidP="000B0B2E">
      <w:pPr>
        <w:spacing w:before="100" w:beforeAutospacing="1" w:after="100" w:afterAutospacing="1" w:line="360" w:lineRule="auto"/>
        <w:jc w:val="both"/>
        <w:rPr>
          <w:rFonts w:ascii="Arial" w:hAnsi="Arial" w:cs="Arial"/>
        </w:rPr>
      </w:pPr>
      <w:r w:rsidRPr="00B92499">
        <w:rPr>
          <w:rFonts w:ascii="Arial" w:hAnsi="Arial" w:cs="Arial"/>
        </w:rPr>
        <w:t xml:space="preserve">De igual forma, en </w:t>
      </w:r>
      <w:r w:rsidR="000D67A7" w:rsidRPr="00B92499">
        <w:rPr>
          <w:rFonts w:ascii="Arial" w:hAnsi="Arial" w:cs="Arial"/>
        </w:rPr>
        <w:t xml:space="preserve"> 9 </w:t>
      </w:r>
      <w:r w:rsidRPr="00B92499">
        <w:rPr>
          <w:rFonts w:ascii="Arial" w:hAnsi="Arial" w:cs="Arial"/>
        </w:rPr>
        <w:t xml:space="preserve"> fracciones del artículo 1</w:t>
      </w:r>
      <w:r w:rsidR="003C6FE5" w:rsidRPr="00B92499">
        <w:rPr>
          <w:rFonts w:ascii="Arial" w:hAnsi="Arial" w:cs="Arial"/>
        </w:rPr>
        <w:t>33</w:t>
      </w:r>
      <w:r w:rsidRPr="00B92499">
        <w:rPr>
          <w:rFonts w:ascii="Arial" w:hAnsi="Arial" w:cs="Arial"/>
        </w:rPr>
        <w:t xml:space="preserve"> alcanzó un ICP de 100%</w:t>
      </w:r>
      <w:r w:rsidR="00490622" w:rsidRPr="00B92499">
        <w:rPr>
          <w:rFonts w:ascii="Arial" w:hAnsi="Arial" w:cs="Arial"/>
        </w:rPr>
        <w:t>.</w:t>
      </w:r>
    </w:p>
    <w:p w14:paraId="4BFAB895" w14:textId="4A6B36DF" w:rsidR="000B0B2E" w:rsidRPr="00B92499" w:rsidRDefault="000B0B2E" w:rsidP="000B0B2E">
      <w:pPr>
        <w:spacing w:before="100" w:beforeAutospacing="1" w:after="100" w:afterAutospacing="1" w:line="360" w:lineRule="auto"/>
        <w:jc w:val="both"/>
        <w:rPr>
          <w:rFonts w:ascii="Arial" w:hAnsi="Arial" w:cs="Arial"/>
        </w:rPr>
      </w:pPr>
      <w:r w:rsidRPr="00B92499">
        <w:rPr>
          <w:rFonts w:ascii="Arial" w:hAnsi="Arial" w:cs="Arial"/>
        </w:rPr>
        <w:t>Con el objetivo de mostrar con mayor detalle el ICP de cada fracción del artículo 1</w:t>
      </w:r>
      <w:r w:rsidR="003C6FE5" w:rsidRPr="00B92499">
        <w:rPr>
          <w:rFonts w:ascii="Arial" w:hAnsi="Arial" w:cs="Arial"/>
        </w:rPr>
        <w:t>33</w:t>
      </w:r>
      <w:r w:rsidR="00490622" w:rsidRPr="00B92499">
        <w:rPr>
          <w:rFonts w:ascii="Arial" w:hAnsi="Arial" w:cs="Arial"/>
        </w:rPr>
        <w:t>,</w:t>
      </w:r>
      <w:r w:rsidRPr="00B92499">
        <w:rPr>
          <w:rFonts w:ascii="Arial" w:hAnsi="Arial" w:cs="Arial"/>
        </w:rPr>
        <w:t xml:space="preserve"> es presentada la siguiente tabla ordenada de forma descendente.</w:t>
      </w:r>
    </w:p>
    <w:tbl>
      <w:tblPr>
        <w:tblW w:w="8931" w:type="dxa"/>
        <w:tblCellMar>
          <w:left w:w="70" w:type="dxa"/>
          <w:right w:w="70" w:type="dxa"/>
        </w:tblCellMar>
        <w:tblLook w:val="04A0" w:firstRow="1" w:lastRow="0" w:firstColumn="1" w:lastColumn="0" w:noHBand="0" w:noVBand="1"/>
      </w:tblPr>
      <w:tblGrid>
        <w:gridCol w:w="974"/>
        <w:gridCol w:w="7036"/>
        <w:gridCol w:w="921"/>
      </w:tblGrid>
      <w:tr w:rsidR="000B0B2E" w:rsidRPr="00B92499" w14:paraId="373D6514" w14:textId="77777777" w:rsidTr="008710F6">
        <w:trPr>
          <w:trHeight w:val="20"/>
          <w:tblHeader/>
        </w:trPr>
        <w:tc>
          <w:tcPr>
            <w:tcW w:w="8931" w:type="dxa"/>
            <w:gridSpan w:val="3"/>
            <w:tcBorders>
              <w:top w:val="single" w:sz="4" w:space="0" w:color="auto"/>
              <w:left w:val="single" w:sz="4" w:space="0" w:color="auto"/>
              <w:bottom w:val="single" w:sz="4" w:space="0" w:color="auto"/>
              <w:right w:val="single" w:sz="4" w:space="0" w:color="auto"/>
            </w:tcBorders>
            <w:shd w:val="clear" w:color="auto" w:fill="00B0F0"/>
            <w:noWrap/>
            <w:vAlign w:val="center"/>
            <w:hideMark/>
          </w:tcPr>
          <w:p w14:paraId="6C87F7E1" w14:textId="719507C4" w:rsidR="000B0B2E" w:rsidRPr="00B92499" w:rsidRDefault="000B0B2E" w:rsidP="008710F6">
            <w:pPr>
              <w:jc w:val="center"/>
              <w:rPr>
                <w:rFonts w:ascii="Arial" w:hAnsi="Arial" w:cs="Arial"/>
                <w:b/>
                <w:bCs/>
                <w:color w:val="000000"/>
                <w:sz w:val="20"/>
                <w:szCs w:val="20"/>
              </w:rPr>
            </w:pPr>
            <w:r w:rsidRPr="00B92499">
              <w:rPr>
                <w:rFonts w:ascii="Arial" w:hAnsi="Arial" w:cs="Arial"/>
                <w:b/>
                <w:bCs/>
                <w:color w:val="000000"/>
                <w:sz w:val="20"/>
                <w:szCs w:val="20"/>
              </w:rPr>
              <w:lastRenderedPageBreak/>
              <w:t>Artículo 1</w:t>
            </w:r>
            <w:r w:rsidR="00741711" w:rsidRPr="00B92499">
              <w:rPr>
                <w:rFonts w:ascii="Arial" w:hAnsi="Arial" w:cs="Arial"/>
                <w:b/>
                <w:bCs/>
                <w:color w:val="000000"/>
                <w:sz w:val="20"/>
                <w:szCs w:val="20"/>
              </w:rPr>
              <w:t>33</w:t>
            </w:r>
            <w:r w:rsidRPr="00B92499">
              <w:rPr>
                <w:rFonts w:ascii="Arial" w:hAnsi="Arial" w:cs="Arial"/>
                <w:b/>
                <w:bCs/>
                <w:color w:val="000000"/>
                <w:sz w:val="20"/>
                <w:szCs w:val="20"/>
              </w:rPr>
              <w:t xml:space="preserve"> de las </w:t>
            </w:r>
            <w:r w:rsidR="008710F6" w:rsidRPr="00B92499">
              <w:rPr>
                <w:rFonts w:ascii="Arial" w:hAnsi="Arial" w:cs="Arial"/>
                <w:b/>
                <w:bCs/>
                <w:color w:val="000000"/>
                <w:sz w:val="20"/>
                <w:szCs w:val="20"/>
              </w:rPr>
              <w:t>obligaciones de transparencia</w:t>
            </w:r>
            <w:r w:rsidRPr="00B92499">
              <w:rPr>
                <w:rFonts w:ascii="Arial" w:hAnsi="Arial" w:cs="Arial"/>
                <w:b/>
                <w:bCs/>
                <w:color w:val="000000"/>
                <w:sz w:val="20"/>
                <w:szCs w:val="20"/>
              </w:rPr>
              <w:t xml:space="preserve"> específicas</w:t>
            </w:r>
          </w:p>
        </w:tc>
      </w:tr>
      <w:tr w:rsidR="000B0B2E" w:rsidRPr="00B92499" w14:paraId="1DBB1998" w14:textId="77777777" w:rsidTr="003C6FE5">
        <w:trPr>
          <w:trHeight w:val="20"/>
          <w:tblHeader/>
        </w:trPr>
        <w:tc>
          <w:tcPr>
            <w:tcW w:w="0" w:type="auto"/>
            <w:tcBorders>
              <w:top w:val="nil"/>
              <w:left w:val="single" w:sz="4" w:space="0" w:color="auto"/>
              <w:bottom w:val="single" w:sz="4" w:space="0" w:color="auto"/>
              <w:right w:val="single" w:sz="4" w:space="0" w:color="auto"/>
            </w:tcBorders>
            <w:shd w:val="clear" w:color="auto" w:fill="00B0F0"/>
            <w:noWrap/>
            <w:vAlign w:val="center"/>
            <w:hideMark/>
          </w:tcPr>
          <w:p w14:paraId="495B914C" w14:textId="77777777" w:rsidR="000B0B2E" w:rsidRPr="00B92499" w:rsidRDefault="000B0B2E" w:rsidP="008710F6">
            <w:pPr>
              <w:jc w:val="center"/>
              <w:rPr>
                <w:rFonts w:ascii="Arial" w:hAnsi="Arial" w:cs="Arial"/>
                <w:b/>
                <w:bCs/>
                <w:color w:val="000000"/>
                <w:sz w:val="20"/>
                <w:szCs w:val="20"/>
              </w:rPr>
            </w:pPr>
            <w:r w:rsidRPr="00B92499">
              <w:rPr>
                <w:rFonts w:ascii="Arial" w:hAnsi="Arial" w:cs="Arial"/>
                <w:b/>
                <w:bCs/>
                <w:color w:val="000000"/>
                <w:sz w:val="20"/>
                <w:szCs w:val="20"/>
              </w:rPr>
              <w:t>Fracción</w:t>
            </w:r>
          </w:p>
        </w:tc>
        <w:tc>
          <w:tcPr>
            <w:tcW w:w="0" w:type="auto"/>
            <w:tcBorders>
              <w:top w:val="nil"/>
              <w:left w:val="nil"/>
              <w:bottom w:val="single" w:sz="4" w:space="0" w:color="auto"/>
              <w:right w:val="single" w:sz="4" w:space="0" w:color="auto"/>
            </w:tcBorders>
            <w:shd w:val="clear" w:color="auto" w:fill="00B0F0"/>
            <w:noWrap/>
            <w:vAlign w:val="center"/>
            <w:hideMark/>
          </w:tcPr>
          <w:p w14:paraId="58E1F310" w14:textId="77777777" w:rsidR="000B0B2E" w:rsidRPr="00B92499" w:rsidRDefault="000B0B2E" w:rsidP="008710F6">
            <w:pPr>
              <w:jc w:val="center"/>
              <w:rPr>
                <w:rFonts w:ascii="Arial" w:hAnsi="Arial" w:cs="Arial"/>
                <w:b/>
                <w:bCs/>
                <w:color w:val="000000"/>
                <w:sz w:val="20"/>
                <w:szCs w:val="20"/>
              </w:rPr>
            </w:pPr>
            <w:r w:rsidRPr="00B92499">
              <w:rPr>
                <w:rFonts w:ascii="Arial" w:hAnsi="Arial" w:cs="Arial"/>
                <w:b/>
                <w:bCs/>
                <w:color w:val="000000"/>
                <w:sz w:val="20"/>
                <w:szCs w:val="20"/>
              </w:rPr>
              <w:t>Resumen de la Fracción</w:t>
            </w:r>
          </w:p>
        </w:tc>
        <w:tc>
          <w:tcPr>
            <w:tcW w:w="1201" w:type="dxa"/>
            <w:tcBorders>
              <w:top w:val="nil"/>
              <w:left w:val="nil"/>
              <w:bottom w:val="single" w:sz="4" w:space="0" w:color="auto"/>
              <w:right w:val="single" w:sz="4" w:space="0" w:color="auto"/>
            </w:tcBorders>
            <w:shd w:val="clear" w:color="auto" w:fill="00B0F0"/>
            <w:vAlign w:val="center"/>
            <w:hideMark/>
          </w:tcPr>
          <w:p w14:paraId="6F36A093" w14:textId="77777777" w:rsidR="000B0B2E" w:rsidRPr="00B92499" w:rsidRDefault="000B0B2E" w:rsidP="008710F6">
            <w:pPr>
              <w:jc w:val="center"/>
              <w:rPr>
                <w:rFonts w:ascii="Arial" w:hAnsi="Arial" w:cs="Arial"/>
                <w:b/>
                <w:bCs/>
                <w:color w:val="000000"/>
                <w:sz w:val="20"/>
                <w:szCs w:val="20"/>
              </w:rPr>
            </w:pPr>
            <w:r w:rsidRPr="00B92499">
              <w:rPr>
                <w:rFonts w:ascii="Arial" w:hAnsi="Arial" w:cs="Arial"/>
                <w:b/>
                <w:bCs/>
                <w:color w:val="000000"/>
                <w:sz w:val="20"/>
                <w:szCs w:val="20"/>
              </w:rPr>
              <w:t>ICP</w:t>
            </w:r>
          </w:p>
        </w:tc>
      </w:tr>
      <w:tr w:rsidR="003C6FE5" w:rsidRPr="00B92499" w14:paraId="66C1089A" w14:textId="77777777" w:rsidTr="003C6FE5">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38F6421" w14:textId="77777777" w:rsidR="003C6FE5" w:rsidRPr="00B92499" w:rsidRDefault="003C6FE5">
            <w:pPr>
              <w:jc w:val="center"/>
              <w:rPr>
                <w:rFonts w:ascii="Arial" w:hAnsi="Arial" w:cs="Arial"/>
                <w:color w:val="000000"/>
                <w:sz w:val="20"/>
                <w:szCs w:val="20"/>
              </w:rPr>
            </w:pPr>
            <w:r w:rsidRPr="00B92499">
              <w:rPr>
                <w:rFonts w:ascii="Arial" w:hAnsi="Arial" w:cs="Arial"/>
                <w:color w:val="000000"/>
                <w:sz w:val="20"/>
                <w:szCs w:val="20"/>
              </w:rPr>
              <w:t>III</w:t>
            </w:r>
          </w:p>
        </w:tc>
        <w:tc>
          <w:tcPr>
            <w:tcW w:w="0" w:type="auto"/>
            <w:tcBorders>
              <w:top w:val="nil"/>
              <w:left w:val="nil"/>
              <w:bottom w:val="single" w:sz="4" w:space="0" w:color="auto"/>
              <w:right w:val="single" w:sz="4" w:space="0" w:color="auto"/>
            </w:tcBorders>
            <w:shd w:val="clear" w:color="auto" w:fill="auto"/>
            <w:vAlign w:val="center"/>
            <w:hideMark/>
          </w:tcPr>
          <w:p w14:paraId="6F011A35" w14:textId="00ADDE25" w:rsidR="003C6FE5" w:rsidRPr="00B92499" w:rsidRDefault="003C6FE5" w:rsidP="003C6FE5">
            <w:pPr>
              <w:jc w:val="both"/>
              <w:rPr>
                <w:rFonts w:ascii="Arial" w:hAnsi="Arial" w:cs="Arial"/>
                <w:color w:val="000000"/>
                <w:sz w:val="20"/>
                <w:szCs w:val="20"/>
              </w:rPr>
            </w:pPr>
            <w:r w:rsidRPr="00B92499">
              <w:rPr>
                <w:rFonts w:ascii="Arial" w:hAnsi="Arial" w:cs="Arial"/>
                <w:color w:val="000000"/>
                <w:sz w:val="20"/>
                <w:szCs w:val="20"/>
              </w:rPr>
              <w:t>Estadísticas e indicadores sobre los medios de impugnación.</w:t>
            </w:r>
          </w:p>
        </w:tc>
        <w:tc>
          <w:tcPr>
            <w:tcW w:w="1201" w:type="dxa"/>
            <w:tcBorders>
              <w:top w:val="nil"/>
              <w:left w:val="nil"/>
              <w:bottom w:val="single" w:sz="4" w:space="0" w:color="auto"/>
              <w:right w:val="single" w:sz="4" w:space="0" w:color="auto"/>
            </w:tcBorders>
            <w:shd w:val="clear" w:color="auto" w:fill="auto"/>
            <w:vAlign w:val="center"/>
            <w:hideMark/>
          </w:tcPr>
          <w:p w14:paraId="18574364" w14:textId="77777777" w:rsidR="003C6FE5" w:rsidRPr="00B92499" w:rsidRDefault="003C6FE5" w:rsidP="003C6FE5">
            <w:pPr>
              <w:jc w:val="center"/>
              <w:rPr>
                <w:rFonts w:ascii="Arial" w:hAnsi="Arial" w:cs="Arial"/>
                <w:color w:val="000000"/>
                <w:sz w:val="20"/>
                <w:szCs w:val="20"/>
              </w:rPr>
            </w:pPr>
            <w:r w:rsidRPr="00B92499">
              <w:rPr>
                <w:rFonts w:ascii="Arial" w:hAnsi="Arial" w:cs="Arial"/>
                <w:color w:val="000000"/>
                <w:sz w:val="20"/>
                <w:szCs w:val="20"/>
              </w:rPr>
              <w:t>100</w:t>
            </w:r>
          </w:p>
        </w:tc>
      </w:tr>
      <w:tr w:rsidR="003C6FE5" w:rsidRPr="00B92499" w14:paraId="5D7BEFBB" w14:textId="77777777" w:rsidTr="003C6FE5">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673DB68" w14:textId="77777777" w:rsidR="003C6FE5" w:rsidRPr="00B92499" w:rsidRDefault="003C6FE5">
            <w:pPr>
              <w:jc w:val="center"/>
              <w:rPr>
                <w:rFonts w:ascii="Arial" w:hAnsi="Arial" w:cs="Arial"/>
                <w:color w:val="000000"/>
                <w:sz w:val="20"/>
                <w:szCs w:val="20"/>
              </w:rPr>
            </w:pPr>
            <w:r w:rsidRPr="00B92499">
              <w:rPr>
                <w:rFonts w:ascii="Arial" w:hAnsi="Arial" w:cs="Arial"/>
                <w:color w:val="000000"/>
                <w:sz w:val="20"/>
                <w:szCs w:val="20"/>
              </w:rPr>
              <w:t>IV</w:t>
            </w:r>
          </w:p>
        </w:tc>
        <w:tc>
          <w:tcPr>
            <w:tcW w:w="0" w:type="auto"/>
            <w:tcBorders>
              <w:top w:val="nil"/>
              <w:left w:val="nil"/>
              <w:bottom w:val="single" w:sz="4" w:space="0" w:color="auto"/>
              <w:right w:val="single" w:sz="4" w:space="0" w:color="auto"/>
            </w:tcBorders>
            <w:shd w:val="clear" w:color="auto" w:fill="auto"/>
            <w:vAlign w:val="center"/>
            <w:hideMark/>
          </w:tcPr>
          <w:p w14:paraId="75B4E7FD" w14:textId="1648C4AD" w:rsidR="003C6FE5" w:rsidRPr="00B92499" w:rsidRDefault="003C6FE5" w:rsidP="003C6FE5">
            <w:pPr>
              <w:jc w:val="both"/>
              <w:rPr>
                <w:rFonts w:ascii="Arial" w:hAnsi="Arial" w:cs="Arial"/>
                <w:color w:val="000000"/>
                <w:sz w:val="20"/>
                <w:szCs w:val="20"/>
              </w:rPr>
            </w:pPr>
            <w:r w:rsidRPr="00B92499">
              <w:rPr>
                <w:rFonts w:ascii="Arial" w:hAnsi="Arial" w:cs="Arial"/>
                <w:color w:val="000000"/>
                <w:sz w:val="20"/>
                <w:szCs w:val="20"/>
              </w:rPr>
              <w:t>Los estudios que apoyan la resolución de los recursos de revisión.</w:t>
            </w:r>
          </w:p>
        </w:tc>
        <w:tc>
          <w:tcPr>
            <w:tcW w:w="1201" w:type="dxa"/>
            <w:tcBorders>
              <w:top w:val="nil"/>
              <w:left w:val="nil"/>
              <w:bottom w:val="single" w:sz="4" w:space="0" w:color="auto"/>
              <w:right w:val="single" w:sz="4" w:space="0" w:color="auto"/>
            </w:tcBorders>
            <w:shd w:val="clear" w:color="auto" w:fill="auto"/>
            <w:vAlign w:val="center"/>
            <w:hideMark/>
          </w:tcPr>
          <w:p w14:paraId="3834D27E" w14:textId="77777777" w:rsidR="003C6FE5" w:rsidRPr="00B92499" w:rsidRDefault="003C6FE5" w:rsidP="003C6FE5">
            <w:pPr>
              <w:jc w:val="center"/>
              <w:rPr>
                <w:rFonts w:ascii="Arial" w:hAnsi="Arial" w:cs="Arial"/>
                <w:color w:val="000000"/>
                <w:sz w:val="20"/>
                <w:szCs w:val="20"/>
              </w:rPr>
            </w:pPr>
            <w:r w:rsidRPr="00B92499">
              <w:rPr>
                <w:rFonts w:ascii="Arial" w:hAnsi="Arial" w:cs="Arial"/>
                <w:color w:val="000000"/>
                <w:sz w:val="20"/>
                <w:szCs w:val="20"/>
              </w:rPr>
              <w:t>100</w:t>
            </w:r>
          </w:p>
        </w:tc>
      </w:tr>
      <w:tr w:rsidR="003C6FE5" w:rsidRPr="00B92499" w14:paraId="03844700" w14:textId="77777777" w:rsidTr="003C6FE5">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6A8CF78" w14:textId="77777777" w:rsidR="003C6FE5" w:rsidRPr="00B92499" w:rsidRDefault="003C6FE5">
            <w:pPr>
              <w:jc w:val="center"/>
              <w:rPr>
                <w:rFonts w:ascii="Arial" w:hAnsi="Arial" w:cs="Arial"/>
                <w:color w:val="000000"/>
                <w:sz w:val="20"/>
                <w:szCs w:val="20"/>
              </w:rPr>
            </w:pPr>
            <w:r w:rsidRPr="00B92499">
              <w:rPr>
                <w:rFonts w:ascii="Arial" w:hAnsi="Arial" w:cs="Arial"/>
                <w:color w:val="000000"/>
                <w:sz w:val="20"/>
                <w:szCs w:val="20"/>
              </w:rPr>
              <w:t>V</w:t>
            </w:r>
          </w:p>
        </w:tc>
        <w:tc>
          <w:tcPr>
            <w:tcW w:w="0" w:type="auto"/>
            <w:tcBorders>
              <w:top w:val="nil"/>
              <w:left w:val="nil"/>
              <w:bottom w:val="single" w:sz="4" w:space="0" w:color="auto"/>
              <w:right w:val="single" w:sz="4" w:space="0" w:color="auto"/>
            </w:tcBorders>
            <w:shd w:val="clear" w:color="auto" w:fill="auto"/>
            <w:vAlign w:val="center"/>
            <w:hideMark/>
          </w:tcPr>
          <w:p w14:paraId="452C1612" w14:textId="15987EE5" w:rsidR="003C6FE5" w:rsidRPr="00B92499" w:rsidRDefault="003C6FE5" w:rsidP="003C6FE5">
            <w:pPr>
              <w:jc w:val="both"/>
              <w:rPr>
                <w:rFonts w:ascii="Arial" w:hAnsi="Arial" w:cs="Arial"/>
                <w:color w:val="000000"/>
                <w:sz w:val="20"/>
                <w:szCs w:val="20"/>
              </w:rPr>
            </w:pPr>
            <w:r w:rsidRPr="00B92499">
              <w:rPr>
                <w:rFonts w:ascii="Arial" w:hAnsi="Arial" w:cs="Arial"/>
                <w:color w:val="000000"/>
                <w:sz w:val="20"/>
                <w:szCs w:val="20"/>
              </w:rPr>
              <w:t>En su caso, las sentencias, ejecutorias o suspensiones judiciales que existan en contra de sus resoluciones.</w:t>
            </w:r>
          </w:p>
        </w:tc>
        <w:tc>
          <w:tcPr>
            <w:tcW w:w="1201" w:type="dxa"/>
            <w:tcBorders>
              <w:top w:val="nil"/>
              <w:left w:val="nil"/>
              <w:bottom w:val="single" w:sz="4" w:space="0" w:color="auto"/>
              <w:right w:val="single" w:sz="4" w:space="0" w:color="auto"/>
            </w:tcBorders>
            <w:shd w:val="clear" w:color="auto" w:fill="auto"/>
            <w:vAlign w:val="center"/>
            <w:hideMark/>
          </w:tcPr>
          <w:p w14:paraId="47578489" w14:textId="77777777" w:rsidR="003C6FE5" w:rsidRPr="00B92499" w:rsidRDefault="003C6FE5" w:rsidP="003C6FE5">
            <w:pPr>
              <w:jc w:val="center"/>
              <w:rPr>
                <w:rFonts w:ascii="Arial" w:hAnsi="Arial" w:cs="Arial"/>
                <w:color w:val="000000"/>
                <w:sz w:val="20"/>
                <w:szCs w:val="20"/>
              </w:rPr>
            </w:pPr>
            <w:r w:rsidRPr="00B92499">
              <w:rPr>
                <w:rFonts w:ascii="Arial" w:hAnsi="Arial" w:cs="Arial"/>
                <w:color w:val="000000"/>
                <w:sz w:val="20"/>
                <w:szCs w:val="20"/>
              </w:rPr>
              <w:t>100</w:t>
            </w:r>
          </w:p>
        </w:tc>
      </w:tr>
      <w:tr w:rsidR="003C6FE5" w:rsidRPr="00B92499" w14:paraId="52CBEA1A" w14:textId="77777777" w:rsidTr="003C6FE5">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4A48C91" w14:textId="77777777" w:rsidR="003C6FE5" w:rsidRPr="00B92499" w:rsidRDefault="003C6FE5">
            <w:pPr>
              <w:jc w:val="center"/>
              <w:rPr>
                <w:rFonts w:ascii="Arial" w:hAnsi="Arial" w:cs="Arial"/>
                <w:color w:val="000000"/>
                <w:sz w:val="20"/>
                <w:szCs w:val="20"/>
              </w:rPr>
            </w:pPr>
            <w:r w:rsidRPr="00B92499">
              <w:rPr>
                <w:rFonts w:ascii="Arial" w:hAnsi="Arial" w:cs="Arial"/>
                <w:color w:val="000000"/>
                <w:sz w:val="20"/>
                <w:szCs w:val="20"/>
              </w:rPr>
              <w:t>VI</w:t>
            </w:r>
          </w:p>
        </w:tc>
        <w:tc>
          <w:tcPr>
            <w:tcW w:w="0" w:type="auto"/>
            <w:tcBorders>
              <w:top w:val="nil"/>
              <w:left w:val="nil"/>
              <w:bottom w:val="single" w:sz="4" w:space="0" w:color="auto"/>
              <w:right w:val="single" w:sz="4" w:space="0" w:color="auto"/>
            </w:tcBorders>
            <w:shd w:val="clear" w:color="auto" w:fill="auto"/>
            <w:vAlign w:val="center"/>
            <w:hideMark/>
          </w:tcPr>
          <w:p w14:paraId="37B147AE" w14:textId="184E7984" w:rsidR="003C6FE5" w:rsidRPr="00B92499" w:rsidRDefault="003C6FE5" w:rsidP="003C6FE5">
            <w:pPr>
              <w:jc w:val="both"/>
              <w:rPr>
                <w:rFonts w:ascii="Arial" w:hAnsi="Arial" w:cs="Arial"/>
                <w:color w:val="000000"/>
                <w:sz w:val="20"/>
                <w:szCs w:val="20"/>
              </w:rPr>
            </w:pPr>
            <w:r w:rsidRPr="00B92499">
              <w:rPr>
                <w:rFonts w:ascii="Arial" w:hAnsi="Arial" w:cs="Arial"/>
                <w:color w:val="000000"/>
                <w:sz w:val="20"/>
                <w:szCs w:val="20"/>
              </w:rPr>
              <w:t>Estadísticas sobre las solicitudes de información y de datos personales.</w:t>
            </w:r>
          </w:p>
        </w:tc>
        <w:tc>
          <w:tcPr>
            <w:tcW w:w="1201" w:type="dxa"/>
            <w:tcBorders>
              <w:top w:val="nil"/>
              <w:left w:val="nil"/>
              <w:bottom w:val="single" w:sz="4" w:space="0" w:color="auto"/>
              <w:right w:val="single" w:sz="4" w:space="0" w:color="auto"/>
            </w:tcBorders>
            <w:shd w:val="clear" w:color="auto" w:fill="auto"/>
            <w:vAlign w:val="center"/>
            <w:hideMark/>
          </w:tcPr>
          <w:p w14:paraId="2717B01C" w14:textId="77777777" w:rsidR="003C6FE5" w:rsidRPr="00B92499" w:rsidRDefault="003C6FE5" w:rsidP="003C6FE5">
            <w:pPr>
              <w:jc w:val="center"/>
              <w:rPr>
                <w:rFonts w:ascii="Arial" w:hAnsi="Arial" w:cs="Arial"/>
                <w:color w:val="000000"/>
                <w:sz w:val="20"/>
                <w:szCs w:val="20"/>
              </w:rPr>
            </w:pPr>
            <w:r w:rsidRPr="00B92499">
              <w:rPr>
                <w:rFonts w:ascii="Arial" w:hAnsi="Arial" w:cs="Arial"/>
                <w:color w:val="000000"/>
                <w:sz w:val="20"/>
                <w:szCs w:val="20"/>
              </w:rPr>
              <w:t>100</w:t>
            </w:r>
          </w:p>
        </w:tc>
      </w:tr>
      <w:tr w:rsidR="003C6FE5" w:rsidRPr="00B92499" w14:paraId="64FEF0B2" w14:textId="77777777" w:rsidTr="003C6FE5">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3E0CFAB" w14:textId="77777777" w:rsidR="003C6FE5" w:rsidRPr="00B92499" w:rsidRDefault="003C6FE5">
            <w:pPr>
              <w:jc w:val="center"/>
              <w:rPr>
                <w:rFonts w:ascii="Arial" w:hAnsi="Arial" w:cs="Arial"/>
                <w:color w:val="000000"/>
                <w:sz w:val="20"/>
                <w:szCs w:val="20"/>
              </w:rPr>
            </w:pPr>
            <w:r w:rsidRPr="00B92499">
              <w:rPr>
                <w:rFonts w:ascii="Arial" w:hAnsi="Arial" w:cs="Arial"/>
                <w:color w:val="000000"/>
                <w:sz w:val="20"/>
                <w:szCs w:val="20"/>
              </w:rPr>
              <w:t>VIII</w:t>
            </w:r>
          </w:p>
        </w:tc>
        <w:tc>
          <w:tcPr>
            <w:tcW w:w="0" w:type="auto"/>
            <w:tcBorders>
              <w:top w:val="nil"/>
              <w:left w:val="nil"/>
              <w:bottom w:val="single" w:sz="4" w:space="0" w:color="auto"/>
              <w:right w:val="single" w:sz="4" w:space="0" w:color="auto"/>
            </w:tcBorders>
            <w:shd w:val="clear" w:color="auto" w:fill="auto"/>
            <w:vAlign w:val="center"/>
            <w:hideMark/>
          </w:tcPr>
          <w:p w14:paraId="128BC65D" w14:textId="760138CE" w:rsidR="003C6FE5" w:rsidRPr="00B92499" w:rsidRDefault="003C6FE5" w:rsidP="003C6FE5">
            <w:pPr>
              <w:jc w:val="both"/>
              <w:rPr>
                <w:rFonts w:ascii="Arial" w:hAnsi="Arial" w:cs="Arial"/>
                <w:color w:val="000000"/>
                <w:sz w:val="20"/>
                <w:szCs w:val="20"/>
              </w:rPr>
            </w:pPr>
            <w:r w:rsidRPr="00B92499">
              <w:rPr>
                <w:rFonts w:ascii="Arial" w:hAnsi="Arial" w:cs="Arial"/>
                <w:color w:val="000000"/>
                <w:sz w:val="20"/>
                <w:szCs w:val="20"/>
              </w:rPr>
              <w:t xml:space="preserve">Los resultados de la evaluación del cumplimiento de la Ley a los </w:t>
            </w:r>
            <w:r w:rsidR="008710F6" w:rsidRPr="00B92499">
              <w:rPr>
                <w:rFonts w:ascii="Arial" w:hAnsi="Arial" w:cs="Arial"/>
                <w:color w:val="000000"/>
                <w:sz w:val="20"/>
                <w:szCs w:val="20"/>
              </w:rPr>
              <w:t>sujeto</w:t>
            </w:r>
            <w:r w:rsidRPr="00B92499">
              <w:rPr>
                <w:rFonts w:ascii="Arial" w:hAnsi="Arial" w:cs="Arial"/>
                <w:color w:val="000000"/>
                <w:sz w:val="20"/>
                <w:szCs w:val="20"/>
              </w:rPr>
              <w:t>s obligados.</w:t>
            </w:r>
          </w:p>
        </w:tc>
        <w:tc>
          <w:tcPr>
            <w:tcW w:w="1201" w:type="dxa"/>
            <w:tcBorders>
              <w:top w:val="nil"/>
              <w:left w:val="nil"/>
              <w:bottom w:val="single" w:sz="4" w:space="0" w:color="auto"/>
              <w:right w:val="single" w:sz="4" w:space="0" w:color="auto"/>
            </w:tcBorders>
            <w:shd w:val="clear" w:color="auto" w:fill="auto"/>
            <w:vAlign w:val="center"/>
            <w:hideMark/>
          </w:tcPr>
          <w:p w14:paraId="17459F5A" w14:textId="77777777" w:rsidR="003C6FE5" w:rsidRPr="00B92499" w:rsidRDefault="003C6FE5" w:rsidP="003C6FE5">
            <w:pPr>
              <w:jc w:val="center"/>
              <w:rPr>
                <w:rFonts w:ascii="Arial" w:hAnsi="Arial" w:cs="Arial"/>
                <w:color w:val="000000"/>
                <w:sz w:val="20"/>
                <w:szCs w:val="20"/>
              </w:rPr>
            </w:pPr>
            <w:r w:rsidRPr="00B92499">
              <w:rPr>
                <w:rFonts w:ascii="Arial" w:hAnsi="Arial" w:cs="Arial"/>
                <w:color w:val="000000"/>
                <w:sz w:val="20"/>
                <w:szCs w:val="20"/>
              </w:rPr>
              <w:t>100</w:t>
            </w:r>
          </w:p>
        </w:tc>
      </w:tr>
      <w:tr w:rsidR="003C6FE5" w:rsidRPr="00B92499" w14:paraId="6913C684" w14:textId="77777777" w:rsidTr="003C6FE5">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364D4ED" w14:textId="77777777" w:rsidR="003C6FE5" w:rsidRPr="00B92499" w:rsidRDefault="003C6FE5">
            <w:pPr>
              <w:jc w:val="center"/>
              <w:rPr>
                <w:rFonts w:ascii="Arial" w:hAnsi="Arial" w:cs="Arial"/>
                <w:color w:val="000000"/>
                <w:sz w:val="20"/>
                <w:szCs w:val="20"/>
              </w:rPr>
            </w:pPr>
            <w:r w:rsidRPr="00B92499">
              <w:rPr>
                <w:rFonts w:ascii="Arial" w:hAnsi="Arial" w:cs="Arial"/>
                <w:color w:val="000000"/>
                <w:sz w:val="20"/>
                <w:szCs w:val="20"/>
              </w:rPr>
              <w:t>IX</w:t>
            </w:r>
          </w:p>
        </w:tc>
        <w:tc>
          <w:tcPr>
            <w:tcW w:w="0" w:type="auto"/>
            <w:tcBorders>
              <w:top w:val="nil"/>
              <w:left w:val="nil"/>
              <w:bottom w:val="single" w:sz="4" w:space="0" w:color="auto"/>
              <w:right w:val="single" w:sz="4" w:space="0" w:color="auto"/>
            </w:tcBorders>
            <w:shd w:val="clear" w:color="auto" w:fill="auto"/>
            <w:vAlign w:val="center"/>
            <w:hideMark/>
          </w:tcPr>
          <w:p w14:paraId="6E495007" w14:textId="36A969C5" w:rsidR="003C6FE5" w:rsidRPr="00B92499" w:rsidRDefault="003C6FE5" w:rsidP="003C6FE5">
            <w:pPr>
              <w:jc w:val="both"/>
              <w:rPr>
                <w:rFonts w:ascii="Arial" w:hAnsi="Arial" w:cs="Arial"/>
                <w:color w:val="000000"/>
                <w:sz w:val="20"/>
                <w:szCs w:val="20"/>
              </w:rPr>
            </w:pPr>
            <w:r w:rsidRPr="00B92499">
              <w:rPr>
                <w:rFonts w:ascii="Arial" w:hAnsi="Arial" w:cs="Arial"/>
                <w:color w:val="000000"/>
                <w:sz w:val="20"/>
                <w:szCs w:val="20"/>
              </w:rPr>
              <w:t>Informes e indicadores sobre las acciones de promoción de la cultura de transparencia y rendición de cuentas.</w:t>
            </w:r>
          </w:p>
        </w:tc>
        <w:tc>
          <w:tcPr>
            <w:tcW w:w="1201" w:type="dxa"/>
            <w:tcBorders>
              <w:top w:val="nil"/>
              <w:left w:val="nil"/>
              <w:bottom w:val="single" w:sz="4" w:space="0" w:color="auto"/>
              <w:right w:val="single" w:sz="4" w:space="0" w:color="auto"/>
            </w:tcBorders>
            <w:shd w:val="clear" w:color="auto" w:fill="auto"/>
            <w:vAlign w:val="center"/>
            <w:hideMark/>
          </w:tcPr>
          <w:p w14:paraId="0D9004C6" w14:textId="77777777" w:rsidR="003C6FE5" w:rsidRPr="00B92499" w:rsidRDefault="003C6FE5" w:rsidP="003C6FE5">
            <w:pPr>
              <w:jc w:val="center"/>
              <w:rPr>
                <w:rFonts w:ascii="Arial" w:hAnsi="Arial" w:cs="Arial"/>
                <w:color w:val="000000"/>
                <w:sz w:val="20"/>
                <w:szCs w:val="20"/>
              </w:rPr>
            </w:pPr>
            <w:r w:rsidRPr="00B92499">
              <w:rPr>
                <w:rFonts w:ascii="Arial" w:hAnsi="Arial" w:cs="Arial"/>
                <w:color w:val="000000"/>
                <w:sz w:val="20"/>
                <w:szCs w:val="20"/>
              </w:rPr>
              <w:t>100</w:t>
            </w:r>
          </w:p>
        </w:tc>
      </w:tr>
      <w:tr w:rsidR="003C6FE5" w:rsidRPr="00B92499" w14:paraId="50820B23" w14:textId="77777777" w:rsidTr="003C6FE5">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6B3A4B3" w14:textId="77777777" w:rsidR="003C6FE5" w:rsidRPr="00B92499" w:rsidRDefault="003C6FE5">
            <w:pPr>
              <w:jc w:val="center"/>
              <w:rPr>
                <w:rFonts w:ascii="Arial" w:hAnsi="Arial" w:cs="Arial"/>
                <w:color w:val="000000"/>
                <w:sz w:val="20"/>
                <w:szCs w:val="20"/>
              </w:rPr>
            </w:pPr>
            <w:r w:rsidRPr="00B92499">
              <w:rPr>
                <w:rFonts w:ascii="Arial" w:hAnsi="Arial" w:cs="Arial"/>
                <w:color w:val="000000"/>
                <w:sz w:val="20"/>
                <w:szCs w:val="20"/>
              </w:rPr>
              <w:t>X</w:t>
            </w:r>
          </w:p>
        </w:tc>
        <w:tc>
          <w:tcPr>
            <w:tcW w:w="0" w:type="auto"/>
            <w:tcBorders>
              <w:top w:val="nil"/>
              <w:left w:val="nil"/>
              <w:bottom w:val="single" w:sz="4" w:space="0" w:color="auto"/>
              <w:right w:val="single" w:sz="4" w:space="0" w:color="auto"/>
            </w:tcBorders>
            <w:shd w:val="clear" w:color="auto" w:fill="auto"/>
            <w:vAlign w:val="center"/>
            <w:hideMark/>
          </w:tcPr>
          <w:p w14:paraId="24C22C57" w14:textId="4FA50C24" w:rsidR="003C6FE5" w:rsidRPr="00B92499" w:rsidRDefault="003C6FE5" w:rsidP="003C6FE5">
            <w:pPr>
              <w:jc w:val="both"/>
              <w:rPr>
                <w:rFonts w:ascii="Arial" w:hAnsi="Arial" w:cs="Arial"/>
                <w:color w:val="000000"/>
                <w:sz w:val="20"/>
                <w:szCs w:val="20"/>
              </w:rPr>
            </w:pPr>
            <w:r w:rsidRPr="00B92499">
              <w:rPr>
                <w:rFonts w:ascii="Arial" w:hAnsi="Arial" w:cs="Arial"/>
                <w:color w:val="000000"/>
                <w:sz w:val="20"/>
                <w:szCs w:val="20"/>
              </w:rPr>
              <w:t xml:space="preserve">El número de vistas a los órganos internos de control de los </w:t>
            </w:r>
            <w:r w:rsidR="008710F6" w:rsidRPr="00B92499">
              <w:rPr>
                <w:rFonts w:ascii="Arial" w:hAnsi="Arial" w:cs="Arial"/>
                <w:color w:val="000000"/>
                <w:sz w:val="20"/>
                <w:szCs w:val="20"/>
              </w:rPr>
              <w:t>sujeto</w:t>
            </w:r>
            <w:r w:rsidRPr="00B92499">
              <w:rPr>
                <w:rFonts w:ascii="Arial" w:hAnsi="Arial" w:cs="Arial"/>
                <w:color w:val="000000"/>
                <w:sz w:val="20"/>
                <w:szCs w:val="20"/>
              </w:rPr>
              <w:t>s obligados, que hayan incumplido las obligaciones en transparencia.</w:t>
            </w:r>
          </w:p>
        </w:tc>
        <w:tc>
          <w:tcPr>
            <w:tcW w:w="1201" w:type="dxa"/>
            <w:tcBorders>
              <w:top w:val="nil"/>
              <w:left w:val="nil"/>
              <w:bottom w:val="single" w:sz="4" w:space="0" w:color="auto"/>
              <w:right w:val="single" w:sz="4" w:space="0" w:color="auto"/>
            </w:tcBorders>
            <w:shd w:val="clear" w:color="auto" w:fill="auto"/>
            <w:vAlign w:val="center"/>
            <w:hideMark/>
          </w:tcPr>
          <w:p w14:paraId="482BB9C1" w14:textId="77777777" w:rsidR="003C6FE5" w:rsidRPr="00B92499" w:rsidRDefault="003C6FE5" w:rsidP="003C6FE5">
            <w:pPr>
              <w:jc w:val="center"/>
              <w:rPr>
                <w:rFonts w:ascii="Arial" w:hAnsi="Arial" w:cs="Arial"/>
                <w:color w:val="000000"/>
                <w:sz w:val="20"/>
                <w:szCs w:val="20"/>
              </w:rPr>
            </w:pPr>
            <w:r w:rsidRPr="00B92499">
              <w:rPr>
                <w:rFonts w:ascii="Arial" w:hAnsi="Arial" w:cs="Arial"/>
                <w:color w:val="000000"/>
                <w:sz w:val="20"/>
                <w:szCs w:val="20"/>
              </w:rPr>
              <w:t>100</w:t>
            </w:r>
          </w:p>
        </w:tc>
      </w:tr>
      <w:tr w:rsidR="003C6FE5" w:rsidRPr="00B92499" w14:paraId="76A0139A" w14:textId="77777777" w:rsidTr="003C6FE5">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7F21861" w14:textId="77777777" w:rsidR="003C6FE5" w:rsidRPr="00B92499" w:rsidRDefault="003C6FE5">
            <w:pPr>
              <w:jc w:val="center"/>
              <w:rPr>
                <w:rFonts w:ascii="Arial" w:hAnsi="Arial" w:cs="Arial"/>
                <w:color w:val="000000"/>
                <w:sz w:val="20"/>
                <w:szCs w:val="20"/>
              </w:rPr>
            </w:pPr>
            <w:r w:rsidRPr="00B92499">
              <w:rPr>
                <w:rFonts w:ascii="Arial" w:hAnsi="Arial" w:cs="Arial"/>
                <w:color w:val="000000"/>
                <w:sz w:val="20"/>
                <w:szCs w:val="20"/>
              </w:rPr>
              <w:t>XII</w:t>
            </w:r>
          </w:p>
        </w:tc>
        <w:tc>
          <w:tcPr>
            <w:tcW w:w="0" w:type="auto"/>
            <w:tcBorders>
              <w:top w:val="nil"/>
              <w:left w:val="nil"/>
              <w:bottom w:val="single" w:sz="4" w:space="0" w:color="auto"/>
              <w:right w:val="single" w:sz="4" w:space="0" w:color="auto"/>
            </w:tcBorders>
            <w:shd w:val="clear" w:color="auto" w:fill="auto"/>
            <w:vAlign w:val="center"/>
            <w:hideMark/>
          </w:tcPr>
          <w:p w14:paraId="0D9E12D7" w14:textId="249D74C1" w:rsidR="003C6FE5" w:rsidRPr="00B92499" w:rsidRDefault="003C6FE5" w:rsidP="003C6FE5">
            <w:pPr>
              <w:jc w:val="both"/>
              <w:rPr>
                <w:rFonts w:ascii="Arial" w:hAnsi="Arial" w:cs="Arial"/>
                <w:color w:val="000000"/>
                <w:sz w:val="20"/>
                <w:szCs w:val="20"/>
              </w:rPr>
            </w:pPr>
            <w:r w:rsidRPr="00B92499">
              <w:rPr>
                <w:rFonts w:ascii="Arial" w:hAnsi="Arial" w:cs="Arial"/>
                <w:color w:val="000000"/>
                <w:sz w:val="20"/>
                <w:szCs w:val="20"/>
              </w:rPr>
              <w:t>Los amparos, las acciones de inconstitucionalidad y los recursos de inconformidad que existan en contra de sus resoluciones.</w:t>
            </w:r>
          </w:p>
        </w:tc>
        <w:tc>
          <w:tcPr>
            <w:tcW w:w="1201" w:type="dxa"/>
            <w:tcBorders>
              <w:top w:val="nil"/>
              <w:left w:val="nil"/>
              <w:bottom w:val="single" w:sz="4" w:space="0" w:color="auto"/>
              <w:right w:val="single" w:sz="4" w:space="0" w:color="auto"/>
            </w:tcBorders>
            <w:shd w:val="clear" w:color="auto" w:fill="auto"/>
            <w:vAlign w:val="center"/>
            <w:hideMark/>
          </w:tcPr>
          <w:p w14:paraId="04456E2B" w14:textId="77777777" w:rsidR="003C6FE5" w:rsidRPr="00B92499" w:rsidRDefault="003C6FE5" w:rsidP="003C6FE5">
            <w:pPr>
              <w:jc w:val="center"/>
              <w:rPr>
                <w:rFonts w:ascii="Arial" w:hAnsi="Arial" w:cs="Arial"/>
                <w:color w:val="000000"/>
                <w:sz w:val="20"/>
                <w:szCs w:val="20"/>
              </w:rPr>
            </w:pPr>
            <w:r w:rsidRPr="00B92499">
              <w:rPr>
                <w:rFonts w:ascii="Arial" w:hAnsi="Arial" w:cs="Arial"/>
                <w:color w:val="000000"/>
                <w:sz w:val="20"/>
                <w:szCs w:val="20"/>
              </w:rPr>
              <w:t>100</w:t>
            </w:r>
          </w:p>
        </w:tc>
      </w:tr>
      <w:tr w:rsidR="003C6FE5" w:rsidRPr="00B92499" w14:paraId="714D0FDC" w14:textId="77777777" w:rsidTr="003C6FE5">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61CECAF" w14:textId="77777777" w:rsidR="003C6FE5" w:rsidRPr="00B92499" w:rsidRDefault="003C6FE5">
            <w:pPr>
              <w:jc w:val="center"/>
              <w:rPr>
                <w:rFonts w:ascii="Arial" w:hAnsi="Arial" w:cs="Arial"/>
                <w:color w:val="000000"/>
                <w:sz w:val="20"/>
                <w:szCs w:val="20"/>
              </w:rPr>
            </w:pPr>
            <w:r w:rsidRPr="00B92499">
              <w:rPr>
                <w:rFonts w:ascii="Arial" w:hAnsi="Arial" w:cs="Arial"/>
                <w:color w:val="000000"/>
                <w:sz w:val="20"/>
                <w:szCs w:val="20"/>
              </w:rPr>
              <w:t>XIII</w:t>
            </w:r>
          </w:p>
        </w:tc>
        <w:tc>
          <w:tcPr>
            <w:tcW w:w="0" w:type="auto"/>
            <w:tcBorders>
              <w:top w:val="nil"/>
              <w:left w:val="nil"/>
              <w:bottom w:val="single" w:sz="4" w:space="0" w:color="auto"/>
              <w:right w:val="single" w:sz="4" w:space="0" w:color="auto"/>
            </w:tcBorders>
            <w:shd w:val="clear" w:color="auto" w:fill="auto"/>
            <w:vAlign w:val="center"/>
            <w:hideMark/>
          </w:tcPr>
          <w:p w14:paraId="4EB0EB96" w14:textId="5F88F7F6" w:rsidR="003C6FE5" w:rsidRPr="00B92499" w:rsidRDefault="003C6FE5" w:rsidP="003C6FE5">
            <w:pPr>
              <w:jc w:val="both"/>
              <w:rPr>
                <w:rFonts w:ascii="Arial" w:hAnsi="Arial" w:cs="Arial"/>
                <w:color w:val="000000"/>
                <w:sz w:val="20"/>
                <w:szCs w:val="20"/>
              </w:rPr>
            </w:pPr>
            <w:r w:rsidRPr="00B92499">
              <w:rPr>
                <w:rFonts w:ascii="Arial" w:hAnsi="Arial" w:cs="Arial"/>
                <w:color w:val="000000"/>
                <w:sz w:val="20"/>
                <w:szCs w:val="20"/>
              </w:rPr>
              <w:t>Las demás que se consideren relevantes y de interés para el público.</w:t>
            </w:r>
          </w:p>
        </w:tc>
        <w:tc>
          <w:tcPr>
            <w:tcW w:w="1201" w:type="dxa"/>
            <w:tcBorders>
              <w:top w:val="nil"/>
              <w:left w:val="nil"/>
              <w:bottom w:val="single" w:sz="4" w:space="0" w:color="auto"/>
              <w:right w:val="single" w:sz="4" w:space="0" w:color="auto"/>
            </w:tcBorders>
            <w:shd w:val="clear" w:color="auto" w:fill="auto"/>
            <w:vAlign w:val="center"/>
            <w:hideMark/>
          </w:tcPr>
          <w:p w14:paraId="744AB6A0" w14:textId="77777777" w:rsidR="003C6FE5" w:rsidRPr="00B92499" w:rsidRDefault="003C6FE5" w:rsidP="003C6FE5">
            <w:pPr>
              <w:jc w:val="center"/>
              <w:rPr>
                <w:rFonts w:ascii="Arial" w:hAnsi="Arial" w:cs="Arial"/>
                <w:color w:val="000000"/>
                <w:sz w:val="20"/>
                <w:szCs w:val="20"/>
              </w:rPr>
            </w:pPr>
            <w:r w:rsidRPr="00B92499">
              <w:rPr>
                <w:rFonts w:ascii="Arial" w:hAnsi="Arial" w:cs="Arial"/>
                <w:color w:val="000000"/>
                <w:sz w:val="20"/>
                <w:szCs w:val="20"/>
              </w:rPr>
              <w:t>100</w:t>
            </w:r>
          </w:p>
        </w:tc>
      </w:tr>
      <w:tr w:rsidR="003C6FE5" w:rsidRPr="00B92499" w14:paraId="416EF0E0" w14:textId="77777777" w:rsidTr="003C6FE5">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4664EF4" w14:textId="77777777" w:rsidR="003C6FE5" w:rsidRPr="00B92499" w:rsidRDefault="003C6FE5">
            <w:pPr>
              <w:jc w:val="center"/>
              <w:rPr>
                <w:rFonts w:ascii="Arial" w:hAnsi="Arial" w:cs="Arial"/>
                <w:color w:val="000000"/>
                <w:sz w:val="20"/>
                <w:szCs w:val="20"/>
              </w:rPr>
            </w:pPr>
            <w:r w:rsidRPr="00B92499">
              <w:rPr>
                <w:rFonts w:ascii="Arial" w:hAnsi="Arial" w:cs="Arial"/>
                <w:color w:val="000000"/>
                <w:sz w:val="20"/>
                <w:szCs w:val="20"/>
              </w:rPr>
              <w:t>XI</w:t>
            </w:r>
          </w:p>
        </w:tc>
        <w:tc>
          <w:tcPr>
            <w:tcW w:w="0" w:type="auto"/>
            <w:tcBorders>
              <w:top w:val="nil"/>
              <w:left w:val="nil"/>
              <w:bottom w:val="single" w:sz="4" w:space="0" w:color="auto"/>
              <w:right w:val="single" w:sz="4" w:space="0" w:color="auto"/>
            </w:tcBorders>
            <w:shd w:val="clear" w:color="auto" w:fill="auto"/>
            <w:vAlign w:val="center"/>
            <w:hideMark/>
          </w:tcPr>
          <w:p w14:paraId="53EFACFF" w14:textId="7A9130E5" w:rsidR="003C6FE5" w:rsidRPr="00B92499" w:rsidRDefault="003C6FE5" w:rsidP="003C6FE5">
            <w:pPr>
              <w:jc w:val="both"/>
              <w:rPr>
                <w:rFonts w:ascii="Arial" w:hAnsi="Arial" w:cs="Arial"/>
                <w:color w:val="000000"/>
                <w:sz w:val="20"/>
                <w:szCs w:val="20"/>
              </w:rPr>
            </w:pPr>
            <w:r w:rsidRPr="00B92499">
              <w:rPr>
                <w:rFonts w:ascii="Arial" w:hAnsi="Arial" w:cs="Arial"/>
                <w:color w:val="000000"/>
                <w:sz w:val="20"/>
                <w:szCs w:val="20"/>
              </w:rPr>
              <w:t xml:space="preserve">El número de quejas, denuncias y recursos de revisión dirigidos a cada uno de los </w:t>
            </w:r>
            <w:r w:rsidR="008710F6" w:rsidRPr="00B92499">
              <w:rPr>
                <w:rFonts w:ascii="Arial" w:hAnsi="Arial" w:cs="Arial"/>
                <w:color w:val="000000"/>
                <w:sz w:val="20"/>
                <w:szCs w:val="20"/>
              </w:rPr>
              <w:t>sujeto</w:t>
            </w:r>
            <w:r w:rsidRPr="00B92499">
              <w:rPr>
                <w:rFonts w:ascii="Arial" w:hAnsi="Arial" w:cs="Arial"/>
                <w:color w:val="000000"/>
                <w:sz w:val="20"/>
                <w:szCs w:val="20"/>
              </w:rPr>
              <w:t>s obligados.</w:t>
            </w:r>
          </w:p>
        </w:tc>
        <w:tc>
          <w:tcPr>
            <w:tcW w:w="1201" w:type="dxa"/>
            <w:tcBorders>
              <w:top w:val="nil"/>
              <w:left w:val="nil"/>
              <w:bottom w:val="single" w:sz="4" w:space="0" w:color="auto"/>
              <w:right w:val="single" w:sz="4" w:space="0" w:color="auto"/>
            </w:tcBorders>
            <w:shd w:val="clear" w:color="auto" w:fill="auto"/>
            <w:vAlign w:val="center"/>
            <w:hideMark/>
          </w:tcPr>
          <w:p w14:paraId="2CCCA1FB" w14:textId="77777777" w:rsidR="003C6FE5" w:rsidRPr="00B92499" w:rsidRDefault="003C6FE5" w:rsidP="003C6FE5">
            <w:pPr>
              <w:jc w:val="center"/>
              <w:rPr>
                <w:rFonts w:ascii="Arial" w:hAnsi="Arial" w:cs="Arial"/>
                <w:color w:val="000000"/>
                <w:sz w:val="20"/>
                <w:szCs w:val="20"/>
              </w:rPr>
            </w:pPr>
            <w:r w:rsidRPr="00B92499">
              <w:rPr>
                <w:rFonts w:ascii="Arial" w:hAnsi="Arial" w:cs="Arial"/>
                <w:color w:val="000000"/>
                <w:sz w:val="20"/>
                <w:szCs w:val="20"/>
              </w:rPr>
              <w:t>93.75</w:t>
            </w:r>
          </w:p>
        </w:tc>
      </w:tr>
      <w:tr w:rsidR="003C6FE5" w:rsidRPr="00B92499" w14:paraId="2D749C1A" w14:textId="77777777" w:rsidTr="003C6FE5">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81BA148" w14:textId="77777777" w:rsidR="003C6FE5" w:rsidRPr="00B92499" w:rsidRDefault="003C6FE5">
            <w:pPr>
              <w:jc w:val="center"/>
              <w:rPr>
                <w:rFonts w:ascii="Arial" w:hAnsi="Arial" w:cs="Arial"/>
                <w:color w:val="000000"/>
                <w:sz w:val="20"/>
                <w:szCs w:val="20"/>
              </w:rPr>
            </w:pPr>
            <w:r w:rsidRPr="00B92499">
              <w:rPr>
                <w:rFonts w:ascii="Arial" w:hAnsi="Arial" w:cs="Arial"/>
                <w:color w:val="000000"/>
                <w:sz w:val="20"/>
                <w:szCs w:val="20"/>
              </w:rPr>
              <w:t>II</w:t>
            </w:r>
          </w:p>
        </w:tc>
        <w:tc>
          <w:tcPr>
            <w:tcW w:w="0" w:type="auto"/>
            <w:tcBorders>
              <w:top w:val="nil"/>
              <w:left w:val="nil"/>
              <w:bottom w:val="single" w:sz="4" w:space="0" w:color="auto"/>
              <w:right w:val="single" w:sz="4" w:space="0" w:color="auto"/>
            </w:tcBorders>
            <w:shd w:val="clear" w:color="auto" w:fill="auto"/>
            <w:vAlign w:val="center"/>
            <w:hideMark/>
          </w:tcPr>
          <w:p w14:paraId="3707342E" w14:textId="64BA55B0" w:rsidR="003C6FE5" w:rsidRPr="00B92499" w:rsidRDefault="003C6FE5" w:rsidP="003C6FE5">
            <w:pPr>
              <w:jc w:val="both"/>
              <w:rPr>
                <w:rFonts w:ascii="Arial" w:hAnsi="Arial" w:cs="Arial"/>
                <w:color w:val="000000"/>
                <w:sz w:val="20"/>
                <w:szCs w:val="20"/>
              </w:rPr>
            </w:pPr>
            <w:r w:rsidRPr="00B92499">
              <w:rPr>
                <w:rFonts w:ascii="Arial" w:hAnsi="Arial" w:cs="Arial"/>
                <w:color w:val="000000"/>
                <w:sz w:val="20"/>
                <w:szCs w:val="20"/>
              </w:rPr>
              <w:t>Los criterios orientadores que deriven de sus resoluciones.</w:t>
            </w:r>
          </w:p>
        </w:tc>
        <w:tc>
          <w:tcPr>
            <w:tcW w:w="1201" w:type="dxa"/>
            <w:tcBorders>
              <w:top w:val="nil"/>
              <w:left w:val="nil"/>
              <w:bottom w:val="single" w:sz="4" w:space="0" w:color="auto"/>
              <w:right w:val="single" w:sz="4" w:space="0" w:color="auto"/>
            </w:tcBorders>
            <w:shd w:val="clear" w:color="auto" w:fill="auto"/>
            <w:vAlign w:val="center"/>
            <w:hideMark/>
          </w:tcPr>
          <w:p w14:paraId="2A698734" w14:textId="16C7682D" w:rsidR="003C6FE5" w:rsidRPr="00B92499" w:rsidRDefault="003C6FE5" w:rsidP="003C6FE5">
            <w:pPr>
              <w:jc w:val="center"/>
              <w:rPr>
                <w:rFonts w:ascii="Arial" w:hAnsi="Arial" w:cs="Arial"/>
                <w:color w:val="000000"/>
                <w:sz w:val="20"/>
                <w:szCs w:val="20"/>
              </w:rPr>
            </w:pPr>
            <w:r w:rsidRPr="00B92499">
              <w:rPr>
                <w:rFonts w:ascii="Arial" w:hAnsi="Arial" w:cs="Arial"/>
                <w:color w:val="000000"/>
                <w:sz w:val="20"/>
                <w:szCs w:val="20"/>
              </w:rPr>
              <w:t>87.5</w:t>
            </w:r>
            <w:r w:rsidR="0047062A" w:rsidRPr="00B92499">
              <w:rPr>
                <w:rFonts w:ascii="Arial" w:hAnsi="Arial" w:cs="Arial"/>
                <w:color w:val="000000"/>
                <w:sz w:val="20"/>
                <w:szCs w:val="20"/>
              </w:rPr>
              <w:t>0</w:t>
            </w:r>
          </w:p>
        </w:tc>
      </w:tr>
      <w:tr w:rsidR="003C6FE5" w:rsidRPr="00B92499" w14:paraId="4392788F" w14:textId="77777777" w:rsidTr="003C6FE5">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D954C7D" w14:textId="77777777" w:rsidR="003C6FE5" w:rsidRPr="00B92499" w:rsidRDefault="003C6FE5">
            <w:pPr>
              <w:jc w:val="center"/>
              <w:rPr>
                <w:rFonts w:ascii="Arial" w:hAnsi="Arial" w:cs="Arial"/>
                <w:color w:val="000000"/>
                <w:sz w:val="20"/>
                <w:szCs w:val="20"/>
              </w:rPr>
            </w:pPr>
            <w:r w:rsidRPr="00B92499">
              <w:rPr>
                <w:rFonts w:ascii="Arial" w:hAnsi="Arial" w:cs="Arial"/>
                <w:color w:val="000000"/>
                <w:sz w:val="20"/>
                <w:szCs w:val="20"/>
              </w:rPr>
              <w:t>I</w:t>
            </w:r>
          </w:p>
        </w:tc>
        <w:tc>
          <w:tcPr>
            <w:tcW w:w="0" w:type="auto"/>
            <w:tcBorders>
              <w:top w:val="nil"/>
              <w:left w:val="nil"/>
              <w:bottom w:val="single" w:sz="4" w:space="0" w:color="auto"/>
              <w:right w:val="single" w:sz="4" w:space="0" w:color="auto"/>
            </w:tcBorders>
            <w:shd w:val="clear" w:color="auto" w:fill="auto"/>
            <w:vAlign w:val="center"/>
            <w:hideMark/>
          </w:tcPr>
          <w:p w14:paraId="13A43659" w14:textId="5288CA00" w:rsidR="003C6FE5" w:rsidRPr="00B92499" w:rsidRDefault="003C6FE5" w:rsidP="003C6FE5">
            <w:pPr>
              <w:jc w:val="both"/>
              <w:rPr>
                <w:rFonts w:ascii="Arial" w:hAnsi="Arial" w:cs="Arial"/>
                <w:color w:val="000000"/>
                <w:sz w:val="20"/>
                <w:szCs w:val="20"/>
              </w:rPr>
            </w:pPr>
            <w:r w:rsidRPr="00B92499">
              <w:rPr>
                <w:rFonts w:ascii="Arial" w:hAnsi="Arial" w:cs="Arial"/>
                <w:color w:val="000000"/>
                <w:sz w:val="20"/>
                <w:szCs w:val="20"/>
              </w:rPr>
              <w:t>La relación de observaciones y resoluciones emitidas y el seguimiento a cada una de ellas.</w:t>
            </w:r>
          </w:p>
        </w:tc>
        <w:tc>
          <w:tcPr>
            <w:tcW w:w="1201" w:type="dxa"/>
            <w:tcBorders>
              <w:top w:val="nil"/>
              <w:left w:val="nil"/>
              <w:bottom w:val="single" w:sz="4" w:space="0" w:color="auto"/>
              <w:right w:val="single" w:sz="4" w:space="0" w:color="auto"/>
            </w:tcBorders>
            <w:shd w:val="clear" w:color="auto" w:fill="auto"/>
            <w:vAlign w:val="center"/>
            <w:hideMark/>
          </w:tcPr>
          <w:p w14:paraId="1DC5AD34" w14:textId="7AF434E0" w:rsidR="003C6FE5" w:rsidRPr="00B92499" w:rsidRDefault="003C6FE5" w:rsidP="003C6FE5">
            <w:pPr>
              <w:jc w:val="center"/>
              <w:rPr>
                <w:rFonts w:ascii="Arial" w:hAnsi="Arial" w:cs="Arial"/>
                <w:color w:val="000000"/>
                <w:sz w:val="20"/>
                <w:szCs w:val="20"/>
              </w:rPr>
            </w:pPr>
            <w:r w:rsidRPr="00B92499">
              <w:rPr>
                <w:rFonts w:ascii="Arial" w:hAnsi="Arial" w:cs="Arial"/>
                <w:color w:val="000000"/>
                <w:sz w:val="20"/>
                <w:szCs w:val="20"/>
              </w:rPr>
              <w:t>75</w:t>
            </w:r>
            <w:r w:rsidR="0047062A" w:rsidRPr="00B92499">
              <w:rPr>
                <w:rFonts w:ascii="Arial" w:hAnsi="Arial" w:cs="Arial"/>
                <w:color w:val="000000"/>
                <w:sz w:val="20"/>
                <w:szCs w:val="20"/>
              </w:rPr>
              <w:t>.00</w:t>
            </w:r>
          </w:p>
        </w:tc>
      </w:tr>
      <w:tr w:rsidR="003C6FE5" w:rsidRPr="00B92499" w14:paraId="0F0924E9" w14:textId="77777777" w:rsidTr="003C6FE5">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527E987" w14:textId="77777777" w:rsidR="003C6FE5" w:rsidRPr="00B92499" w:rsidRDefault="003C6FE5">
            <w:pPr>
              <w:jc w:val="center"/>
              <w:rPr>
                <w:rFonts w:ascii="Arial" w:hAnsi="Arial" w:cs="Arial"/>
                <w:color w:val="000000"/>
                <w:sz w:val="20"/>
                <w:szCs w:val="20"/>
              </w:rPr>
            </w:pPr>
            <w:r w:rsidRPr="00B92499">
              <w:rPr>
                <w:rFonts w:ascii="Arial" w:hAnsi="Arial" w:cs="Arial"/>
                <w:color w:val="000000"/>
                <w:sz w:val="20"/>
                <w:szCs w:val="20"/>
              </w:rPr>
              <w:t>VII</w:t>
            </w:r>
          </w:p>
        </w:tc>
        <w:tc>
          <w:tcPr>
            <w:tcW w:w="0" w:type="auto"/>
            <w:tcBorders>
              <w:top w:val="nil"/>
              <w:left w:val="nil"/>
              <w:bottom w:val="single" w:sz="4" w:space="0" w:color="auto"/>
              <w:right w:val="single" w:sz="4" w:space="0" w:color="auto"/>
            </w:tcBorders>
            <w:shd w:val="clear" w:color="auto" w:fill="auto"/>
            <w:vAlign w:val="center"/>
            <w:hideMark/>
          </w:tcPr>
          <w:p w14:paraId="4736C93E" w14:textId="2F07970E" w:rsidR="003C6FE5" w:rsidRPr="00B92499" w:rsidRDefault="003C6FE5" w:rsidP="003C6FE5">
            <w:pPr>
              <w:jc w:val="both"/>
              <w:rPr>
                <w:rFonts w:ascii="Arial" w:hAnsi="Arial" w:cs="Arial"/>
                <w:color w:val="000000"/>
                <w:sz w:val="20"/>
                <w:szCs w:val="20"/>
              </w:rPr>
            </w:pPr>
            <w:r w:rsidRPr="00B92499">
              <w:rPr>
                <w:rFonts w:ascii="Arial" w:hAnsi="Arial" w:cs="Arial"/>
                <w:color w:val="000000"/>
                <w:sz w:val="20"/>
                <w:szCs w:val="20"/>
              </w:rPr>
              <w:t>Las actas, las versiones estenográficas, la liga de grabaciones y la liga de Internet donde se pueden ver en directo las sesiones celebradas del pleno.</w:t>
            </w:r>
          </w:p>
        </w:tc>
        <w:tc>
          <w:tcPr>
            <w:tcW w:w="1201" w:type="dxa"/>
            <w:tcBorders>
              <w:top w:val="nil"/>
              <w:left w:val="nil"/>
              <w:bottom w:val="single" w:sz="4" w:space="0" w:color="auto"/>
              <w:right w:val="single" w:sz="4" w:space="0" w:color="auto"/>
            </w:tcBorders>
            <w:shd w:val="clear" w:color="auto" w:fill="auto"/>
            <w:vAlign w:val="center"/>
            <w:hideMark/>
          </w:tcPr>
          <w:p w14:paraId="1BD32A44" w14:textId="038C6DC3" w:rsidR="003C6FE5" w:rsidRPr="00B92499" w:rsidRDefault="003C6FE5" w:rsidP="0047062A">
            <w:pPr>
              <w:jc w:val="center"/>
              <w:rPr>
                <w:rFonts w:ascii="Arial" w:hAnsi="Arial" w:cs="Arial"/>
                <w:color w:val="000000"/>
                <w:sz w:val="20"/>
                <w:szCs w:val="20"/>
              </w:rPr>
            </w:pPr>
            <w:r w:rsidRPr="00B92499">
              <w:rPr>
                <w:rFonts w:ascii="Arial" w:hAnsi="Arial" w:cs="Arial"/>
                <w:color w:val="000000"/>
                <w:sz w:val="20"/>
                <w:szCs w:val="20"/>
              </w:rPr>
              <w:t>66.6</w:t>
            </w:r>
            <w:r w:rsidR="0047062A" w:rsidRPr="00B92499">
              <w:rPr>
                <w:rFonts w:ascii="Arial" w:hAnsi="Arial" w:cs="Arial"/>
                <w:color w:val="000000"/>
                <w:sz w:val="20"/>
                <w:szCs w:val="20"/>
              </w:rPr>
              <w:t>7</w:t>
            </w:r>
          </w:p>
        </w:tc>
      </w:tr>
    </w:tbl>
    <w:p w14:paraId="7C53BAA0" w14:textId="77777777" w:rsidR="000B0B2E" w:rsidRPr="00B92499" w:rsidRDefault="000B0B2E" w:rsidP="000B0B2E">
      <w:pPr>
        <w:spacing w:before="100" w:beforeAutospacing="1" w:after="100" w:afterAutospacing="1" w:line="360" w:lineRule="auto"/>
        <w:jc w:val="both"/>
        <w:rPr>
          <w:rFonts w:ascii="Arial" w:hAnsi="Arial" w:cs="Arial"/>
        </w:rPr>
      </w:pPr>
    </w:p>
    <w:p w14:paraId="224FCBA9" w14:textId="77777777" w:rsidR="000B0B2E" w:rsidRPr="00B92499" w:rsidRDefault="000B0B2E" w:rsidP="000B0B2E">
      <w:pPr>
        <w:rPr>
          <w:lang w:eastAsia="en-US"/>
        </w:rPr>
      </w:pPr>
    </w:p>
    <w:p w14:paraId="6A44DF0B" w14:textId="3775A8C8" w:rsidR="000B0B2E" w:rsidRPr="00B92499" w:rsidRDefault="000B0B2E" w:rsidP="009F64B5">
      <w:pPr>
        <w:pStyle w:val="Ttulo2"/>
        <w:numPr>
          <w:ilvl w:val="1"/>
          <w:numId w:val="25"/>
        </w:numPr>
        <w:contextualSpacing/>
        <w:jc w:val="both"/>
        <w:rPr>
          <w:rFonts w:ascii="Arial" w:hAnsi="Arial" w:cs="Arial"/>
          <w:b/>
          <w:color w:val="auto"/>
          <w:sz w:val="24"/>
          <w:szCs w:val="24"/>
        </w:rPr>
      </w:pPr>
      <w:bookmarkStart w:id="49" w:name="_Toc23253005"/>
      <w:r w:rsidRPr="00B92499">
        <w:rPr>
          <w:rFonts w:ascii="Arial" w:hAnsi="Arial" w:cs="Arial"/>
          <w:b/>
          <w:color w:val="auto"/>
          <w:sz w:val="24"/>
          <w:szCs w:val="24"/>
        </w:rPr>
        <w:t xml:space="preserve">Análisis del </w:t>
      </w:r>
      <w:r w:rsidR="008F67E4" w:rsidRPr="00B92499">
        <w:rPr>
          <w:rFonts w:ascii="Arial" w:hAnsi="Arial" w:cs="Arial"/>
          <w:b/>
          <w:color w:val="auto"/>
          <w:sz w:val="24"/>
          <w:szCs w:val="24"/>
        </w:rPr>
        <w:t>artículo</w:t>
      </w:r>
      <w:r w:rsidRPr="00B92499">
        <w:rPr>
          <w:rFonts w:ascii="Arial" w:hAnsi="Arial" w:cs="Arial"/>
          <w:b/>
          <w:color w:val="auto"/>
          <w:sz w:val="24"/>
          <w:szCs w:val="24"/>
        </w:rPr>
        <w:t xml:space="preserve"> 145</w:t>
      </w:r>
      <w:r w:rsidR="00814637" w:rsidRPr="00B92499">
        <w:rPr>
          <w:rFonts w:ascii="Arial" w:hAnsi="Arial" w:cs="Arial"/>
          <w:b/>
          <w:color w:val="auto"/>
          <w:sz w:val="24"/>
          <w:szCs w:val="24"/>
        </w:rPr>
        <w:t>,</w:t>
      </w:r>
      <w:r w:rsidRPr="00B92499">
        <w:rPr>
          <w:rFonts w:ascii="Arial" w:hAnsi="Arial" w:cs="Arial"/>
          <w:b/>
          <w:color w:val="auto"/>
          <w:sz w:val="24"/>
          <w:szCs w:val="24"/>
        </w:rPr>
        <w:t xml:space="preserve"> 146</w:t>
      </w:r>
      <w:r w:rsidR="00814637" w:rsidRPr="00B92499">
        <w:rPr>
          <w:rFonts w:ascii="Arial" w:hAnsi="Arial" w:cs="Arial"/>
          <w:b/>
          <w:color w:val="auto"/>
          <w:sz w:val="24"/>
          <w:szCs w:val="24"/>
        </w:rPr>
        <w:t xml:space="preserve"> y 147</w:t>
      </w:r>
      <w:bookmarkEnd w:id="49"/>
    </w:p>
    <w:p w14:paraId="48771BC7" w14:textId="4C68DA39" w:rsidR="00AF69FA" w:rsidRPr="00B92499" w:rsidRDefault="000B0B2E" w:rsidP="00814637">
      <w:pPr>
        <w:spacing w:before="100" w:beforeAutospacing="1" w:after="100" w:afterAutospacing="1" w:line="360" w:lineRule="auto"/>
        <w:contextualSpacing/>
        <w:jc w:val="both"/>
        <w:rPr>
          <w:rFonts w:ascii="Arial" w:hAnsi="Arial" w:cs="Arial"/>
        </w:rPr>
      </w:pPr>
      <w:r w:rsidRPr="00B92499">
        <w:rPr>
          <w:rFonts w:ascii="Arial" w:hAnsi="Arial" w:cs="Arial"/>
        </w:rPr>
        <w:t>El Congreso de la Ciudad de México alcanzó un cumplimiento total en los artículos 145</w:t>
      </w:r>
      <w:r w:rsidR="00741711" w:rsidRPr="00B92499">
        <w:rPr>
          <w:rFonts w:ascii="Arial" w:hAnsi="Arial" w:cs="Arial"/>
        </w:rPr>
        <w:t>,</w:t>
      </w:r>
      <w:r w:rsidRPr="00B92499">
        <w:rPr>
          <w:rFonts w:ascii="Arial" w:hAnsi="Arial" w:cs="Arial"/>
        </w:rPr>
        <w:t xml:space="preserve"> 146</w:t>
      </w:r>
      <w:r w:rsidR="00741711" w:rsidRPr="00B92499">
        <w:rPr>
          <w:rFonts w:ascii="Arial" w:hAnsi="Arial" w:cs="Arial"/>
        </w:rPr>
        <w:t xml:space="preserve"> y 14</w:t>
      </w:r>
      <w:r w:rsidR="00490622" w:rsidRPr="00B92499">
        <w:rPr>
          <w:rFonts w:ascii="Arial" w:hAnsi="Arial" w:cs="Arial"/>
        </w:rPr>
        <w:t>7</w:t>
      </w:r>
      <w:r w:rsidRPr="00B92499">
        <w:rPr>
          <w:rFonts w:ascii="Arial" w:hAnsi="Arial" w:cs="Arial"/>
        </w:rPr>
        <w:t>, por lo que cumplió a c</w:t>
      </w:r>
      <w:r w:rsidR="005D21D2" w:rsidRPr="00B92499">
        <w:rPr>
          <w:rFonts w:ascii="Arial" w:hAnsi="Arial" w:cs="Arial"/>
        </w:rPr>
        <w:t>abalidad</w:t>
      </w:r>
      <w:r w:rsidRPr="00B92499">
        <w:rPr>
          <w:rFonts w:ascii="Arial" w:hAnsi="Arial" w:cs="Arial"/>
        </w:rPr>
        <w:t xml:space="preserve"> con la obligación de contar en su página de inicio con una señalización fácilmente identificable y accesible que cumplan con los requerimientos de sistematización, comprensión y organización de la información; así como con el calendario de actualización de las obligaciones de transparencia</w:t>
      </w:r>
      <w:r w:rsidR="00814637" w:rsidRPr="00B92499">
        <w:rPr>
          <w:rFonts w:ascii="Arial" w:hAnsi="Arial" w:cs="Arial"/>
        </w:rPr>
        <w:t xml:space="preserve"> y los informes de las personas morales, organizaciones de la sociedad civil o cualquier otro análogo que recibían recursos por cualquier concepto.</w:t>
      </w:r>
      <w:r w:rsidR="00AF69FA" w:rsidRPr="00B92499">
        <w:rPr>
          <w:rFonts w:ascii="Arial" w:hAnsi="Arial" w:cs="Arial"/>
          <w:b/>
        </w:rPr>
        <w:br w:type="page"/>
      </w:r>
    </w:p>
    <w:p w14:paraId="1C717F08" w14:textId="77777777" w:rsidR="00D50026" w:rsidRPr="00B92499" w:rsidRDefault="00AF69FA" w:rsidP="009F64B5">
      <w:pPr>
        <w:pStyle w:val="Ttulo1"/>
        <w:numPr>
          <w:ilvl w:val="0"/>
          <w:numId w:val="5"/>
        </w:numPr>
        <w:contextualSpacing/>
        <w:rPr>
          <w:rFonts w:ascii="Arial" w:hAnsi="Arial" w:cs="Arial"/>
          <w:b/>
          <w:color w:val="auto"/>
          <w:sz w:val="24"/>
          <w:szCs w:val="24"/>
        </w:rPr>
      </w:pPr>
      <w:bookmarkStart w:id="50" w:name="_Toc23253006"/>
      <w:r w:rsidRPr="00B92499">
        <w:rPr>
          <w:rFonts w:ascii="Arial" w:hAnsi="Arial" w:cs="Arial"/>
          <w:b/>
          <w:color w:val="auto"/>
          <w:sz w:val="24"/>
          <w:szCs w:val="24"/>
        </w:rPr>
        <w:lastRenderedPageBreak/>
        <w:t>SINDICATOS</w:t>
      </w:r>
      <w:bookmarkEnd w:id="50"/>
      <w:r w:rsidRPr="00B92499">
        <w:rPr>
          <w:rFonts w:ascii="Arial" w:hAnsi="Arial" w:cs="Arial"/>
          <w:b/>
          <w:color w:val="auto"/>
          <w:sz w:val="24"/>
          <w:szCs w:val="24"/>
        </w:rPr>
        <w:t xml:space="preserve"> </w:t>
      </w:r>
    </w:p>
    <w:p w14:paraId="4923124C" w14:textId="77777777" w:rsidR="00D50026" w:rsidRPr="00B92499" w:rsidRDefault="00D50026" w:rsidP="002E7D47">
      <w:pPr>
        <w:contextualSpacing/>
        <w:rPr>
          <w:rFonts w:ascii="Arial" w:hAnsi="Arial" w:cs="Arial"/>
        </w:rPr>
      </w:pPr>
    </w:p>
    <w:p w14:paraId="6181D6E2" w14:textId="5CFC8A76" w:rsidR="00BD6320" w:rsidRPr="00B92499" w:rsidRDefault="000D3657" w:rsidP="00BD6320">
      <w:pPr>
        <w:spacing w:before="100" w:beforeAutospacing="1" w:after="100" w:afterAutospacing="1" w:line="360" w:lineRule="auto"/>
        <w:contextualSpacing/>
        <w:jc w:val="both"/>
        <w:rPr>
          <w:rFonts w:ascii="Arial" w:hAnsi="Arial" w:cs="Arial"/>
        </w:rPr>
      </w:pPr>
      <w:r w:rsidRPr="00B92499">
        <w:rPr>
          <w:rFonts w:ascii="Arial" w:hAnsi="Arial" w:cs="Arial"/>
        </w:rPr>
        <w:t>El ámbito de personas morales que reciben y ejercen recursos públicos</w:t>
      </w:r>
      <w:r w:rsidR="00BD6320" w:rsidRPr="00B92499">
        <w:rPr>
          <w:rFonts w:ascii="Arial" w:hAnsi="Arial" w:cs="Arial"/>
        </w:rPr>
        <w:t xml:space="preserve">, está conformado por 21 </w:t>
      </w:r>
      <w:r w:rsidR="008710F6" w:rsidRPr="00B92499">
        <w:rPr>
          <w:rFonts w:ascii="Arial" w:hAnsi="Arial" w:cs="Arial"/>
        </w:rPr>
        <w:t>sujeto</w:t>
      </w:r>
      <w:r w:rsidR="00BD6320" w:rsidRPr="00B92499">
        <w:rPr>
          <w:rFonts w:ascii="Arial" w:hAnsi="Arial" w:cs="Arial"/>
        </w:rPr>
        <w:t xml:space="preserve">s </w:t>
      </w:r>
      <w:r w:rsidR="008710F6" w:rsidRPr="00B92499">
        <w:rPr>
          <w:rFonts w:ascii="Arial" w:hAnsi="Arial" w:cs="Arial"/>
        </w:rPr>
        <w:t>obligado</w:t>
      </w:r>
      <w:r w:rsidR="00BD6320" w:rsidRPr="00B92499">
        <w:rPr>
          <w:rFonts w:ascii="Arial" w:hAnsi="Arial" w:cs="Arial"/>
        </w:rPr>
        <w:t xml:space="preserve">s, de conformidad con el Padrón de </w:t>
      </w:r>
      <w:r w:rsidR="008710F6" w:rsidRPr="00B92499">
        <w:rPr>
          <w:rFonts w:ascii="Arial" w:hAnsi="Arial" w:cs="Arial"/>
        </w:rPr>
        <w:t>sujeto</w:t>
      </w:r>
      <w:r w:rsidR="00BD6320" w:rsidRPr="00B92499">
        <w:rPr>
          <w:rFonts w:ascii="Arial" w:hAnsi="Arial" w:cs="Arial"/>
        </w:rPr>
        <w:t xml:space="preserve">s </w:t>
      </w:r>
      <w:r w:rsidR="008710F6" w:rsidRPr="00B92499">
        <w:rPr>
          <w:rFonts w:ascii="Arial" w:hAnsi="Arial" w:cs="Arial"/>
        </w:rPr>
        <w:t>obligado</w:t>
      </w:r>
      <w:r w:rsidR="00BD6320" w:rsidRPr="00B92499">
        <w:rPr>
          <w:rFonts w:ascii="Arial" w:hAnsi="Arial" w:cs="Arial"/>
        </w:rPr>
        <w:t>s supeditados al cumplimiento de la Ley de Transparencia, Acceso a la Información Pública y Rendición de Cuentas de la Ciudad de México</w:t>
      </w:r>
      <w:r w:rsidR="00BD6320" w:rsidRPr="00B92499" w:rsidDel="005B5D1B">
        <w:rPr>
          <w:rFonts w:ascii="Arial" w:hAnsi="Arial" w:cs="Arial"/>
        </w:rPr>
        <w:t xml:space="preserve"> </w:t>
      </w:r>
      <w:r w:rsidR="00BD6320" w:rsidRPr="00B92499">
        <w:rPr>
          <w:rFonts w:ascii="Arial" w:hAnsi="Arial" w:cs="Arial"/>
        </w:rPr>
        <w:t xml:space="preserve">y de la Ley de Protección de Datos Personales en Posesión de los </w:t>
      </w:r>
      <w:r w:rsidR="008710F6" w:rsidRPr="00B92499">
        <w:rPr>
          <w:rFonts w:ascii="Arial" w:hAnsi="Arial" w:cs="Arial"/>
        </w:rPr>
        <w:t>sujeto</w:t>
      </w:r>
      <w:r w:rsidR="00BD6320" w:rsidRPr="00B92499">
        <w:rPr>
          <w:rFonts w:ascii="Arial" w:hAnsi="Arial" w:cs="Arial"/>
        </w:rPr>
        <w:t xml:space="preserve">s </w:t>
      </w:r>
      <w:r w:rsidR="008710F6" w:rsidRPr="00B92499">
        <w:rPr>
          <w:rFonts w:ascii="Arial" w:hAnsi="Arial" w:cs="Arial"/>
        </w:rPr>
        <w:t>obligado</w:t>
      </w:r>
      <w:r w:rsidR="00BD6320" w:rsidRPr="00B92499">
        <w:rPr>
          <w:rFonts w:ascii="Arial" w:hAnsi="Arial" w:cs="Arial"/>
        </w:rPr>
        <w:t xml:space="preserve">s de la Ciudad de México vigente. No obstante, en este apartado únicamente se analizará al Sindicato de Trabajadores del Tribunal de Justicia Administrativa de la Ciudad de México por haber sido incorporado recientemente al Padrón de </w:t>
      </w:r>
      <w:r w:rsidR="008710F6" w:rsidRPr="00B92499">
        <w:rPr>
          <w:rFonts w:ascii="Arial" w:hAnsi="Arial" w:cs="Arial"/>
        </w:rPr>
        <w:t>sujeto</w:t>
      </w:r>
      <w:r w:rsidR="00BD6320" w:rsidRPr="00B92499">
        <w:rPr>
          <w:rFonts w:ascii="Arial" w:hAnsi="Arial" w:cs="Arial"/>
        </w:rPr>
        <w:t xml:space="preserve">s </w:t>
      </w:r>
      <w:r w:rsidR="008710F6" w:rsidRPr="00B92499">
        <w:rPr>
          <w:rFonts w:ascii="Arial" w:hAnsi="Arial" w:cs="Arial"/>
        </w:rPr>
        <w:t>obligado</w:t>
      </w:r>
      <w:r w:rsidR="00BD6320" w:rsidRPr="00B92499">
        <w:rPr>
          <w:rFonts w:ascii="Arial" w:hAnsi="Arial" w:cs="Arial"/>
        </w:rPr>
        <w:t xml:space="preserve">s vigentes. </w:t>
      </w:r>
    </w:p>
    <w:p w14:paraId="4D1D7DCF" w14:textId="77777777" w:rsidR="00BD6320" w:rsidRPr="00B92499" w:rsidRDefault="00BD6320" w:rsidP="00BD6320">
      <w:pPr>
        <w:spacing w:before="100" w:beforeAutospacing="1" w:after="100" w:afterAutospacing="1" w:line="360" w:lineRule="auto"/>
        <w:contextualSpacing/>
        <w:jc w:val="both"/>
        <w:rPr>
          <w:rFonts w:ascii="Arial" w:hAnsi="Arial" w:cs="Arial"/>
        </w:rPr>
      </w:pPr>
    </w:p>
    <w:p w14:paraId="7F7042A4" w14:textId="37DE16F3" w:rsidR="00BD6320" w:rsidRPr="00B92499" w:rsidRDefault="00BD6320" w:rsidP="002E7D47">
      <w:pPr>
        <w:spacing w:before="100" w:beforeAutospacing="1" w:after="100" w:afterAutospacing="1" w:line="360" w:lineRule="auto"/>
        <w:contextualSpacing/>
        <w:jc w:val="both"/>
        <w:rPr>
          <w:rFonts w:ascii="Arial" w:hAnsi="Arial" w:cs="Arial"/>
        </w:rPr>
      </w:pPr>
      <w:r w:rsidRPr="00B92499">
        <w:rPr>
          <w:rFonts w:ascii="Arial" w:hAnsi="Arial" w:cs="Arial"/>
        </w:rPr>
        <w:t xml:space="preserve">El </w:t>
      </w:r>
      <w:r w:rsidR="008710F6" w:rsidRPr="00B92499">
        <w:rPr>
          <w:rFonts w:ascii="Arial" w:hAnsi="Arial" w:cs="Arial"/>
        </w:rPr>
        <w:t>sujeto obligado</w:t>
      </w:r>
      <w:r w:rsidRPr="00B92499">
        <w:rPr>
          <w:rFonts w:ascii="Arial" w:hAnsi="Arial" w:cs="Arial"/>
        </w:rPr>
        <w:t xml:space="preserve">, así como su Índice de Cumplimiento de </w:t>
      </w:r>
      <w:r w:rsidR="008710F6" w:rsidRPr="00B92499">
        <w:rPr>
          <w:rFonts w:ascii="Arial" w:hAnsi="Arial" w:cs="Arial"/>
        </w:rPr>
        <w:t>obligaciones de transparencia</w:t>
      </w:r>
      <w:r w:rsidRPr="00B92499">
        <w:rPr>
          <w:rFonts w:ascii="Arial" w:hAnsi="Arial" w:cs="Arial"/>
        </w:rPr>
        <w:t xml:space="preserve"> del Portal de Internet (ICOT-PT), el de la Plataforma Nacional de Transparencia (ICOT-PNT) y el Índice General de Cumplimiento de </w:t>
      </w:r>
      <w:r w:rsidR="008710F6" w:rsidRPr="00B92499">
        <w:rPr>
          <w:rFonts w:ascii="Arial" w:hAnsi="Arial" w:cs="Arial"/>
        </w:rPr>
        <w:t>obligaciones de transparencia</w:t>
      </w:r>
      <w:r w:rsidRPr="00B92499">
        <w:rPr>
          <w:rFonts w:ascii="Arial" w:hAnsi="Arial" w:cs="Arial"/>
        </w:rPr>
        <w:t xml:space="preserve"> (IGOT) se presentan en la siguiente tabla, ordenados de forma descendente, respecto del IGOT: </w:t>
      </w:r>
    </w:p>
    <w:p w14:paraId="10B9829F" w14:textId="77777777" w:rsidR="00BD6320" w:rsidRPr="00B92499" w:rsidRDefault="00BD6320" w:rsidP="002E7D47">
      <w:pPr>
        <w:spacing w:before="100" w:beforeAutospacing="1" w:after="100" w:afterAutospacing="1" w:line="360" w:lineRule="auto"/>
        <w:contextualSpacing/>
        <w:jc w:val="both"/>
        <w:rPr>
          <w:rFonts w:ascii="Arial" w:hAnsi="Arial" w:cs="Arial"/>
        </w:rPr>
      </w:pPr>
    </w:p>
    <w:tbl>
      <w:tblPr>
        <w:tblW w:w="9375" w:type="dxa"/>
        <w:tblLayout w:type="fixed"/>
        <w:tblCellMar>
          <w:left w:w="70" w:type="dxa"/>
          <w:right w:w="70" w:type="dxa"/>
        </w:tblCellMar>
        <w:tblLook w:val="04A0" w:firstRow="1" w:lastRow="0" w:firstColumn="1" w:lastColumn="0" w:noHBand="0" w:noVBand="1"/>
      </w:tblPr>
      <w:tblGrid>
        <w:gridCol w:w="421"/>
        <w:gridCol w:w="1304"/>
        <w:gridCol w:w="850"/>
        <w:gridCol w:w="850"/>
        <w:gridCol w:w="850"/>
        <w:gridCol w:w="850"/>
        <w:gridCol w:w="850"/>
        <w:gridCol w:w="850"/>
        <w:gridCol w:w="850"/>
        <w:gridCol w:w="850"/>
        <w:gridCol w:w="850"/>
      </w:tblGrid>
      <w:tr w:rsidR="00BD6320" w:rsidRPr="00B92499" w14:paraId="7673A4EF" w14:textId="77777777" w:rsidTr="00A027DB">
        <w:trPr>
          <w:trHeight w:val="217"/>
          <w:tblHeader/>
        </w:trPr>
        <w:tc>
          <w:tcPr>
            <w:tcW w:w="9375" w:type="dxa"/>
            <w:gridSpan w:val="11"/>
            <w:tcBorders>
              <w:top w:val="single" w:sz="4" w:space="0" w:color="auto"/>
              <w:left w:val="single" w:sz="4" w:space="0" w:color="auto"/>
              <w:bottom w:val="single" w:sz="4" w:space="0" w:color="auto"/>
              <w:right w:val="single" w:sz="4" w:space="0" w:color="auto"/>
            </w:tcBorders>
            <w:shd w:val="clear" w:color="auto" w:fill="00B0F0"/>
            <w:noWrap/>
            <w:vAlign w:val="center"/>
          </w:tcPr>
          <w:p w14:paraId="37D4B6C0" w14:textId="77777777" w:rsidR="00BD6320" w:rsidRPr="00B92499" w:rsidRDefault="00BD6320" w:rsidP="00A027DB">
            <w:pPr>
              <w:jc w:val="center"/>
              <w:rPr>
                <w:rFonts w:ascii="Arial" w:hAnsi="Arial" w:cs="Arial"/>
                <w:b/>
                <w:bCs/>
                <w:color w:val="000000"/>
                <w:sz w:val="16"/>
                <w:szCs w:val="16"/>
              </w:rPr>
            </w:pPr>
            <w:r w:rsidRPr="00B92499">
              <w:rPr>
                <w:rFonts w:ascii="Arial" w:hAnsi="Arial" w:cs="Arial"/>
                <w:b/>
                <w:bCs/>
                <w:color w:val="000000"/>
                <w:sz w:val="16"/>
                <w:szCs w:val="16"/>
              </w:rPr>
              <w:t>Resultados de la Segunda Evaluación Vinculante 2019, respecto del primer semestre del año 2019</w:t>
            </w:r>
          </w:p>
        </w:tc>
      </w:tr>
      <w:tr w:rsidR="00BD6320" w:rsidRPr="00B92499" w14:paraId="1E6CDCCE" w14:textId="77777777" w:rsidTr="00A027DB">
        <w:trPr>
          <w:trHeight w:val="217"/>
          <w:tblHeader/>
        </w:trPr>
        <w:tc>
          <w:tcPr>
            <w:tcW w:w="421" w:type="dxa"/>
            <w:tcBorders>
              <w:top w:val="single" w:sz="4" w:space="0" w:color="auto"/>
              <w:left w:val="single" w:sz="4" w:space="0" w:color="auto"/>
              <w:bottom w:val="single" w:sz="4" w:space="0" w:color="auto"/>
              <w:right w:val="single" w:sz="4" w:space="0" w:color="auto"/>
            </w:tcBorders>
            <w:shd w:val="clear" w:color="auto" w:fill="00B0F0"/>
            <w:noWrap/>
            <w:vAlign w:val="center"/>
            <w:hideMark/>
          </w:tcPr>
          <w:p w14:paraId="4D8B6613" w14:textId="77777777" w:rsidR="00BD6320" w:rsidRPr="00B92499" w:rsidRDefault="00BD6320" w:rsidP="00A027DB">
            <w:pPr>
              <w:jc w:val="center"/>
              <w:rPr>
                <w:rFonts w:ascii="Arial" w:hAnsi="Arial" w:cs="Arial"/>
                <w:b/>
                <w:bCs/>
                <w:color w:val="000000"/>
                <w:sz w:val="16"/>
                <w:szCs w:val="16"/>
              </w:rPr>
            </w:pPr>
            <w:r w:rsidRPr="00B92499">
              <w:rPr>
                <w:rFonts w:ascii="Arial" w:hAnsi="Arial" w:cs="Arial"/>
                <w:b/>
                <w:bCs/>
                <w:color w:val="000000"/>
                <w:sz w:val="16"/>
                <w:szCs w:val="16"/>
              </w:rPr>
              <w:t>No.</w:t>
            </w:r>
          </w:p>
        </w:tc>
        <w:tc>
          <w:tcPr>
            <w:tcW w:w="1304" w:type="dxa"/>
            <w:tcBorders>
              <w:top w:val="single" w:sz="4" w:space="0" w:color="auto"/>
              <w:left w:val="nil"/>
              <w:bottom w:val="single" w:sz="4" w:space="0" w:color="auto"/>
              <w:right w:val="single" w:sz="4" w:space="0" w:color="auto"/>
            </w:tcBorders>
            <w:shd w:val="clear" w:color="auto" w:fill="00B0F0"/>
            <w:vAlign w:val="center"/>
            <w:hideMark/>
          </w:tcPr>
          <w:p w14:paraId="77D7CD7A" w14:textId="14EBEE81" w:rsidR="00BD6320" w:rsidRPr="00B92499" w:rsidRDefault="00BD6320" w:rsidP="00A027DB">
            <w:pPr>
              <w:jc w:val="center"/>
              <w:rPr>
                <w:rFonts w:ascii="Arial" w:hAnsi="Arial" w:cs="Arial"/>
                <w:b/>
                <w:bCs/>
                <w:color w:val="000000"/>
                <w:sz w:val="16"/>
                <w:szCs w:val="16"/>
              </w:rPr>
            </w:pPr>
            <w:r w:rsidRPr="00B92499">
              <w:rPr>
                <w:rFonts w:ascii="Arial" w:hAnsi="Arial" w:cs="Arial"/>
                <w:b/>
                <w:bCs/>
                <w:color w:val="000000"/>
                <w:sz w:val="16"/>
                <w:szCs w:val="16"/>
              </w:rPr>
              <w:t xml:space="preserve">Denominación del </w:t>
            </w:r>
            <w:r w:rsidR="008710F6" w:rsidRPr="00B92499">
              <w:rPr>
                <w:rFonts w:ascii="Arial" w:hAnsi="Arial" w:cs="Arial"/>
                <w:b/>
                <w:bCs/>
                <w:color w:val="000000"/>
                <w:sz w:val="16"/>
                <w:szCs w:val="16"/>
              </w:rPr>
              <w:t>sujeto obligado</w:t>
            </w:r>
          </w:p>
        </w:tc>
        <w:tc>
          <w:tcPr>
            <w:tcW w:w="850" w:type="dxa"/>
            <w:tcBorders>
              <w:top w:val="single" w:sz="4" w:space="0" w:color="auto"/>
              <w:left w:val="nil"/>
              <w:bottom w:val="single" w:sz="4" w:space="0" w:color="auto"/>
              <w:right w:val="single" w:sz="4" w:space="0" w:color="auto"/>
            </w:tcBorders>
            <w:shd w:val="clear" w:color="auto" w:fill="00B0F0"/>
            <w:vAlign w:val="center"/>
            <w:hideMark/>
          </w:tcPr>
          <w:p w14:paraId="2CF2B4B6" w14:textId="77777777" w:rsidR="00BD6320" w:rsidRPr="00B92499" w:rsidRDefault="00BD6320" w:rsidP="00A027DB">
            <w:pPr>
              <w:jc w:val="center"/>
              <w:rPr>
                <w:rFonts w:ascii="Arial" w:hAnsi="Arial" w:cs="Arial"/>
                <w:b/>
                <w:bCs/>
                <w:color w:val="000000"/>
                <w:sz w:val="16"/>
                <w:szCs w:val="16"/>
              </w:rPr>
            </w:pPr>
            <w:r w:rsidRPr="00B92499">
              <w:rPr>
                <w:rFonts w:ascii="Arial" w:hAnsi="Arial" w:cs="Arial"/>
                <w:b/>
                <w:bCs/>
                <w:color w:val="000000"/>
                <w:sz w:val="16"/>
                <w:szCs w:val="16"/>
              </w:rPr>
              <w:t>%Inf PT</w:t>
            </w:r>
          </w:p>
        </w:tc>
        <w:tc>
          <w:tcPr>
            <w:tcW w:w="850" w:type="dxa"/>
            <w:tcBorders>
              <w:top w:val="single" w:sz="4" w:space="0" w:color="auto"/>
              <w:left w:val="nil"/>
              <w:bottom w:val="single" w:sz="4" w:space="0" w:color="auto"/>
              <w:right w:val="single" w:sz="4" w:space="0" w:color="auto"/>
            </w:tcBorders>
            <w:shd w:val="clear" w:color="auto" w:fill="00B0F0"/>
            <w:vAlign w:val="center"/>
            <w:hideMark/>
          </w:tcPr>
          <w:p w14:paraId="760B7977" w14:textId="77777777" w:rsidR="00BD6320" w:rsidRPr="00B92499" w:rsidRDefault="00BD6320" w:rsidP="00A027DB">
            <w:pPr>
              <w:jc w:val="center"/>
              <w:rPr>
                <w:rFonts w:ascii="Arial" w:hAnsi="Arial" w:cs="Arial"/>
                <w:b/>
                <w:bCs/>
                <w:color w:val="000000"/>
                <w:sz w:val="16"/>
                <w:szCs w:val="16"/>
              </w:rPr>
            </w:pPr>
            <w:r w:rsidRPr="00B92499">
              <w:rPr>
                <w:rFonts w:ascii="Arial" w:hAnsi="Arial" w:cs="Arial"/>
                <w:b/>
                <w:bCs/>
                <w:color w:val="000000"/>
                <w:sz w:val="16"/>
                <w:szCs w:val="16"/>
              </w:rPr>
              <w:t>% Nota PT</w:t>
            </w:r>
          </w:p>
        </w:tc>
        <w:tc>
          <w:tcPr>
            <w:tcW w:w="850" w:type="dxa"/>
            <w:tcBorders>
              <w:top w:val="single" w:sz="4" w:space="0" w:color="auto"/>
              <w:left w:val="nil"/>
              <w:bottom w:val="single" w:sz="4" w:space="0" w:color="auto"/>
              <w:right w:val="single" w:sz="4" w:space="0" w:color="auto"/>
            </w:tcBorders>
            <w:shd w:val="clear" w:color="auto" w:fill="00B0F0"/>
            <w:vAlign w:val="center"/>
            <w:hideMark/>
          </w:tcPr>
          <w:p w14:paraId="313FB1C8" w14:textId="77777777" w:rsidR="00BD6320" w:rsidRPr="00B92499" w:rsidRDefault="00BD6320" w:rsidP="00A027DB">
            <w:pPr>
              <w:jc w:val="center"/>
              <w:rPr>
                <w:rFonts w:ascii="Arial" w:hAnsi="Arial" w:cs="Arial"/>
                <w:b/>
                <w:bCs/>
                <w:color w:val="000000"/>
                <w:sz w:val="16"/>
                <w:szCs w:val="16"/>
              </w:rPr>
            </w:pPr>
            <w:r w:rsidRPr="00B92499">
              <w:rPr>
                <w:rFonts w:ascii="Arial" w:hAnsi="Arial" w:cs="Arial"/>
                <w:b/>
                <w:bCs/>
                <w:color w:val="000000"/>
                <w:sz w:val="16"/>
                <w:szCs w:val="16"/>
              </w:rPr>
              <w:t>ICOT-PT</w:t>
            </w:r>
          </w:p>
        </w:tc>
        <w:tc>
          <w:tcPr>
            <w:tcW w:w="850" w:type="dxa"/>
            <w:tcBorders>
              <w:top w:val="single" w:sz="4" w:space="0" w:color="auto"/>
              <w:left w:val="nil"/>
              <w:bottom w:val="single" w:sz="4" w:space="0" w:color="auto"/>
              <w:right w:val="single" w:sz="4" w:space="0" w:color="auto"/>
            </w:tcBorders>
            <w:shd w:val="clear" w:color="auto" w:fill="00B0F0"/>
            <w:vAlign w:val="center"/>
            <w:hideMark/>
          </w:tcPr>
          <w:p w14:paraId="739420B1" w14:textId="77777777" w:rsidR="00BD6320" w:rsidRPr="00B92499" w:rsidRDefault="00BD6320" w:rsidP="00A027DB">
            <w:pPr>
              <w:jc w:val="center"/>
              <w:rPr>
                <w:rFonts w:ascii="Arial" w:hAnsi="Arial" w:cs="Arial"/>
                <w:b/>
                <w:bCs/>
                <w:color w:val="000000"/>
                <w:sz w:val="16"/>
                <w:szCs w:val="16"/>
              </w:rPr>
            </w:pPr>
            <w:r w:rsidRPr="00B92499">
              <w:rPr>
                <w:rFonts w:ascii="Arial" w:hAnsi="Arial" w:cs="Arial"/>
                <w:b/>
                <w:bCs/>
                <w:color w:val="000000"/>
                <w:sz w:val="16"/>
                <w:szCs w:val="16"/>
              </w:rPr>
              <w:t>%Inf PNT</w:t>
            </w:r>
          </w:p>
        </w:tc>
        <w:tc>
          <w:tcPr>
            <w:tcW w:w="850" w:type="dxa"/>
            <w:tcBorders>
              <w:top w:val="single" w:sz="4" w:space="0" w:color="auto"/>
              <w:left w:val="nil"/>
              <w:bottom w:val="single" w:sz="4" w:space="0" w:color="auto"/>
              <w:right w:val="single" w:sz="4" w:space="0" w:color="auto"/>
            </w:tcBorders>
            <w:shd w:val="clear" w:color="auto" w:fill="00B0F0"/>
            <w:vAlign w:val="center"/>
            <w:hideMark/>
          </w:tcPr>
          <w:p w14:paraId="14B71ABE" w14:textId="77777777" w:rsidR="00BD6320" w:rsidRPr="00B92499" w:rsidRDefault="00BD6320" w:rsidP="00A027DB">
            <w:pPr>
              <w:jc w:val="center"/>
              <w:rPr>
                <w:rFonts w:ascii="Arial" w:hAnsi="Arial" w:cs="Arial"/>
                <w:b/>
                <w:bCs/>
                <w:color w:val="000000"/>
                <w:sz w:val="16"/>
                <w:szCs w:val="16"/>
              </w:rPr>
            </w:pPr>
            <w:r w:rsidRPr="00B92499">
              <w:rPr>
                <w:rFonts w:ascii="Arial" w:hAnsi="Arial" w:cs="Arial"/>
                <w:b/>
                <w:bCs/>
                <w:color w:val="000000"/>
                <w:sz w:val="16"/>
                <w:szCs w:val="16"/>
              </w:rPr>
              <w:t>% Notas PNT</w:t>
            </w:r>
          </w:p>
        </w:tc>
        <w:tc>
          <w:tcPr>
            <w:tcW w:w="850" w:type="dxa"/>
            <w:tcBorders>
              <w:top w:val="single" w:sz="4" w:space="0" w:color="auto"/>
              <w:left w:val="nil"/>
              <w:bottom w:val="single" w:sz="4" w:space="0" w:color="auto"/>
              <w:right w:val="single" w:sz="4" w:space="0" w:color="auto"/>
            </w:tcBorders>
            <w:shd w:val="clear" w:color="auto" w:fill="00B0F0"/>
            <w:vAlign w:val="center"/>
            <w:hideMark/>
          </w:tcPr>
          <w:p w14:paraId="4F89A8FD" w14:textId="77777777" w:rsidR="00BD6320" w:rsidRPr="00B92499" w:rsidRDefault="00BD6320" w:rsidP="00A027DB">
            <w:pPr>
              <w:jc w:val="center"/>
              <w:rPr>
                <w:rFonts w:ascii="Arial" w:hAnsi="Arial" w:cs="Arial"/>
                <w:b/>
                <w:bCs/>
                <w:color w:val="000000"/>
                <w:sz w:val="16"/>
                <w:szCs w:val="16"/>
              </w:rPr>
            </w:pPr>
            <w:r w:rsidRPr="00B92499">
              <w:rPr>
                <w:rFonts w:ascii="Arial" w:hAnsi="Arial" w:cs="Arial"/>
                <w:b/>
                <w:bCs/>
                <w:color w:val="000000"/>
                <w:sz w:val="16"/>
                <w:szCs w:val="16"/>
              </w:rPr>
              <w:t>ICOT-PNT</w:t>
            </w:r>
          </w:p>
        </w:tc>
        <w:tc>
          <w:tcPr>
            <w:tcW w:w="850" w:type="dxa"/>
            <w:tcBorders>
              <w:top w:val="single" w:sz="4" w:space="0" w:color="auto"/>
              <w:left w:val="nil"/>
              <w:bottom w:val="single" w:sz="4" w:space="0" w:color="auto"/>
              <w:right w:val="single" w:sz="4" w:space="0" w:color="auto"/>
            </w:tcBorders>
            <w:shd w:val="clear" w:color="auto" w:fill="00B0F0"/>
            <w:vAlign w:val="center"/>
            <w:hideMark/>
          </w:tcPr>
          <w:p w14:paraId="6F24D410" w14:textId="77777777" w:rsidR="00BD6320" w:rsidRPr="00B92499" w:rsidRDefault="00BD6320" w:rsidP="00A027DB">
            <w:pPr>
              <w:jc w:val="center"/>
              <w:rPr>
                <w:rFonts w:ascii="Arial" w:hAnsi="Arial" w:cs="Arial"/>
                <w:b/>
                <w:bCs/>
                <w:color w:val="000000"/>
                <w:sz w:val="16"/>
                <w:szCs w:val="16"/>
              </w:rPr>
            </w:pPr>
            <w:r w:rsidRPr="00B92499">
              <w:rPr>
                <w:rFonts w:ascii="Arial" w:hAnsi="Arial" w:cs="Arial"/>
                <w:b/>
                <w:bCs/>
                <w:color w:val="000000"/>
                <w:sz w:val="16"/>
                <w:szCs w:val="16"/>
              </w:rPr>
              <w:t>%Inf IGOT</w:t>
            </w:r>
          </w:p>
        </w:tc>
        <w:tc>
          <w:tcPr>
            <w:tcW w:w="850" w:type="dxa"/>
            <w:tcBorders>
              <w:top w:val="single" w:sz="4" w:space="0" w:color="auto"/>
              <w:left w:val="nil"/>
              <w:bottom w:val="single" w:sz="4" w:space="0" w:color="auto"/>
              <w:right w:val="single" w:sz="4" w:space="0" w:color="auto"/>
            </w:tcBorders>
            <w:shd w:val="clear" w:color="auto" w:fill="00B0F0"/>
            <w:vAlign w:val="center"/>
            <w:hideMark/>
          </w:tcPr>
          <w:p w14:paraId="72E86810" w14:textId="77777777" w:rsidR="00BD6320" w:rsidRPr="00B92499" w:rsidRDefault="00BD6320" w:rsidP="00A027DB">
            <w:pPr>
              <w:jc w:val="center"/>
              <w:rPr>
                <w:rFonts w:ascii="Arial" w:hAnsi="Arial" w:cs="Arial"/>
                <w:b/>
                <w:bCs/>
                <w:color w:val="000000"/>
                <w:sz w:val="16"/>
                <w:szCs w:val="16"/>
              </w:rPr>
            </w:pPr>
            <w:r w:rsidRPr="00B92499">
              <w:rPr>
                <w:rFonts w:ascii="Arial" w:hAnsi="Arial" w:cs="Arial"/>
                <w:b/>
                <w:bCs/>
                <w:color w:val="000000"/>
                <w:sz w:val="16"/>
                <w:szCs w:val="16"/>
              </w:rPr>
              <w:t>% Notas IGOT</w:t>
            </w:r>
          </w:p>
        </w:tc>
        <w:tc>
          <w:tcPr>
            <w:tcW w:w="850" w:type="dxa"/>
            <w:tcBorders>
              <w:top w:val="single" w:sz="4" w:space="0" w:color="auto"/>
              <w:left w:val="nil"/>
              <w:bottom w:val="single" w:sz="4" w:space="0" w:color="auto"/>
              <w:right w:val="single" w:sz="4" w:space="0" w:color="auto"/>
            </w:tcBorders>
            <w:shd w:val="clear" w:color="auto" w:fill="00B0F0"/>
            <w:vAlign w:val="center"/>
            <w:hideMark/>
          </w:tcPr>
          <w:p w14:paraId="58ED3090" w14:textId="77777777" w:rsidR="00BD6320" w:rsidRPr="00B92499" w:rsidRDefault="00BD6320" w:rsidP="00A027DB">
            <w:pPr>
              <w:jc w:val="center"/>
              <w:rPr>
                <w:rFonts w:ascii="Arial" w:hAnsi="Arial" w:cs="Arial"/>
                <w:b/>
                <w:bCs/>
                <w:color w:val="000000"/>
                <w:sz w:val="16"/>
                <w:szCs w:val="16"/>
              </w:rPr>
            </w:pPr>
            <w:r w:rsidRPr="00B92499">
              <w:rPr>
                <w:rFonts w:ascii="Arial" w:hAnsi="Arial" w:cs="Arial"/>
                <w:b/>
                <w:bCs/>
                <w:color w:val="000000"/>
                <w:sz w:val="16"/>
                <w:szCs w:val="16"/>
              </w:rPr>
              <w:t>IGOT</w:t>
            </w:r>
          </w:p>
        </w:tc>
      </w:tr>
      <w:tr w:rsidR="00BD6320" w:rsidRPr="00B92499" w14:paraId="465230AC" w14:textId="77777777" w:rsidTr="00A027DB">
        <w:trPr>
          <w:trHeight w:val="680"/>
        </w:trPr>
        <w:tc>
          <w:tcPr>
            <w:tcW w:w="421" w:type="dxa"/>
            <w:tcBorders>
              <w:top w:val="nil"/>
              <w:left w:val="single" w:sz="4" w:space="0" w:color="auto"/>
              <w:bottom w:val="single" w:sz="4" w:space="0" w:color="auto"/>
              <w:right w:val="single" w:sz="4" w:space="0" w:color="auto"/>
            </w:tcBorders>
            <w:shd w:val="clear" w:color="000000" w:fill="FFFFFF"/>
            <w:vAlign w:val="center"/>
            <w:hideMark/>
          </w:tcPr>
          <w:p w14:paraId="515F922B" w14:textId="77777777" w:rsidR="00BD6320" w:rsidRPr="00B92499" w:rsidRDefault="00BD6320" w:rsidP="00BD6320">
            <w:pPr>
              <w:jc w:val="center"/>
              <w:rPr>
                <w:rFonts w:ascii="Arial" w:hAnsi="Arial" w:cs="Arial"/>
                <w:color w:val="000000"/>
                <w:sz w:val="16"/>
                <w:szCs w:val="16"/>
              </w:rPr>
            </w:pPr>
            <w:r w:rsidRPr="00B92499">
              <w:rPr>
                <w:rFonts w:ascii="Arial" w:hAnsi="Arial" w:cs="Arial"/>
                <w:color w:val="000000"/>
                <w:sz w:val="16"/>
                <w:szCs w:val="16"/>
              </w:rPr>
              <w:t>1</w:t>
            </w:r>
          </w:p>
        </w:tc>
        <w:tc>
          <w:tcPr>
            <w:tcW w:w="1304" w:type="dxa"/>
            <w:tcBorders>
              <w:top w:val="nil"/>
              <w:left w:val="nil"/>
              <w:bottom w:val="single" w:sz="4" w:space="0" w:color="auto"/>
              <w:right w:val="single" w:sz="4" w:space="0" w:color="auto"/>
            </w:tcBorders>
            <w:shd w:val="clear" w:color="000000" w:fill="FFFFFF"/>
            <w:vAlign w:val="center"/>
            <w:hideMark/>
          </w:tcPr>
          <w:p w14:paraId="5A775276" w14:textId="77777777" w:rsidR="00BD6320" w:rsidRPr="00B92499" w:rsidRDefault="00BD6320" w:rsidP="00BD6320">
            <w:pPr>
              <w:jc w:val="both"/>
              <w:rPr>
                <w:rFonts w:ascii="Arial" w:hAnsi="Arial" w:cs="Arial"/>
                <w:color w:val="000000"/>
                <w:sz w:val="16"/>
                <w:szCs w:val="16"/>
              </w:rPr>
            </w:pPr>
            <w:r w:rsidRPr="00B92499">
              <w:rPr>
                <w:rFonts w:ascii="Arial" w:hAnsi="Arial" w:cs="Arial"/>
                <w:color w:val="000000"/>
                <w:sz w:val="16"/>
                <w:szCs w:val="16"/>
              </w:rPr>
              <w:t>Sindicato de Trabajadores del Tribunal de Justicia Administrativa de la Ciudad de México</w:t>
            </w:r>
          </w:p>
        </w:tc>
        <w:tc>
          <w:tcPr>
            <w:tcW w:w="850" w:type="dxa"/>
            <w:tcBorders>
              <w:top w:val="nil"/>
              <w:left w:val="nil"/>
              <w:bottom w:val="single" w:sz="4" w:space="0" w:color="auto"/>
              <w:right w:val="single" w:sz="4" w:space="0" w:color="auto"/>
            </w:tcBorders>
            <w:shd w:val="clear" w:color="000000" w:fill="BDD7EE"/>
            <w:noWrap/>
            <w:vAlign w:val="center"/>
            <w:hideMark/>
          </w:tcPr>
          <w:p w14:paraId="2EA366B7" w14:textId="77777777" w:rsidR="00BD6320" w:rsidRPr="00B92499" w:rsidRDefault="00BD6320" w:rsidP="00BD6320">
            <w:pPr>
              <w:jc w:val="center"/>
              <w:rPr>
                <w:rFonts w:ascii="Arial" w:hAnsi="Arial" w:cs="Arial"/>
                <w:color w:val="000000"/>
                <w:sz w:val="16"/>
                <w:szCs w:val="16"/>
              </w:rPr>
            </w:pPr>
            <w:r w:rsidRPr="00B92499">
              <w:rPr>
                <w:rFonts w:ascii="Arial" w:hAnsi="Arial" w:cs="Arial"/>
                <w:color w:val="000000"/>
                <w:sz w:val="16"/>
                <w:szCs w:val="16"/>
              </w:rPr>
              <w:t>84.45</w:t>
            </w:r>
          </w:p>
        </w:tc>
        <w:tc>
          <w:tcPr>
            <w:tcW w:w="850" w:type="dxa"/>
            <w:tcBorders>
              <w:top w:val="nil"/>
              <w:left w:val="nil"/>
              <w:bottom w:val="single" w:sz="4" w:space="0" w:color="auto"/>
              <w:right w:val="single" w:sz="4" w:space="0" w:color="auto"/>
            </w:tcBorders>
            <w:shd w:val="clear" w:color="000000" w:fill="D9D9D9"/>
            <w:noWrap/>
            <w:vAlign w:val="center"/>
            <w:hideMark/>
          </w:tcPr>
          <w:p w14:paraId="4DA838E5" w14:textId="77777777" w:rsidR="00BD6320" w:rsidRPr="00B92499" w:rsidRDefault="00BD6320" w:rsidP="00BD6320">
            <w:pPr>
              <w:jc w:val="center"/>
              <w:rPr>
                <w:rFonts w:ascii="Arial" w:hAnsi="Arial" w:cs="Arial"/>
                <w:color w:val="000000"/>
                <w:sz w:val="16"/>
                <w:szCs w:val="16"/>
              </w:rPr>
            </w:pPr>
            <w:r w:rsidRPr="00B92499">
              <w:rPr>
                <w:rFonts w:ascii="Arial" w:hAnsi="Arial" w:cs="Arial"/>
                <w:color w:val="000000"/>
                <w:sz w:val="16"/>
                <w:szCs w:val="16"/>
              </w:rPr>
              <w:t>3.44</w:t>
            </w:r>
          </w:p>
        </w:tc>
        <w:tc>
          <w:tcPr>
            <w:tcW w:w="850" w:type="dxa"/>
            <w:tcBorders>
              <w:top w:val="nil"/>
              <w:left w:val="nil"/>
              <w:bottom w:val="single" w:sz="4" w:space="0" w:color="auto"/>
              <w:right w:val="single" w:sz="4" w:space="0" w:color="auto"/>
            </w:tcBorders>
            <w:shd w:val="clear" w:color="auto" w:fill="auto"/>
            <w:noWrap/>
            <w:vAlign w:val="center"/>
            <w:hideMark/>
          </w:tcPr>
          <w:p w14:paraId="499B8ECB" w14:textId="77777777" w:rsidR="00BD6320" w:rsidRPr="00B92499" w:rsidRDefault="00BD6320" w:rsidP="00BD6320">
            <w:pPr>
              <w:jc w:val="center"/>
              <w:rPr>
                <w:rFonts w:ascii="Arial" w:hAnsi="Arial" w:cs="Arial"/>
                <w:color w:val="000000"/>
                <w:sz w:val="16"/>
                <w:szCs w:val="16"/>
              </w:rPr>
            </w:pPr>
            <w:r w:rsidRPr="00B92499">
              <w:rPr>
                <w:rFonts w:ascii="Arial" w:hAnsi="Arial" w:cs="Arial"/>
                <w:color w:val="000000"/>
                <w:sz w:val="16"/>
                <w:szCs w:val="16"/>
              </w:rPr>
              <w:t>87.90</w:t>
            </w:r>
          </w:p>
        </w:tc>
        <w:tc>
          <w:tcPr>
            <w:tcW w:w="850" w:type="dxa"/>
            <w:tcBorders>
              <w:top w:val="nil"/>
              <w:left w:val="nil"/>
              <w:bottom w:val="single" w:sz="4" w:space="0" w:color="auto"/>
              <w:right w:val="single" w:sz="4" w:space="0" w:color="auto"/>
            </w:tcBorders>
            <w:shd w:val="clear" w:color="000000" w:fill="BDD7EE"/>
            <w:noWrap/>
            <w:vAlign w:val="center"/>
            <w:hideMark/>
          </w:tcPr>
          <w:p w14:paraId="6FC1E745" w14:textId="77777777" w:rsidR="00BD6320" w:rsidRPr="00B92499" w:rsidRDefault="00BD6320" w:rsidP="00BD6320">
            <w:pPr>
              <w:jc w:val="center"/>
              <w:rPr>
                <w:rFonts w:ascii="Arial" w:hAnsi="Arial" w:cs="Arial"/>
                <w:color w:val="000000"/>
                <w:sz w:val="16"/>
                <w:szCs w:val="16"/>
              </w:rPr>
            </w:pPr>
            <w:r w:rsidRPr="00B92499">
              <w:rPr>
                <w:rFonts w:ascii="Arial" w:hAnsi="Arial" w:cs="Arial"/>
                <w:color w:val="000000"/>
                <w:sz w:val="16"/>
                <w:szCs w:val="16"/>
              </w:rPr>
              <w:t>81.98</w:t>
            </w:r>
          </w:p>
        </w:tc>
        <w:tc>
          <w:tcPr>
            <w:tcW w:w="850" w:type="dxa"/>
            <w:tcBorders>
              <w:top w:val="nil"/>
              <w:left w:val="nil"/>
              <w:bottom w:val="single" w:sz="4" w:space="0" w:color="auto"/>
              <w:right w:val="single" w:sz="4" w:space="0" w:color="auto"/>
            </w:tcBorders>
            <w:shd w:val="clear" w:color="000000" w:fill="D9D9D9"/>
            <w:noWrap/>
            <w:vAlign w:val="center"/>
            <w:hideMark/>
          </w:tcPr>
          <w:p w14:paraId="7CD246FC" w14:textId="77777777" w:rsidR="00BD6320" w:rsidRPr="00B92499" w:rsidRDefault="00BD6320" w:rsidP="00BD6320">
            <w:pPr>
              <w:jc w:val="center"/>
              <w:rPr>
                <w:rFonts w:ascii="Arial" w:hAnsi="Arial" w:cs="Arial"/>
                <w:color w:val="000000"/>
                <w:sz w:val="16"/>
                <w:szCs w:val="16"/>
              </w:rPr>
            </w:pPr>
            <w:r w:rsidRPr="00B92499">
              <w:rPr>
                <w:rFonts w:ascii="Arial" w:hAnsi="Arial" w:cs="Arial"/>
                <w:color w:val="000000"/>
                <w:sz w:val="16"/>
                <w:szCs w:val="16"/>
              </w:rPr>
              <w:t>4.52</w:t>
            </w:r>
          </w:p>
        </w:tc>
        <w:tc>
          <w:tcPr>
            <w:tcW w:w="850" w:type="dxa"/>
            <w:tcBorders>
              <w:top w:val="nil"/>
              <w:left w:val="nil"/>
              <w:bottom w:val="single" w:sz="4" w:space="0" w:color="auto"/>
              <w:right w:val="single" w:sz="4" w:space="0" w:color="auto"/>
            </w:tcBorders>
            <w:shd w:val="clear" w:color="auto" w:fill="auto"/>
            <w:noWrap/>
            <w:vAlign w:val="center"/>
            <w:hideMark/>
          </w:tcPr>
          <w:p w14:paraId="29FA3ABE" w14:textId="77777777" w:rsidR="00BD6320" w:rsidRPr="00B92499" w:rsidRDefault="00BD6320" w:rsidP="00BD6320">
            <w:pPr>
              <w:jc w:val="center"/>
              <w:rPr>
                <w:rFonts w:ascii="Arial" w:hAnsi="Arial" w:cs="Arial"/>
                <w:color w:val="000000"/>
                <w:sz w:val="16"/>
                <w:szCs w:val="16"/>
              </w:rPr>
            </w:pPr>
            <w:r w:rsidRPr="00B92499">
              <w:rPr>
                <w:rFonts w:ascii="Arial" w:hAnsi="Arial" w:cs="Arial"/>
                <w:color w:val="000000"/>
                <w:sz w:val="16"/>
                <w:szCs w:val="16"/>
              </w:rPr>
              <w:t>86.50</w:t>
            </w:r>
          </w:p>
        </w:tc>
        <w:tc>
          <w:tcPr>
            <w:tcW w:w="850" w:type="dxa"/>
            <w:tcBorders>
              <w:top w:val="nil"/>
              <w:left w:val="nil"/>
              <w:bottom w:val="single" w:sz="4" w:space="0" w:color="auto"/>
              <w:right w:val="single" w:sz="4" w:space="0" w:color="auto"/>
            </w:tcBorders>
            <w:shd w:val="clear" w:color="000000" w:fill="BDD7EE"/>
            <w:noWrap/>
            <w:vAlign w:val="center"/>
            <w:hideMark/>
          </w:tcPr>
          <w:p w14:paraId="7FAC54F9" w14:textId="77777777" w:rsidR="00BD6320" w:rsidRPr="00B92499" w:rsidRDefault="00BD6320" w:rsidP="00BD6320">
            <w:pPr>
              <w:jc w:val="center"/>
              <w:rPr>
                <w:rFonts w:ascii="Arial" w:hAnsi="Arial" w:cs="Arial"/>
                <w:color w:val="000000"/>
                <w:sz w:val="16"/>
                <w:szCs w:val="16"/>
              </w:rPr>
            </w:pPr>
            <w:r w:rsidRPr="00B92499">
              <w:rPr>
                <w:rFonts w:ascii="Arial" w:hAnsi="Arial" w:cs="Arial"/>
                <w:color w:val="000000"/>
                <w:sz w:val="16"/>
                <w:szCs w:val="16"/>
              </w:rPr>
              <w:t>83.22</w:t>
            </w:r>
          </w:p>
        </w:tc>
        <w:tc>
          <w:tcPr>
            <w:tcW w:w="850" w:type="dxa"/>
            <w:tcBorders>
              <w:top w:val="nil"/>
              <w:left w:val="nil"/>
              <w:bottom w:val="single" w:sz="4" w:space="0" w:color="auto"/>
              <w:right w:val="single" w:sz="4" w:space="0" w:color="auto"/>
            </w:tcBorders>
            <w:shd w:val="clear" w:color="000000" w:fill="D9D9D9"/>
            <w:noWrap/>
            <w:vAlign w:val="center"/>
            <w:hideMark/>
          </w:tcPr>
          <w:p w14:paraId="1144DF61" w14:textId="77777777" w:rsidR="00BD6320" w:rsidRPr="00B92499" w:rsidRDefault="00BD6320" w:rsidP="00BD6320">
            <w:pPr>
              <w:jc w:val="center"/>
              <w:rPr>
                <w:rFonts w:ascii="Arial" w:hAnsi="Arial" w:cs="Arial"/>
                <w:color w:val="000000"/>
                <w:sz w:val="16"/>
                <w:szCs w:val="16"/>
              </w:rPr>
            </w:pPr>
            <w:r w:rsidRPr="00B92499">
              <w:rPr>
                <w:rFonts w:ascii="Arial" w:hAnsi="Arial" w:cs="Arial"/>
                <w:color w:val="000000"/>
                <w:sz w:val="16"/>
                <w:szCs w:val="16"/>
              </w:rPr>
              <w:t>3.98</w:t>
            </w:r>
          </w:p>
        </w:tc>
        <w:tc>
          <w:tcPr>
            <w:tcW w:w="850" w:type="dxa"/>
            <w:tcBorders>
              <w:top w:val="nil"/>
              <w:left w:val="nil"/>
              <w:bottom w:val="single" w:sz="4" w:space="0" w:color="auto"/>
              <w:right w:val="single" w:sz="4" w:space="0" w:color="auto"/>
            </w:tcBorders>
            <w:shd w:val="clear" w:color="auto" w:fill="auto"/>
            <w:noWrap/>
            <w:vAlign w:val="center"/>
            <w:hideMark/>
          </w:tcPr>
          <w:p w14:paraId="1A3A36BA" w14:textId="77777777" w:rsidR="00BD6320" w:rsidRPr="00B92499" w:rsidRDefault="00BD6320" w:rsidP="00BD6320">
            <w:pPr>
              <w:jc w:val="center"/>
              <w:rPr>
                <w:rFonts w:ascii="Arial" w:hAnsi="Arial" w:cs="Arial"/>
                <w:color w:val="000000"/>
                <w:sz w:val="16"/>
                <w:szCs w:val="16"/>
              </w:rPr>
            </w:pPr>
            <w:r w:rsidRPr="00B92499">
              <w:rPr>
                <w:rFonts w:ascii="Arial" w:hAnsi="Arial" w:cs="Arial"/>
                <w:color w:val="000000"/>
                <w:sz w:val="16"/>
                <w:szCs w:val="16"/>
              </w:rPr>
              <w:t>87.20</w:t>
            </w:r>
          </w:p>
        </w:tc>
      </w:tr>
    </w:tbl>
    <w:p w14:paraId="5A220BAD" w14:textId="77777777" w:rsidR="00BD6320" w:rsidRPr="00B92499" w:rsidRDefault="00BD6320" w:rsidP="00BD6320">
      <w:pPr>
        <w:spacing w:before="100" w:beforeAutospacing="1" w:after="100" w:afterAutospacing="1" w:line="360" w:lineRule="auto"/>
        <w:contextualSpacing/>
        <w:jc w:val="both"/>
        <w:rPr>
          <w:rFonts w:ascii="Arial" w:hAnsi="Arial" w:cs="Arial"/>
          <w:sz w:val="16"/>
          <w:szCs w:val="16"/>
        </w:rPr>
      </w:pPr>
      <w:r w:rsidRPr="00B92499">
        <w:rPr>
          <w:rFonts w:ascii="Arial" w:hAnsi="Arial" w:cs="Arial"/>
          <w:b/>
          <w:sz w:val="16"/>
          <w:szCs w:val="16"/>
        </w:rPr>
        <w:t>Nota metodológica</w:t>
      </w:r>
      <w:r w:rsidRPr="00B92499">
        <w:rPr>
          <w:rFonts w:ascii="Arial" w:hAnsi="Arial" w:cs="Arial"/>
          <w:sz w:val="16"/>
          <w:szCs w:val="16"/>
        </w:rPr>
        <w:t xml:space="preserve">: </w:t>
      </w:r>
    </w:p>
    <w:p w14:paraId="6726D9D7" w14:textId="77777777" w:rsidR="00BD6320" w:rsidRPr="00B92499" w:rsidRDefault="00BD6320" w:rsidP="00BD6320">
      <w:pPr>
        <w:spacing w:before="100" w:beforeAutospacing="1" w:after="100" w:afterAutospacing="1" w:line="360" w:lineRule="auto"/>
        <w:contextualSpacing/>
        <w:jc w:val="both"/>
        <w:rPr>
          <w:rFonts w:ascii="Arial" w:hAnsi="Arial" w:cs="Arial"/>
          <w:sz w:val="16"/>
          <w:szCs w:val="16"/>
        </w:rPr>
      </w:pPr>
      <w:r w:rsidRPr="00B92499">
        <w:rPr>
          <w:rFonts w:ascii="Arial" w:hAnsi="Arial" w:cs="Arial"/>
          <w:sz w:val="16"/>
          <w:szCs w:val="16"/>
        </w:rPr>
        <w:t>El IGOT se compone del promedio de ICOT-PT e ICOT-PNT.</w:t>
      </w:r>
    </w:p>
    <w:p w14:paraId="587FFFD2" w14:textId="68BA94EB" w:rsidR="00BD6320" w:rsidRPr="00B92499" w:rsidRDefault="00BD6320" w:rsidP="00BD6320">
      <w:pPr>
        <w:spacing w:before="100" w:beforeAutospacing="1" w:after="100" w:afterAutospacing="1" w:line="360" w:lineRule="auto"/>
        <w:contextualSpacing/>
        <w:jc w:val="both"/>
        <w:rPr>
          <w:rFonts w:ascii="Arial" w:hAnsi="Arial" w:cs="Arial"/>
          <w:color w:val="000000"/>
          <w:sz w:val="16"/>
          <w:szCs w:val="16"/>
        </w:rPr>
      </w:pPr>
      <w:r w:rsidRPr="00B92499">
        <w:rPr>
          <w:rFonts w:ascii="Arial" w:hAnsi="Arial" w:cs="Arial"/>
          <w:b/>
          <w:bCs/>
          <w:color w:val="000000"/>
          <w:sz w:val="16"/>
          <w:szCs w:val="16"/>
        </w:rPr>
        <w:t>%Inf PT:</w:t>
      </w:r>
      <w:r w:rsidRPr="00B92499">
        <w:rPr>
          <w:rFonts w:ascii="Arial" w:hAnsi="Arial" w:cs="Arial"/>
          <w:color w:val="000000"/>
          <w:sz w:val="16"/>
          <w:szCs w:val="16"/>
        </w:rPr>
        <w:t xml:space="preserve"> corresponde </w:t>
      </w:r>
      <w:r w:rsidR="00631D4C" w:rsidRPr="00B92499">
        <w:rPr>
          <w:rFonts w:ascii="Arial" w:hAnsi="Arial" w:cs="Arial"/>
          <w:color w:val="000000"/>
          <w:sz w:val="16"/>
          <w:szCs w:val="16"/>
        </w:rPr>
        <w:t xml:space="preserve">al </w:t>
      </w:r>
      <w:r w:rsidRPr="00B92499">
        <w:rPr>
          <w:rFonts w:ascii="Arial" w:hAnsi="Arial" w:cs="Arial"/>
          <w:color w:val="000000"/>
          <w:sz w:val="16"/>
          <w:szCs w:val="16"/>
        </w:rPr>
        <w:t>p</w:t>
      </w:r>
      <w:r w:rsidR="00735992" w:rsidRPr="00B92499">
        <w:rPr>
          <w:rFonts w:ascii="Arial" w:hAnsi="Arial" w:cs="Arial"/>
          <w:color w:val="000000"/>
          <w:sz w:val="16"/>
          <w:szCs w:val="16"/>
        </w:rPr>
        <w:t>or</w:t>
      </w:r>
      <w:r w:rsidRPr="00B92499">
        <w:rPr>
          <w:rFonts w:ascii="Arial" w:hAnsi="Arial" w:cs="Arial"/>
          <w:color w:val="000000"/>
          <w:sz w:val="16"/>
          <w:szCs w:val="16"/>
        </w:rPr>
        <w:t xml:space="preserve">centaje del índice que hace referencia a la información que se encuentra publicada y actualizada en el Portal de Internet (PI) del </w:t>
      </w:r>
      <w:r w:rsidR="008710F6" w:rsidRPr="00B92499">
        <w:rPr>
          <w:rFonts w:ascii="Arial" w:hAnsi="Arial" w:cs="Arial"/>
          <w:color w:val="000000"/>
          <w:sz w:val="16"/>
          <w:szCs w:val="16"/>
        </w:rPr>
        <w:t>sujeto obligado</w:t>
      </w:r>
      <w:r w:rsidRPr="00B92499">
        <w:rPr>
          <w:rFonts w:ascii="Arial" w:hAnsi="Arial" w:cs="Arial"/>
          <w:color w:val="000000"/>
          <w:sz w:val="16"/>
          <w:szCs w:val="16"/>
        </w:rPr>
        <w:t xml:space="preserve">. </w:t>
      </w:r>
    </w:p>
    <w:p w14:paraId="4185F8A6" w14:textId="04A520DA" w:rsidR="00BD6320" w:rsidRPr="00B92499" w:rsidRDefault="00BD6320" w:rsidP="00BD6320">
      <w:pPr>
        <w:spacing w:before="100" w:beforeAutospacing="1" w:after="100" w:afterAutospacing="1" w:line="360" w:lineRule="auto"/>
        <w:contextualSpacing/>
        <w:jc w:val="both"/>
        <w:rPr>
          <w:rFonts w:ascii="Arial" w:hAnsi="Arial" w:cs="Arial"/>
          <w:color w:val="000000"/>
          <w:sz w:val="16"/>
          <w:szCs w:val="16"/>
        </w:rPr>
      </w:pPr>
      <w:r w:rsidRPr="00B92499">
        <w:rPr>
          <w:rFonts w:ascii="Arial" w:hAnsi="Arial" w:cs="Arial"/>
          <w:b/>
          <w:bCs/>
          <w:color w:val="000000"/>
          <w:sz w:val="16"/>
          <w:szCs w:val="16"/>
        </w:rPr>
        <w:t>%Inf PNT:</w:t>
      </w:r>
      <w:r w:rsidRPr="00B92499">
        <w:rPr>
          <w:rFonts w:ascii="Arial" w:hAnsi="Arial" w:cs="Arial"/>
          <w:color w:val="000000"/>
          <w:sz w:val="16"/>
          <w:szCs w:val="16"/>
        </w:rPr>
        <w:t xml:space="preserve"> corresponde </w:t>
      </w:r>
      <w:r w:rsidR="00735992" w:rsidRPr="00B92499">
        <w:rPr>
          <w:rFonts w:ascii="Arial" w:hAnsi="Arial" w:cs="Arial"/>
          <w:color w:val="000000"/>
          <w:sz w:val="16"/>
          <w:szCs w:val="16"/>
        </w:rPr>
        <w:t xml:space="preserve">al porcentaje </w:t>
      </w:r>
      <w:r w:rsidRPr="00B92499">
        <w:rPr>
          <w:rFonts w:ascii="Arial" w:hAnsi="Arial" w:cs="Arial"/>
          <w:color w:val="000000"/>
          <w:sz w:val="16"/>
          <w:szCs w:val="16"/>
        </w:rPr>
        <w:t xml:space="preserve">del índice que hace referencia a la información que se encuentra publicada y actualizada en la Plataforma Nacional de Transparencia (PNT) del </w:t>
      </w:r>
      <w:r w:rsidR="008710F6" w:rsidRPr="00B92499">
        <w:rPr>
          <w:rFonts w:ascii="Arial" w:hAnsi="Arial" w:cs="Arial"/>
          <w:color w:val="000000"/>
          <w:sz w:val="16"/>
          <w:szCs w:val="16"/>
        </w:rPr>
        <w:t>sujeto obligado</w:t>
      </w:r>
      <w:r w:rsidRPr="00B92499">
        <w:rPr>
          <w:rFonts w:ascii="Arial" w:hAnsi="Arial" w:cs="Arial"/>
          <w:color w:val="000000"/>
          <w:sz w:val="16"/>
          <w:szCs w:val="16"/>
        </w:rPr>
        <w:t>.</w:t>
      </w:r>
    </w:p>
    <w:p w14:paraId="4BA0DE95" w14:textId="25B37475" w:rsidR="00BD6320" w:rsidRPr="00B92499" w:rsidRDefault="00BD6320" w:rsidP="00BD6320">
      <w:pPr>
        <w:spacing w:before="100" w:beforeAutospacing="1" w:after="100" w:afterAutospacing="1" w:line="360" w:lineRule="auto"/>
        <w:contextualSpacing/>
        <w:jc w:val="both"/>
        <w:rPr>
          <w:rFonts w:ascii="Arial" w:hAnsi="Arial" w:cs="Arial"/>
          <w:color w:val="000000"/>
          <w:sz w:val="16"/>
          <w:szCs w:val="16"/>
        </w:rPr>
      </w:pPr>
      <w:r w:rsidRPr="00B92499">
        <w:rPr>
          <w:rFonts w:ascii="Arial" w:hAnsi="Arial" w:cs="Arial"/>
          <w:b/>
          <w:bCs/>
          <w:color w:val="000000"/>
          <w:sz w:val="16"/>
          <w:szCs w:val="16"/>
        </w:rPr>
        <w:t xml:space="preserve">%Inf IGOT: </w:t>
      </w:r>
      <w:r w:rsidRPr="00B92499">
        <w:rPr>
          <w:rFonts w:ascii="Arial" w:hAnsi="Arial" w:cs="Arial"/>
          <w:color w:val="000000"/>
          <w:sz w:val="16"/>
          <w:szCs w:val="16"/>
        </w:rPr>
        <w:t xml:space="preserve">corresponde </w:t>
      </w:r>
      <w:r w:rsidR="00735992" w:rsidRPr="00B92499">
        <w:rPr>
          <w:rFonts w:ascii="Arial" w:hAnsi="Arial" w:cs="Arial"/>
          <w:color w:val="000000"/>
          <w:sz w:val="16"/>
          <w:szCs w:val="16"/>
        </w:rPr>
        <w:t xml:space="preserve">al porcentaje </w:t>
      </w:r>
      <w:r w:rsidRPr="00B92499">
        <w:rPr>
          <w:rFonts w:ascii="Arial" w:hAnsi="Arial" w:cs="Arial"/>
          <w:color w:val="000000"/>
          <w:sz w:val="16"/>
          <w:szCs w:val="16"/>
        </w:rPr>
        <w:t xml:space="preserve">del índice que hace referencia a la información que se encuentra publicada y actualizada tanto en la PNT y el PI del </w:t>
      </w:r>
      <w:r w:rsidR="008710F6" w:rsidRPr="00B92499">
        <w:rPr>
          <w:rFonts w:ascii="Arial" w:hAnsi="Arial" w:cs="Arial"/>
          <w:color w:val="000000"/>
          <w:sz w:val="16"/>
          <w:szCs w:val="16"/>
        </w:rPr>
        <w:t>sujeto obligado</w:t>
      </w:r>
      <w:r w:rsidRPr="00B92499">
        <w:rPr>
          <w:rFonts w:ascii="Arial" w:hAnsi="Arial" w:cs="Arial"/>
          <w:color w:val="000000"/>
          <w:sz w:val="16"/>
          <w:szCs w:val="16"/>
        </w:rPr>
        <w:t>.</w:t>
      </w:r>
    </w:p>
    <w:p w14:paraId="7587D1A4" w14:textId="19D5142B" w:rsidR="00BD6320" w:rsidRPr="00B92499" w:rsidRDefault="00BD6320" w:rsidP="00BD6320">
      <w:pPr>
        <w:spacing w:before="100" w:beforeAutospacing="1" w:after="100" w:afterAutospacing="1" w:line="360" w:lineRule="auto"/>
        <w:contextualSpacing/>
        <w:jc w:val="both"/>
        <w:rPr>
          <w:rFonts w:ascii="Arial" w:hAnsi="Arial" w:cs="Arial"/>
          <w:color w:val="000000"/>
          <w:sz w:val="16"/>
          <w:szCs w:val="16"/>
        </w:rPr>
      </w:pPr>
      <w:r w:rsidRPr="00B92499">
        <w:rPr>
          <w:rFonts w:ascii="Arial" w:hAnsi="Arial" w:cs="Arial"/>
          <w:b/>
          <w:bCs/>
          <w:color w:val="000000"/>
          <w:sz w:val="16"/>
          <w:szCs w:val="16"/>
        </w:rPr>
        <w:t>%Nota PT:</w:t>
      </w:r>
      <w:r w:rsidRPr="00B92499">
        <w:rPr>
          <w:rFonts w:ascii="Arial" w:hAnsi="Arial" w:cs="Arial"/>
          <w:color w:val="000000"/>
          <w:sz w:val="16"/>
          <w:szCs w:val="16"/>
        </w:rPr>
        <w:t xml:space="preserve"> corresponde </w:t>
      </w:r>
      <w:r w:rsidR="00735992" w:rsidRPr="00B92499">
        <w:rPr>
          <w:rFonts w:ascii="Arial" w:hAnsi="Arial" w:cs="Arial"/>
          <w:color w:val="000000"/>
          <w:sz w:val="16"/>
          <w:szCs w:val="16"/>
        </w:rPr>
        <w:t xml:space="preserve">al porcentaje </w:t>
      </w:r>
      <w:r w:rsidRPr="00B92499">
        <w:rPr>
          <w:rFonts w:ascii="Arial" w:hAnsi="Arial" w:cs="Arial"/>
          <w:color w:val="000000"/>
          <w:sz w:val="16"/>
          <w:szCs w:val="16"/>
        </w:rPr>
        <w:t xml:space="preserve">del índice que hace referencia a las notas aclaratorias por no generación, competencia, publicación o actualización de la información que se encuentra publicada y actualizada en el Portal de Internet (PI) del </w:t>
      </w:r>
      <w:r w:rsidR="008710F6" w:rsidRPr="00B92499">
        <w:rPr>
          <w:rFonts w:ascii="Arial" w:hAnsi="Arial" w:cs="Arial"/>
          <w:color w:val="000000"/>
          <w:sz w:val="16"/>
          <w:szCs w:val="16"/>
        </w:rPr>
        <w:t>sujeto obligado</w:t>
      </w:r>
      <w:r w:rsidRPr="00B92499">
        <w:rPr>
          <w:rFonts w:ascii="Arial" w:hAnsi="Arial" w:cs="Arial"/>
          <w:color w:val="000000"/>
          <w:sz w:val="16"/>
          <w:szCs w:val="16"/>
        </w:rPr>
        <w:t>.</w:t>
      </w:r>
    </w:p>
    <w:p w14:paraId="768286C6" w14:textId="50E38418" w:rsidR="00BD6320" w:rsidRPr="00B92499" w:rsidRDefault="00BD6320" w:rsidP="00BD6320">
      <w:pPr>
        <w:spacing w:before="100" w:beforeAutospacing="1" w:after="100" w:afterAutospacing="1" w:line="360" w:lineRule="auto"/>
        <w:contextualSpacing/>
        <w:jc w:val="both"/>
        <w:rPr>
          <w:rFonts w:ascii="Arial" w:hAnsi="Arial" w:cs="Arial"/>
          <w:color w:val="000000"/>
          <w:sz w:val="16"/>
          <w:szCs w:val="16"/>
        </w:rPr>
      </w:pPr>
      <w:r w:rsidRPr="00B92499">
        <w:rPr>
          <w:rFonts w:ascii="Arial" w:hAnsi="Arial" w:cs="Arial"/>
          <w:b/>
          <w:bCs/>
          <w:color w:val="000000"/>
          <w:sz w:val="16"/>
          <w:szCs w:val="16"/>
        </w:rPr>
        <w:lastRenderedPageBreak/>
        <w:t>%Nota PNT:</w:t>
      </w:r>
      <w:r w:rsidRPr="00B92499">
        <w:rPr>
          <w:rFonts w:ascii="Arial" w:hAnsi="Arial" w:cs="Arial"/>
          <w:color w:val="000000"/>
          <w:sz w:val="16"/>
          <w:szCs w:val="16"/>
        </w:rPr>
        <w:t xml:space="preserve"> corresponde </w:t>
      </w:r>
      <w:r w:rsidR="00735992" w:rsidRPr="00B92499">
        <w:rPr>
          <w:rFonts w:ascii="Arial" w:hAnsi="Arial" w:cs="Arial"/>
          <w:color w:val="000000"/>
          <w:sz w:val="16"/>
          <w:szCs w:val="16"/>
        </w:rPr>
        <w:t xml:space="preserve">al porcentaje </w:t>
      </w:r>
      <w:r w:rsidRPr="00B92499">
        <w:rPr>
          <w:rFonts w:ascii="Arial" w:hAnsi="Arial" w:cs="Arial"/>
          <w:color w:val="000000"/>
          <w:sz w:val="16"/>
          <w:szCs w:val="16"/>
        </w:rPr>
        <w:t xml:space="preserve">del índice que hace referencia a las notas aclaratorias por no generación, competencia, publicación o actualización de la información que se encuentra publicada y actualizada en la Plataforma Nacional de Transparencia (PNT) del </w:t>
      </w:r>
      <w:r w:rsidR="008710F6" w:rsidRPr="00B92499">
        <w:rPr>
          <w:rFonts w:ascii="Arial" w:hAnsi="Arial" w:cs="Arial"/>
          <w:color w:val="000000"/>
          <w:sz w:val="16"/>
          <w:szCs w:val="16"/>
        </w:rPr>
        <w:t>sujeto obligado</w:t>
      </w:r>
      <w:r w:rsidRPr="00B92499">
        <w:rPr>
          <w:rFonts w:ascii="Arial" w:hAnsi="Arial" w:cs="Arial"/>
          <w:color w:val="000000"/>
          <w:sz w:val="16"/>
          <w:szCs w:val="16"/>
        </w:rPr>
        <w:t>.</w:t>
      </w:r>
    </w:p>
    <w:p w14:paraId="08794010" w14:textId="569D1EF3" w:rsidR="00BD6320" w:rsidRPr="00B92499" w:rsidRDefault="00BD6320" w:rsidP="00BD6320">
      <w:pPr>
        <w:spacing w:before="100" w:beforeAutospacing="1" w:after="100" w:afterAutospacing="1" w:line="360" w:lineRule="auto"/>
        <w:contextualSpacing/>
        <w:jc w:val="both"/>
        <w:rPr>
          <w:rFonts w:ascii="Arial" w:hAnsi="Arial" w:cs="Arial"/>
          <w:color w:val="000000"/>
          <w:sz w:val="16"/>
          <w:szCs w:val="16"/>
        </w:rPr>
      </w:pPr>
      <w:r w:rsidRPr="00B92499">
        <w:rPr>
          <w:rFonts w:ascii="Arial" w:hAnsi="Arial" w:cs="Arial"/>
          <w:b/>
          <w:bCs/>
          <w:color w:val="000000"/>
          <w:sz w:val="16"/>
          <w:szCs w:val="16"/>
        </w:rPr>
        <w:t>%Nota IGOT:</w:t>
      </w:r>
      <w:r w:rsidRPr="00B92499">
        <w:rPr>
          <w:rFonts w:ascii="Arial" w:hAnsi="Arial" w:cs="Arial"/>
          <w:color w:val="000000"/>
          <w:sz w:val="16"/>
          <w:szCs w:val="16"/>
        </w:rPr>
        <w:t xml:space="preserve"> corresponde </w:t>
      </w:r>
      <w:r w:rsidR="00735992" w:rsidRPr="00B92499">
        <w:rPr>
          <w:rFonts w:ascii="Arial" w:hAnsi="Arial" w:cs="Arial"/>
          <w:color w:val="000000"/>
          <w:sz w:val="16"/>
          <w:szCs w:val="16"/>
        </w:rPr>
        <w:t xml:space="preserve">al porcentaje </w:t>
      </w:r>
      <w:r w:rsidRPr="00B92499">
        <w:rPr>
          <w:rFonts w:ascii="Arial" w:hAnsi="Arial" w:cs="Arial"/>
          <w:color w:val="000000"/>
          <w:sz w:val="16"/>
          <w:szCs w:val="16"/>
        </w:rPr>
        <w:t xml:space="preserve">del índice que hace referencia a las notas aclaratorias por no generación, competencia, publicación o actualización de la información que se encuentra publicada y actualizada en la PNT y el PI del </w:t>
      </w:r>
      <w:r w:rsidR="008710F6" w:rsidRPr="00B92499">
        <w:rPr>
          <w:rFonts w:ascii="Arial" w:hAnsi="Arial" w:cs="Arial"/>
          <w:color w:val="000000"/>
          <w:sz w:val="16"/>
          <w:szCs w:val="16"/>
        </w:rPr>
        <w:t>sujeto obligado</w:t>
      </w:r>
      <w:r w:rsidRPr="00B92499">
        <w:rPr>
          <w:rFonts w:ascii="Arial" w:hAnsi="Arial" w:cs="Arial"/>
          <w:color w:val="000000"/>
          <w:sz w:val="16"/>
          <w:szCs w:val="16"/>
        </w:rPr>
        <w:t>.</w:t>
      </w:r>
    </w:p>
    <w:p w14:paraId="2E9B491B" w14:textId="77777777" w:rsidR="00BD6320" w:rsidRPr="00B92499" w:rsidRDefault="00BD6320" w:rsidP="002E7D47">
      <w:pPr>
        <w:spacing w:before="100" w:beforeAutospacing="1" w:after="100" w:afterAutospacing="1" w:line="360" w:lineRule="auto"/>
        <w:contextualSpacing/>
        <w:jc w:val="both"/>
        <w:rPr>
          <w:rFonts w:ascii="Arial" w:hAnsi="Arial" w:cs="Arial"/>
        </w:rPr>
      </w:pPr>
    </w:p>
    <w:p w14:paraId="1650597E" w14:textId="37D8C165" w:rsidR="000D3657" w:rsidRPr="00B92499" w:rsidRDefault="000D3657" w:rsidP="002E7D47">
      <w:pPr>
        <w:spacing w:before="100" w:beforeAutospacing="1" w:after="100" w:afterAutospacing="1" w:line="360" w:lineRule="auto"/>
        <w:contextualSpacing/>
        <w:jc w:val="both"/>
        <w:rPr>
          <w:rFonts w:ascii="Arial" w:hAnsi="Arial" w:cs="Arial"/>
        </w:rPr>
      </w:pPr>
      <w:r w:rsidRPr="00B92499">
        <w:rPr>
          <w:rFonts w:ascii="Arial" w:hAnsi="Arial" w:cs="Arial"/>
        </w:rPr>
        <w:t xml:space="preserve">En atención a la Tabla de Aplicabilidad realizada por la DEAEE del Instituto, las obligaciones que los sindicatos deben actualizar y publicar en el SIPOT de la PNT, así como en sus respectivos portales de internet son las contempladas en los siguientes </w:t>
      </w:r>
      <w:r w:rsidR="008F67E4" w:rsidRPr="00B92499">
        <w:rPr>
          <w:rFonts w:ascii="Arial" w:hAnsi="Arial" w:cs="Arial"/>
        </w:rPr>
        <w:t>artículo</w:t>
      </w:r>
      <w:r w:rsidRPr="00B92499">
        <w:rPr>
          <w:rFonts w:ascii="Arial" w:hAnsi="Arial" w:cs="Arial"/>
        </w:rPr>
        <w:t xml:space="preserve">s: </w:t>
      </w:r>
    </w:p>
    <w:p w14:paraId="2385F198" w14:textId="7D57D5CC" w:rsidR="000D3657" w:rsidRPr="00B92499" w:rsidRDefault="009D7771" w:rsidP="009F64B5">
      <w:pPr>
        <w:pStyle w:val="Prrafodelista"/>
        <w:numPr>
          <w:ilvl w:val="0"/>
          <w:numId w:val="26"/>
        </w:numPr>
        <w:spacing w:before="100" w:beforeAutospacing="1" w:after="100" w:afterAutospacing="1" w:line="360" w:lineRule="auto"/>
        <w:jc w:val="both"/>
        <w:rPr>
          <w:rFonts w:ascii="Arial" w:hAnsi="Arial" w:cs="Arial"/>
          <w:sz w:val="24"/>
          <w:szCs w:val="24"/>
          <w:lang w:val="es-ES_tradnl"/>
        </w:rPr>
      </w:pPr>
      <w:r w:rsidRPr="00B92499">
        <w:rPr>
          <w:rFonts w:ascii="Arial" w:hAnsi="Arial" w:cs="Arial"/>
          <w:sz w:val="24"/>
          <w:szCs w:val="24"/>
          <w:lang w:val="es-ES_tradnl"/>
        </w:rPr>
        <w:t>Artículo</w:t>
      </w:r>
      <w:r w:rsidR="000D3657" w:rsidRPr="00B92499">
        <w:rPr>
          <w:rFonts w:ascii="Arial" w:hAnsi="Arial" w:cs="Arial"/>
          <w:sz w:val="24"/>
          <w:szCs w:val="24"/>
          <w:lang w:val="es-ES_tradnl"/>
        </w:rPr>
        <w:t xml:space="preserve"> 121. Obligaciones comunes, en los que respecta a las fracciones I-III, XIV, </w:t>
      </w:r>
      <w:r w:rsidR="000B2F47" w:rsidRPr="00B92499">
        <w:rPr>
          <w:rFonts w:ascii="Arial" w:hAnsi="Arial" w:cs="Arial"/>
          <w:sz w:val="24"/>
          <w:szCs w:val="24"/>
          <w:lang w:val="es-ES_tradnl"/>
        </w:rPr>
        <w:t>XI</w:t>
      </w:r>
      <w:r w:rsidR="000D3657" w:rsidRPr="00B92499">
        <w:rPr>
          <w:rFonts w:ascii="Arial" w:hAnsi="Arial" w:cs="Arial"/>
          <w:sz w:val="24"/>
          <w:szCs w:val="24"/>
          <w:lang w:val="es-ES_tradnl"/>
        </w:rPr>
        <w:t xml:space="preserve">X-XX, XXV-XXVI, </w:t>
      </w:r>
      <w:r w:rsidR="000B2F47" w:rsidRPr="00B92499">
        <w:rPr>
          <w:rFonts w:ascii="Arial" w:hAnsi="Arial" w:cs="Arial"/>
          <w:sz w:val="24"/>
          <w:szCs w:val="24"/>
          <w:lang w:val="es-ES_tradnl"/>
        </w:rPr>
        <w:t>XX</w:t>
      </w:r>
      <w:r w:rsidR="000D3657" w:rsidRPr="00B92499">
        <w:rPr>
          <w:rFonts w:ascii="Arial" w:hAnsi="Arial" w:cs="Arial"/>
          <w:sz w:val="24"/>
          <w:szCs w:val="24"/>
          <w:lang w:val="es-ES_tradnl"/>
        </w:rPr>
        <w:t>IX, XXXI-XXXII, XXXVI, XXXVIII, XLIII, XLV, XLIX y LII,</w:t>
      </w:r>
    </w:p>
    <w:p w14:paraId="64921E3F" w14:textId="2DB1ED05" w:rsidR="000D3657" w:rsidRPr="00B92499" w:rsidRDefault="009D7771" w:rsidP="009F64B5">
      <w:pPr>
        <w:pStyle w:val="Prrafodelista"/>
        <w:numPr>
          <w:ilvl w:val="0"/>
          <w:numId w:val="26"/>
        </w:numPr>
        <w:spacing w:before="100" w:beforeAutospacing="1" w:after="100" w:afterAutospacing="1" w:line="360" w:lineRule="auto"/>
        <w:jc w:val="both"/>
        <w:rPr>
          <w:rFonts w:ascii="Arial" w:hAnsi="Arial" w:cs="Arial"/>
          <w:sz w:val="24"/>
          <w:szCs w:val="24"/>
          <w:lang w:val="es-ES_tradnl"/>
        </w:rPr>
      </w:pPr>
      <w:r w:rsidRPr="00B92499">
        <w:rPr>
          <w:rFonts w:ascii="Arial" w:hAnsi="Arial" w:cs="Arial"/>
          <w:sz w:val="24"/>
          <w:szCs w:val="24"/>
          <w:lang w:val="es-ES_tradnl"/>
        </w:rPr>
        <w:t>Artículo</w:t>
      </w:r>
      <w:r w:rsidR="000D3657" w:rsidRPr="00B92499">
        <w:rPr>
          <w:rFonts w:ascii="Arial" w:hAnsi="Arial" w:cs="Arial"/>
          <w:sz w:val="24"/>
          <w:szCs w:val="24"/>
          <w:lang w:val="es-ES_tradnl"/>
        </w:rPr>
        <w:t xml:space="preserve"> 137. Obligaciones específicas de la Junta de Conciliación y Arbitraje, en lo que respecta a las fracciones I-X,</w:t>
      </w:r>
    </w:p>
    <w:p w14:paraId="549F4268" w14:textId="1DDEA0AD" w:rsidR="000D3657" w:rsidRPr="00B92499" w:rsidRDefault="009D7771" w:rsidP="009F64B5">
      <w:pPr>
        <w:pStyle w:val="Prrafodelista"/>
        <w:numPr>
          <w:ilvl w:val="0"/>
          <w:numId w:val="26"/>
        </w:numPr>
        <w:spacing w:before="100" w:beforeAutospacing="1" w:after="100" w:afterAutospacing="1" w:line="360" w:lineRule="auto"/>
        <w:jc w:val="both"/>
        <w:rPr>
          <w:rFonts w:ascii="Arial" w:hAnsi="Arial" w:cs="Arial"/>
          <w:sz w:val="24"/>
          <w:szCs w:val="24"/>
          <w:lang w:val="es-ES_tradnl"/>
        </w:rPr>
      </w:pPr>
      <w:r w:rsidRPr="00B92499">
        <w:rPr>
          <w:rFonts w:ascii="Arial" w:hAnsi="Arial" w:cs="Arial"/>
          <w:sz w:val="24"/>
          <w:szCs w:val="24"/>
          <w:lang w:val="es-ES_tradnl"/>
        </w:rPr>
        <w:t>Artículo</w:t>
      </w:r>
      <w:r w:rsidR="000D3657" w:rsidRPr="00B92499">
        <w:rPr>
          <w:rFonts w:ascii="Arial" w:hAnsi="Arial" w:cs="Arial"/>
          <w:sz w:val="24"/>
          <w:szCs w:val="24"/>
          <w:lang w:val="es-ES_tradnl"/>
        </w:rPr>
        <w:t xml:space="preserve"> 138. Obligaciones específicas de los Sindicatos,</w:t>
      </w:r>
    </w:p>
    <w:p w14:paraId="7CC382B8" w14:textId="00C6C7BF" w:rsidR="000D3657" w:rsidRPr="00B92499" w:rsidRDefault="009D7771" w:rsidP="009F64B5">
      <w:pPr>
        <w:pStyle w:val="Prrafodelista"/>
        <w:numPr>
          <w:ilvl w:val="0"/>
          <w:numId w:val="26"/>
        </w:numPr>
        <w:spacing w:before="100" w:beforeAutospacing="1" w:after="100" w:afterAutospacing="1" w:line="360" w:lineRule="auto"/>
        <w:jc w:val="both"/>
        <w:rPr>
          <w:rFonts w:ascii="Arial" w:hAnsi="Arial" w:cs="Arial"/>
          <w:sz w:val="24"/>
          <w:szCs w:val="24"/>
          <w:lang w:val="es-ES_tradnl"/>
        </w:rPr>
      </w:pPr>
      <w:r w:rsidRPr="00B92499">
        <w:rPr>
          <w:rFonts w:ascii="Arial" w:hAnsi="Arial" w:cs="Arial"/>
          <w:sz w:val="24"/>
          <w:szCs w:val="24"/>
          <w:lang w:val="es-ES_tradnl"/>
        </w:rPr>
        <w:t>Artículo</w:t>
      </w:r>
      <w:r w:rsidR="000D3657" w:rsidRPr="00B92499">
        <w:rPr>
          <w:rFonts w:ascii="Arial" w:hAnsi="Arial" w:cs="Arial"/>
          <w:sz w:val="24"/>
          <w:szCs w:val="24"/>
          <w:lang w:val="es-ES_tradnl"/>
        </w:rPr>
        <w:t xml:space="preserve"> 145. Disposiciones Particulares,</w:t>
      </w:r>
    </w:p>
    <w:p w14:paraId="737ABF1B" w14:textId="64E99505" w:rsidR="000D3657" w:rsidRPr="00B92499" w:rsidRDefault="009D7771" w:rsidP="009F64B5">
      <w:pPr>
        <w:pStyle w:val="Prrafodelista"/>
        <w:numPr>
          <w:ilvl w:val="0"/>
          <w:numId w:val="26"/>
        </w:numPr>
        <w:spacing w:before="100" w:beforeAutospacing="1" w:after="100" w:afterAutospacing="1" w:line="360" w:lineRule="auto"/>
        <w:jc w:val="both"/>
        <w:rPr>
          <w:rFonts w:ascii="Arial" w:hAnsi="Arial" w:cs="Arial"/>
          <w:sz w:val="24"/>
          <w:szCs w:val="24"/>
          <w:lang w:val="es-ES_tradnl"/>
        </w:rPr>
      </w:pPr>
      <w:r w:rsidRPr="00B92499">
        <w:rPr>
          <w:rFonts w:ascii="Arial" w:hAnsi="Arial" w:cs="Arial"/>
          <w:sz w:val="24"/>
          <w:szCs w:val="24"/>
          <w:lang w:val="es-ES_tradnl"/>
        </w:rPr>
        <w:t>Artículo</w:t>
      </w:r>
      <w:r w:rsidR="000D3657" w:rsidRPr="00B92499">
        <w:rPr>
          <w:rFonts w:ascii="Arial" w:hAnsi="Arial" w:cs="Arial"/>
          <w:sz w:val="24"/>
          <w:szCs w:val="24"/>
          <w:lang w:val="es-ES_tradnl"/>
        </w:rPr>
        <w:t xml:space="preserve"> 146. Disposiciones Particulares, y </w:t>
      </w:r>
    </w:p>
    <w:p w14:paraId="47026F29" w14:textId="7006C837" w:rsidR="000D3657" w:rsidRPr="00B92499" w:rsidRDefault="009D7771" w:rsidP="009F64B5">
      <w:pPr>
        <w:pStyle w:val="Prrafodelista"/>
        <w:numPr>
          <w:ilvl w:val="0"/>
          <w:numId w:val="26"/>
        </w:numPr>
        <w:spacing w:before="100" w:beforeAutospacing="1" w:after="100" w:afterAutospacing="1" w:line="360" w:lineRule="auto"/>
        <w:jc w:val="both"/>
        <w:rPr>
          <w:rFonts w:ascii="Arial" w:hAnsi="Arial" w:cs="Arial"/>
          <w:sz w:val="24"/>
          <w:szCs w:val="24"/>
          <w:lang w:val="es-ES_tradnl"/>
        </w:rPr>
      </w:pPr>
      <w:r w:rsidRPr="00B92499">
        <w:rPr>
          <w:rFonts w:ascii="Arial" w:hAnsi="Arial" w:cs="Arial"/>
          <w:sz w:val="24"/>
          <w:szCs w:val="24"/>
          <w:lang w:val="es-ES_tradnl"/>
        </w:rPr>
        <w:t>Artículo</w:t>
      </w:r>
      <w:r w:rsidR="000D3657" w:rsidRPr="00B92499">
        <w:rPr>
          <w:rFonts w:ascii="Arial" w:hAnsi="Arial" w:cs="Arial"/>
          <w:sz w:val="24"/>
          <w:szCs w:val="24"/>
          <w:lang w:val="es-ES_tradnl"/>
        </w:rPr>
        <w:t xml:space="preserve"> 147. Disposiciones Particulares.</w:t>
      </w:r>
    </w:p>
    <w:p w14:paraId="436F5794" w14:textId="2BD0E64D" w:rsidR="000D3657" w:rsidRPr="00B92499" w:rsidRDefault="000D3657" w:rsidP="009F64B5">
      <w:pPr>
        <w:pStyle w:val="Ttulo2"/>
        <w:numPr>
          <w:ilvl w:val="1"/>
          <w:numId w:val="19"/>
        </w:numPr>
        <w:contextualSpacing/>
        <w:jc w:val="both"/>
        <w:rPr>
          <w:rFonts w:ascii="Arial" w:hAnsi="Arial" w:cs="Arial"/>
          <w:b/>
          <w:color w:val="auto"/>
          <w:sz w:val="24"/>
          <w:szCs w:val="24"/>
        </w:rPr>
      </w:pPr>
      <w:bookmarkStart w:id="51" w:name="_Toc23253007"/>
      <w:r w:rsidRPr="00B92499">
        <w:rPr>
          <w:rFonts w:ascii="Arial" w:hAnsi="Arial" w:cs="Arial"/>
          <w:b/>
          <w:color w:val="auto"/>
          <w:sz w:val="24"/>
          <w:szCs w:val="24"/>
        </w:rPr>
        <w:t>Análisis global de cumplimiento de los Sindicatos</w:t>
      </w:r>
      <w:bookmarkEnd w:id="51"/>
    </w:p>
    <w:p w14:paraId="217FA0E2" w14:textId="77777777" w:rsidR="008D44C3" w:rsidRPr="00B92499" w:rsidRDefault="008D44C3" w:rsidP="008D44C3">
      <w:pPr>
        <w:rPr>
          <w:rFonts w:ascii="Arial" w:hAnsi="Arial" w:cs="Arial"/>
        </w:rPr>
      </w:pPr>
    </w:p>
    <w:p w14:paraId="384BC8F5" w14:textId="0844FABD" w:rsidR="00BD6320" w:rsidRPr="00B92499" w:rsidRDefault="00BD6320" w:rsidP="00BD6320">
      <w:pPr>
        <w:spacing w:before="100" w:beforeAutospacing="1" w:after="100" w:afterAutospacing="1" w:line="360" w:lineRule="auto"/>
        <w:contextualSpacing/>
        <w:jc w:val="both"/>
        <w:rPr>
          <w:rFonts w:ascii="Arial" w:hAnsi="Arial" w:cs="Arial"/>
          <w:u w:val="single"/>
        </w:rPr>
      </w:pPr>
      <w:r w:rsidRPr="00B92499">
        <w:rPr>
          <w:rFonts w:ascii="Arial" w:hAnsi="Arial" w:cs="Arial"/>
          <w:u w:val="single"/>
        </w:rPr>
        <w:t xml:space="preserve">Índices Globales de Cumplimiento de las </w:t>
      </w:r>
      <w:r w:rsidR="008710F6" w:rsidRPr="00B92499">
        <w:rPr>
          <w:rFonts w:ascii="Arial" w:hAnsi="Arial" w:cs="Arial"/>
          <w:u w:val="single"/>
        </w:rPr>
        <w:t>obligaciones de transparencia</w:t>
      </w:r>
    </w:p>
    <w:p w14:paraId="4E692416" w14:textId="77777777" w:rsidR="00BD6320" w:rsidRPr="00B92499" w:rsidRDefault="00BD6320" w:rsidP="00BD6320">
      <w:pPr>
        <w:spacing w:before="100" w:beforeAutospacing="1" w:after="100" w:afterAutospacing="1" w:line="360" w:lineRule="auto"/>
        <w:contextualSpacing/>
        <w:jc w:val="both"/>
        <w:rPr>
          <w:rFonts w:ascii="Arial" w:hAnsi="Arial" w:cs="Arial"/>
        </w:rPr>
      </w:pPr>
      <w:r w:rsidRPr="00B92499">
        <w:rPr>
          <w:rFonts w:ascii="Arial" w:hAnsi="Arial" w:cs="Arial"/>
        </w:rPr>
        <w:t>Con relación a IGOT, el Sindicato en comento obtuvo</w:t>
      </w:r>
      <w:r w:rsidR="004B6AFD" w:rsidRPr="00B92499">
        <w:rPr>
          <w:rFonts w:ascii="Arial" w:hAnsi="Arial" w:cs="Arial"/>
        </w:rPr>
        <w:t xml:space="preserve"> un promedio de 87.20%, el cual está compuesto por un índice de 86.50% en lo que corresponde a la Plataforma Nacional de Transparencia (PNT) y un índice de 87.90% en lo que se refiere al Portal Institucional (PI). </w:t>
      </w:r>
    </w:p>
    <w:p w14:paraId="329A4BF7" w14:textId="77777777" w:rsidR="00BD6320" w:rsidRPr="00B92499" w:rsidRDefault="00BD6320" w:rsidP="00BD6320">
      <w:pPr>
        <w:spacing w:before="100" w:beforeAutospacing="1" w:after="100" w:afterAutospacing="1" w:line="360" w:lineRule="auto"/>
        <w:contextualSpacing/>
        <w:jc w:val="both"/>
        <w:rPr>
          <w:rFonts w:ascii="Arial" w:hAnsi="Arial" w:cs="Arial"/>
        </w:rPr>
      </w:pPr>
    </w:p>
    <w:p w14:paraId="646112C1" w14:textId="77777777" w:rsidR="00BD6320" w:rsidRPr="00B92499" w:rsidRDefault="00BD6320" w:rsidP="00BD6320">
      <w:pPr>
        <w:spacing w:before="100" w:beforeAutospacing="1" w:after="100" w:afterAutospacing="1" w:line="360" w:lineRule="auto"/>
        <w:contextualSpacing/>
        <w:jc w:val="both"/>
        <w:rPr>
          <w:rFonts w:ascii="Arial" w:hAnsi="Arial" w:cs="Arial"/>
        </w:rPr>
      </w:pPr>
      <w:r w:rsidRPr="00B92499">
        <w:rPr>
          <w:rFonts w:ascii="Arial" w:hAnsi="Arial" w:cs="Arial"/>
        </w:rPr>
        <w:t xml:space="preserve">No obstante, el grado de cumplimiento anteriormente señalado está conformado por el índice de cumplimiento respecto de la información que se encuentra pública y actualizada tanto en los Portales de Internet Institucionales como en la Plataforma Nacional de Transparencia y el índice de cumplimiento respecto </w:t>
      </w:r>
      <w:r w:rsidR="004C101C" w:rsidRPr="00B92499">
        <w:rPr>
          <w:rFonts w:ascii="Arial" w:hAnsi="Arial" w:cs="Arial"/>
        </w:rPr>
        <w:t>de la atención a</w:t>
      </w:r>
      <w:r w:rsidRPr="00B92499">
        <w:rPr>
          <w:rFonts w:ascii="Arial" w:hAnsi="Arial" w:cs="Arial"/>
        </w:rPr>
        <w:t xml:space="preserve"> lo mandatado en las obligaciones de transparencia a través de la publicación de una </w:t>
      </w:r>
      <w:r w:rsidRPr="00B92499">
        <w:rPr>
          <w:rFonts w:ascii="Arial" w:hAnsi="Arial" w:cs="Arial"/>
        </w:rPr>
        <w:lastRenderedPageBreak/>
        <w:t xml:space="preserve">nota fundada y motivada que aclara el por qué no se generó, publicó o actualizó la información. </w:t>
      </w:r>
    </w:p>
    <w:p w14:paraId="7B194FA6" w14:textId="77777777" w:rsidR="00BD6320" w:rsidRPr="00B92499" w:rsidRDefault="00BD6320" w:rsidP="00BD6320">
      <w:pPr>
        <w:spacing w:before="100" w:beforeAutospacing="1" w:after="100" w:afterAutospacing="1" w:line="360" w:lineRule="auto"/>
        <w:contextualSpacing/>
        <w:jc w:val="both"/>
        <w:rPr>
          <w:rFonts w:ascii="Arial" w:hAnsi="Arial" w:cs="Arial"/>
        </w:rPr>
      </w:pPr>
    </w:p>
    <w:p w14:paraId="151195D5" w14:textId="77777777" w:rsidR="00BD6320" w:rsidRPr="00B92499" w:rsidRDefault="00BD6320" w:rsidP="00BD6320">
      <w:pPr>
        <w:spacing w:before="100" w:beforeAutospacing="1" w:after="100" w:afterAutospacing="1" w:line="360" w:lineRule="auto"/>
        <w:contextualSpacing/>
        <w:jc w:val="both"/>
        <w:rPr>
          <w:rFonts w:ascii="Arial" w:hAnsi="Arial" w:cs="Arial"/>
        </w:rPr>
      </w:pPr>
      <w:r w:rsidRPr="00B92499">
        <w:rPr>
          <w:rFonts w:ascii="Arial" w:hAnsi="Arial" w:cs="Arial"/>
        </w:rPr>
        <w:t xml:space="preserve">El grado de cumplimiento de este ámbito, consistente en </w:t>
      </w:r>
      <w:r w:rsidR="004B6AFD" w:rsidRPr="00B92499">
        <w:rPr>
          <w:rFonts w:ascii="Arial" w:hAnsi="Arial" w:cs="Arial"/>
        </w:rPr>
        <w:t xml:space="preserve">87.20%, </w:t>
      </w:r>
      <w:r w:rsidRPr="00B92499">
        <w:rPr>
          <w:rFonts w:ascii="Arial" w:hAnsi="Arial" w:cs="Arial"/>
        </w:rPr>
        <w:t>está integrado por 8</w:t>
      </w:r>
      <w:r w:rsidR="004C101C" w:rsidRPr="00B92499">
        <w:rPr>
          <w:rFonts w:ascii="Arial" w:hAnsi="Arial" w:cs="Arial"/>
        </w:rPr>
        <w:t>3.22</w:t>
      </w:r>
      <w:r w:rsidRPr="00B92499">
        <w:rPr>
          <w:rFonts w:ascii="Arial" w:hAnsi="Arial" w:cs="Arial"/>
        </w:rPr>
        <w:t xml:space="preserve">% de información publicada y actualizada en atención a los principios mandatados en la Ley de Transparencia Local y un </w:t>
      </w:r>
      <w:r w:rsidR="004C101C" w:rsidRPr="00B92499">
        <w:rPr>
          <w:rFonts w:ascii="Arial" w:hAnsi="Arial" w:cs="Arial"/>
        </w:rPr>
        <w:t>3.98</w:t>
      </w:r>
      <w:r w:rsidRPr="00B92499">
        <w:rPr>
          <w:rFonts w:ascii="Arial" w:hAnsi="Arial" w:cs="Arial"/>
        </w:rPr>
        <w:t xml:space="preserve">% que corresponde a notas aclaratorias. </w:t>
      </w:r>
    </w:p>
    <w:p w14:paraId="5EADD00A" w14:textId="77777777" w:rsidR="008D44C3" w:rsidRPr="00B92499" w:rsidRDefault="008D44C3" w:rsidP="002E7D47">
      <w:pPr>
        <w:spacing w:before="100" w:beforeAutospacing="1" w:after="100" w:afterAutospacing="1" w:line="360" w:lineRule="auto"/>
        <w:contextualSpacing/>
        <w:jc w:val="both"/>
        <w:rPr>
          <w:rFonts w:ascii="Arial" w:hAnsi="Arial" w:cs="Arial"/>
        </w:rPr>
      </w:pPr>
    </w:p>
    <w:p w14:paraId="4D12EA4C" w14:textId="11801723" w:rsidR="000D3657" w:rsidRPr="00B92499" w:rsidRDefault="000D3657" w:rsidP="002E7D47">
      <w:pPr>
        <w:spacing w:before="100" w:beforeAutospacing="1" w:after="100" w:afterAutospacing="1" w:line="360" w:lineRule="auto"/>
        <w:contextualSpacing/>
        <w:jc w:val="both"/>
        <w:rPr>
          <w:rFonts w:ascii="Arial" w:hAnsi="Arial" w:cs="Arial"/>
          <w:u w:val="single"/>
        </w:rPr>
      </w:pPr>
      <w:r w:rsidRPr="00B92499">
        <w:rPr>
          <w:rFonts w:ascii="Arial" w:hAnsi="Arial" w:cs="Arial"/>
          <w:u w:val="single"/>
        </w:rPr>
        <w:t xml:space="preserve">Cumplimiento diferenciado por </w:t>
      </w:r>
      <w:r w:rsidR="008F67E4" w:rsidRPr="00B92499">
        <w:rPr>
          <w:rFonts w:ascii="Arial" w:hAnsi="Arial" w:cs="Arial"/>
          <w:u w:val="single"/>
        </w:rPr>
        <w:t>artículo</w:t>
      </w:r>
      <w:r w:rsidRPr="00B92499">
        <w:rPr>
          <w:rFonts w:ascii="Arial" w:hAnsi="Arial" w:cs="Arial"/>
          <w:u w:val="single"/>
        </w:rPr>
        <w:t xml:space="preserve">s </w:t>
      </w:r>
    </w:p>
    <w:p w14:paraId="69B33734" w14:textId="77777777" w:rsidR="008D44C3" w:rsidRPr="00B92499" w:rsidRDefault="008D44C3" w:rsidP="002E7D47">
      <w:pPr>
        <w:spacing w:before="100" w:beforeAutospacing="1" w:after="100" w:afterAutospacing="1" w:line="360" w:lineRule="auto"/>
        <w:contextualSpacing/>
        <w:jc w:val="both"/>
        <w:rPr>
          <w:rFonts w:ascii="Arial" w:hAnsi="Arial" w:cs="Arial"/>
          <w:u w:val="single"/>
        </w:rPr>
      </w:pPr>
    </w:p>
    <w:p w14:paraId="1B59BEAD" w14:textId="74E612CE" w:rsidR="000D3657" w:rsidRPr="00B92499" w:rsidRDefault="000D3657" w:rsidP="002E7D47">
      <w:pPr>
        <w:spacing w:before="100" w:beforeAutospacing="1" w:after="100" w:afterAutospacing="1" w:line="360" w:lineRule="auto"/>
        <w:contextualSpacing/>
        <w:jc w:val="both"/>
        <w:rPr>
          <w:rFonts w:ascii="Arial" w:hAnsi="Arial" w:cs="Arial"/>
        </w:rPr>
      </w:pPr>
      <w:r w:rsidRPr="00B92499">
        <w:rPr>
          <w:rFonts w:ascii="Arial" w:hAnsi="Arial" w:cs="Arial"/>
        </w:rPr>
        <w:t xml:space="preserve">Con relación al tipo de obligaciones de transparencia, este </w:t>
      </w:r>
      <w:r w:rsidR="00A64325" w:rsidRPr="00B92499">
        <w:rPr>
          <w:rFonts w:ascii="Arial" w:hAnsi="Arial" w:cs="Arial"/>
        </w:rPr>
        <w:t xml:space="preserve">ámbito </w:t>
      </w:r>
      <w:r w:rsidRPr="00B92499">
        <w:rPr>
          <w:rFonts w:ascii="Arial" w:hAnsi="Arial" w:cs="Arial"/>
        </w:rPr>
        <w:t xml:space="preserve">ha </w:t>
      </w:r>
      <w:r w:rsidR="004C101C" w:rsidRPr="00B92499">
        <w:rPr>
          <w:rFonts w:ascii="Arial" w:hAnsi="Arial" w:cs="Arial"/>
        </w:rPr>
        <w:t>cumplido</w:t>
      </w:r>
      <w:r w:rsidRPr="00B92499">
        <w:rPr>
          <w:rFonts w:ascii="Arial" w:hAnsi="Arial" w:cs="Arial"/>
        </w:rPr>
        <w:t xml:space="preserve"> parcialmente en la publicación y actualización de sus obligaciones comunes, específicas y disposiciones particulares; obteniendo en las</w:t>
      </w:r>
      <w:r w:rsidR="000D67A7" w:rsidRPr="00B92499">
        <w:rPr>
          <w:rFonts w:ascii="Arial" w:hAnsi="Arial" w:cs="Arial"/>
        </w:rPr>
        <w:t xml:space="preserve"> 3 </w:t>
      </w:r>
      <w:r w:rsidRPr="00B92499">
        <w:rPr>
          <w:rFonts w:ascii="Arial" w:hAnsi="Arial" w:cs="Arial"/>
        </w:rPr>
        <w:t xml:space="preserve">un promedio de cumplimiento entre el </w:t>
      </w:r>
      <w:r w:rsidR="004C101C" w:rsidRPr="00B92499">
        <w:rPr>
          <w:rFonts w:ascii="Arial" w:hAnsi="Arial" w:cs="Arial"/>
        </w:rPr>
        <w:t>84.32</w:t>
      </w:r>
      <w:r w:rsidRPr="00B92499">
        <w:rPr>
          <w:rFonts w:ascii="Arial" w:hAnsi="Arial" w:cs="Arial"/>
        </w:rPr>
        <w:t xml:space="preserve">% y </w:t>
      </w:r>
      <w:r w:rsidR="004C101C" w:rsidRPr="00B92499">
        <w:rPr>
          <w:rFonts w:ascii="Arial" w:hAnsi="Arial" w:cs="Arial"/>
        </w:rPr>
        <w:t>97.91</w:t>
      </w:r>
      <w:r w:rsidRPr="00B92499">
        <w:rPr>
          <w:rFonts w:ascii="Arial" w:hAnsi="Arial" w:cs="Arial"/>
        </w:rPr>
        <w:t>%.</w:t>
      </w:r>
    </w:p>
    <w:p w14:paraId="5CF4C531" w14:textId="77777777" w:rsidR="008D44C3" w:rsidRPr="00B92499" w:rsidRDefault="008D44C3" w:rsidP="002E7D47">
      <w:pPr>
        <w:spacing w:before="100" w:beforeAutospacing="1" w:after="100" w:afterAutospacing="1" w:line="360" w:lineRule="auto"/>
        <w:contextualSpacing/>
        <w:jc w:val="both"/>
        <w:rPr>
          <w:rFonts w:ascii="Arial" w:hAnsi="Arial" w:cs="Arial"/>
        </w:rPr>
      </w:pPr>
    </w:p>
    <w:p w14:paraId="353DDA8B" w14:textId="77777777" w:rsidR="000D3657" w:rsidRPr="00B92499" w:rsidRDefault="000D3657" w:rsidP="002E7D47">
      <w:pPr>
        <w:spacing w:before="100" w:beforeAutospacing="1" w:after="100" w:afterAutospacing="1" w:line="360" w:lineRule="auto"/>
        <w:contextualSpacing/>
        <w:jc w:val="both"/>
        <w:rPr>
          <w:rFonts w:ascii="Arial" w:hAnsi="Arial" w:cs="Arial"/>
        </w:rPr>
      </w:pPr>
      <w:r w:rsidRPr="00B92499">
        <w:rPr>
          <w:rFonts w:ascii="Arial" w:hAnsi="Arial" w:cs="Arial"/>
        </w:rPr>
        <w:t xml:space="preserve">En esta misma línea, </w:t>
      </w:r>
      <w:r w:rsidR="004C101C" w:rsidRPr="00B92499">
        <w:rPr>
          <w:rFonts w:ascii="Arial" w:hAnsi="Arial" w:cs="Arial"/>
        </w:rPr>
        <w:t>los artículos</w:t>
      </w:r>
      <w:r w:rsidRPr="00B92499">
        <w:rPr>
          <w:rFonts w:ascii="Arial" w:hAnsi="Arial" w:cs="Arial"/>
        </w:rPr>
        <w:t xml:space="preserve"> 14</w:t>
      </w:r>
      <w:r w:rsidR="004C101C" w:rsidRPr="00B92499">
        <w:rPr>
          <w:rFonts w:ascii="Arial" w:hAnsi="Arial" w:cs="Arial"/>
        </w:rPr>
        <w:t>6 y 147 tuvieron un ICP de 100%, logrando un cumplimiento total, el artículo 137 obtuvo un ICP de 99.60%, el artículo 145 alcanzó un ICP 93.75%, el 121 tuvo un ICP de 84.32% y el 138 obtuvo un ICP de 79.57%</w:t>
      </w:r>
      <w:r w:rsidR="002E7806" w:rsidRPr="00B92499">
        <w:rPr>
          <w:rFonts w:ascii="Arial" w:hAnsi="Arial" w:cs="Arial"/>
        </w:rPr>
        <w:t xml:space="preserve">; por lo que se sitúan en un cumplimiento parcial. </w:t>
      </w:r>
    </w:p>
    <w:p w14:paraId="20F5D5FF" w14:textId="7A044C37" w:rsidR="000D3657" w:rsidRPr="00B92499" w:rsidRDefault="000D3657" w:rsidP="009F64B5">
      <w:pPr>
        <w:pStyle w:val="Ttulo2"/>
        <w:numPr>
          <w:ilvl w:val="1"/>
          <w:numId w:val="19"/>
        </w:numPr>
        <w:contextualSpacing/>
        <w:jc w:val="both"/>
        <w:rPr>
          <w:rFonts w:ascii="Arial" w:hAnsi="Arial" w:cs="Arial"/>
          <w:b/>
          <w:color w:val="auto"/>
          <w:sz w:val="24"/>
          <w:szCs w:val="24"/>
        </w:rPr>
      </w:pPr>
      <w:bookmarkStart w:id="52" w:name="_Toc23253008"/>
      <w:r w:rsidRPr="00B92499">
        <w:rPr>
          <w:rFonts w:ascii="Arial" w:hAnsi="Arial" w:cs="Arial"/>
          <w:b/>
          <w:color w:val="auto"/>
          <w:sz w:val="24"/>
          <w:szCs w:val="24"/>
        </w:rPr>
        <w:t xml:space="preserve">Análisis del </w:t>
      </w:r>
      <w:r w:rsidR="008F67E4" w:rsidRPr="00B92499">
        <w:rPr>
          <w:rFonts w:ascii="Arial" w:hAnsi="Arial" w:cs="Arial"/>
          <w:b/>
          <w:color w:val="auto"/>
          <w:sz w:val="24"/>
          <w:szCs w:val="24"/>
        </w:rPr>
        <w:t>artículo</w:t>
      </w:r>
      <w:r w:rsidRPr="00B92499">
        <w:rPr>
          <w:rFonts w:ascii="Arial" w:hAnsi="Arial" w:cs="Arial"/>
          <w:b/>
          <w:color w:val="auto"/>
          <w:sz w:val="24"/>
          <w:szCs w:val="24"/>
        </w:rPr>
        <w:t xml:space="preserve"> 121 y sus respectivas fracciones</w:t>
      </w:r>
      <w:bookmarkEnd w:id="52"/>
    </w:p>
    <w:p w14:paraId="121F66C4" w14:textId="50B9AC18" w:rsidR="000D3657" w:rsidRPr="00B92499" w:rsidRDefault="002E7806" w:rsidP="002E7D47">
      <w:pPr>
        <w:spacing w:before="100" w:beforeAutospacing="1" w:after="100" w:afterAutospacing="1" w:line="360" w:lineRule="auto"/>
        <w:contextualSpacing/>
        <w:jc w:val="both"/>
        <w:rPr>
          <w:rFonts w:ascii="Arial" w:hAnsi="Arial" w:cs="Arial"/>
        </w:rPr>
      </w:pPr>
      <w:r w:rsidRPr="00B92499">
        <w:rPr>
          <w:rFonts w:ascii="Arial" w:hAnsi="Arial" w:cs="Arial"/>
        </w:rPr>
        <w:t>El sindicato obtuvo un ICP en este artículo de 84.32%</w:t>
      </w:r>
      <w:r w:rsidR="000D3657" w:rsidRPr="00B92499">
        <w:rPr>
          <w:rFonts w:ascii="Arial" w:hAnsi="Arial" w:cs="Arial"/>
        </w:rPr>
        <w:t>; por lo que se encuentra dentro del área de cumplimiento parcial. Lo anterior se debió a que</w:t>
      </w:r>
      <w:r w:rsidRPr="00B92499">
        <w:rPr>
          <w:rFonts w:ascii="Arial" w:hAnsi="Arial" w:cs="Arial"/>
        </w:rPr>
        <w:t xml:space="preserve"> de las </w:t>
      </w:r>
      <w:r w:rsidR="000B2F47" w:rsidRPr="00B92499">
        <w:rPr>
          <w:rFonts w:ascii="Arial" w:hAnsi="Arial" w:cs="Arial"/>
        </w:rPr>
        <w:t>18</w:t>
      </w:r>
      <w:r w:rsidRPr="00B92499">
        <w:rPr>
          <w:rFonts w:ascii="Arial" w:hAnsi="Arial" w:cs="Arial"/>
        </w:rPr>
        <w:t xml:space="preserve"> fracciones que les son aplicables, en 1</w:t>
      </w:r>
      <w:r w:rsidR="000B2F47" w:rsidRPr="00B92499">
        <w:rPr>
          <w:rFonts w:ascii="Arial" w:hAnsi="Arial" w:cs="Arial"/>
        </w:rPr>
        <w:t>2</w:t>
      </w:r>
      <w:r w:rsidRPr="00B92499">
        <w:rPr>
          <w:rFonts w:ascii="Arial" w:hAnsi="Arial" w:cs="Arial"/>
        </w:rPr>
        <w:t xml:space="preserve"> alcanzó un cumplimiento total de 100%, en</w:t>
      </w:r>
      <w:r w:rsidR="000D67A7" w:rsidRPr="00B92499">
        <w:rPr>
          <w:rFonts w:ascii="Arial" w:hAnsi="Arial" w:cs="Arial"/>
        </w:rPr>
        <w:t xml:space="preserve"> 4 </w:t>
      </w:r>
      <w:r w:rsidR="00311035" w:rsidRPr="00B92499">
        <w:rPr>
          <w:rFonts w:ascii="Arial" w:hAnsi="Arial" w:cs="Arial"/>
        </w:rPr>
        <w:t xml:space="preserve">fracciones </w:t>
      </w:r>
      <w:r w:rsidRPr="00B92499">
        <w:rPr>
          <w:rFonts w:ascii="Arial" w:hAnsi="Arial" w:cs="Arial"/>
        </w:rPr>
        <w:t>un cumplimiento parcial comprendido entre el 66.67% y 93.75%</w:t>
      </w:r>
      <w:r w:rsidR="00311035" w:rsidRPr="00B92499">
        <w:rPr>
          <w:rFonts w:ascii="Arial" w:hAnsi="Arial" w:cs="Arial"/>
        </w:rPr>
        <w:t xml:space="preserve"> y en </w:t>
      </w:r>
      <w:r w:rsidR="000D67A7" w:rsidRPr="00B92499">
        <w:rPr>
          <w:rFonts w:ascii="Arial" w:hAnsi="Arial" w:cs="Arial"/>
        </w:rPr>
        <w:t>2</w:t>
      </w:r>
      <w:r w:rsidR="00311035" w:rsidRPr="00B92499">
        <w:rPr>
          <w:rFonts w:ascii="Arial" w:hAnsi="Arial" w:cs="Arial"/>
        </w:rPr>
        <w:t xml:space="preserve"> fracciones alcanzó un incumplimiento parcial comprendido entre el </w:t>
      </w:r>
      <w:r w:rsidR="000B2F47" w:rsidRPr="00B92499">
        <w:rPr>
          <w:rFonts w:ascii="Arial" w:hAnsi="Arial" w:cs="Arial"/>
        </w:rPr>
        <w:t>33.33</w:t>
      </w:r>
      <w:r w:rsidR="00311035" w:rsidRPr="00B92499">
        <w:rPr>
          <w:rFonts w:ascii="Arial" w:hAnsi="Arial" w:cs="Arial"/>
        </w:rPr>
        <w:t xml:space="preserve">% y el </w:t>
      </w:r>
      <w:r w:rsidR="000B2F47" w:rsidRPr="00B92499">
        <w:rPr>
          <w:rFonts w:ascii="Arial" w:hAnsi="Arial" w:cs="Arial"/>
        </w:rPr>
        <w:t>50.00</w:t>
      </w:r>
      <w:r w:rsidR="00311035" w:rsidRPr="00B92499">
        <w:rPr>
          <w:rFonts w:ascii="Arial" w:hAnsi="Arial" w:cs="Arial"/>
        </w:rPr>
        <w:t xml:space="preserve">%. Lo anterior, se debió a la falta de publicación y actualización de la información en tales fracciones. </w:t>
      </w:r>
    </w:p>
    <w:p w14:paraId="59B6197C" w14:textId="77777777" w:rsidR="008D44C3" w:rsidRPr="00B92499" w:rsidRDefault="008D44C3" w:rsidP="002E7D47">
      <w:pPr>
        <w:spacing w:before="100" w:beforeAutospacing="1" w:after="100" w:afterAutospacing="1" w:line="360" w:lineRule="auto"/>
        <w:contextualSpacing/>
        <w:jc w:val="both"/>
        <w:rPr>
          <w:rFonts w:ascii="Arial" w:hAnsi="Arial" w:cs="Arial"/>
        </w:rPr>
      </w:pPr>
    </w:p>
    <w:p w14:paraId="39FC914C" w14:textId="28A56066" w:rsidR="008D44C3" w:rsidRPr="00B92499" w:rsidRDefault="000D3657" w:rsidP="002E7D47">
      <w:pPr>
        <w:spacing w:before="100" w:beforeAutospacing="1" w:after="100" w:afterAutospacing="1" w:line="360" w:lineRule="auto"/>
        <w:contextualSpacing/>
        <w:jc w:val="both"/>
        <w:rPr>
          <w:rFonts w:ascii="Arial" w:hAnsi="Arial" w:cs="Arial"/>
        </w:rPr>
      </w:pPr>
      <w:r w:rsidRPr="00B92499">
        <w:rPr>
          <w:rFonts w:ascii="Arial" w:hAnsi="Arial" w:cs="Arial"/>
        </w:rPr>
        <w:t xml:space="preserve">En esta línea, de las </w:t>
      </w:r>
      <w:r w:rsidR="000B2F47" w:rsidRPr="00B92499">
        <w:rPr>
          <w:rFonts w:ascii="Arial" w:hAnsi="Arial" w:cs="Arial"/>
        </w:rPr>
        <w:t>18</w:t>
      </w:r>
      <w:r w:rsidRPr="00B92499">
        <w:rPr>
          <w:rFonts w:ascii="Arial" w:hAnsi="Arial" w:cs="Arial"/>
        </w:rPr>
        <w:t xml:space="preserve"> fracciones que le son aplicables</w:t>
      </w:r>
      <w:r w:rsidR="00735992" w:rsidRPr="00B92499">
        <w:rPr>
          <w:rFonts w:ascii="Arial" w:hAnsi="Arial" w:cs="Arial"/>
        </w:rPr>
        <w:t>,</w:t>
      </w:r>
      <w:r w:rsidRPr="00B92499">
        <w:rPr>
          <w:rFonts w:ascii="Arial" w:hAnsi="Arial" w:cs="Arial"/>
        </w:rPr>
        <w:t xml:space="preserve"> las</w:t>
      </w:r>
      <w:r w:rsidR="000D67A7" w:rsidRPr="00B92499">
        <w:rPr>
          <w:rFonts w:ascii="Arial" w:hAnsi="Arial" w:cs="Arial"/>
        </w:rPr>
        <w:t xml:space="preserve"> 3 </w:t>
      </w:r>
      <w:r w:rsidRPr="00B92499">
        <w:rPr>
          <w:rFonts w:ascii="Arial" w:hAnsi="Arial" w:cs="Arial"/>
        </w:rPr>
        <w:t xml:space="preserve">que tienen mayor área de oportunidad son las siguientes: </w:t>
      </w:r>
    </w:p>
    <w:p w14:paraId="295EF5FD" w14:textId="30C4F939" w:rsidR="008D44C3" w:rsidRPr="00B92499" w:rsidRDefault="000D3657" w:rsidP="009F64B5">
      <w:pPr>
        <w:pStyle w:val="Prrafodelista"/>
        <w:numPr>
          <w:ilvl w:val="0"/>
          <w:numId w:val="27"/>
        </w:numPr>
        <w:spacing w:before="100" w:beforeAutospacing="1" w:after="100" w:afterAutospacing="1" w:line="360" w:lineRule="auto"/>
        <w:jc w:val="both"/>
        <w:rPr>
          <w:rFonts w:ascii="Arial" w:hAnsi="Arial" w:cs="Arial"/>
          <w:sz w:val="24"/>
          <w:szCs w:val="24"/>
          <w:lang w:val="es-ES_tradnl"/>
        </w:rPr>
      </w:pPr>
      <w:r w:rsidRPr="00B92499">
        <w:rPr>
          <w:rFonts w:ascii="Arial" w:hAnsi="Arial" w:cs="Arial"/>
          <w:sz w:val="24"/>
          <w:szCs w:val="24"/>
          <w:lang w:val="es-ES_tradnl"/>
        </w:rPr>
        <w:lastRenderedPageBreak/>
        <w:t xml:space="preserve">Fracción </w:t>
      </w:r>
      <w:r w:rsidR="000B2F47" w:rsidRPr="00B92499">
        <w:rPr>
          <w:rFonts w:ascii="Arial" w:hAnsi="Arial" w:cs="Arial"/>
          <w:sz w:val="24"/>
          <w:szCs w:val="24"/>
          <w:lang w:val="es-ES_tradnl"/>
        </w:rPr>
        <w:t>XLIII</w:t>
      </w:r>
      <w:r w:rsidRPr="00B92499">
        <w:rPr>
          <w:rFonts w:ascii="Arial" w:hAnsi="Arial" w:cs="Arial"/>
          <w:sz w:val="24"/>
          <w:szCs w:val="24"/>
          <w:lang w:val="es-ES_tradnl"/>
        </w:rPr>
        <w:t xml:space="preserve">, con un ICP de </w:t>
      </w:r>
      <w:r w:rsidR="000B2F47" w:rsidRPr="00B92499">
        <w:rPr>
          <w:rFonts w:ascii="Arial" w:hAnsi="Arial" w:cs="Arial"/>
          <w:sz w:val="24"/>
          <w:szCs w:val="24"/>
          <w:lang w:val="es-ES_tradnl"/>
        </w:rPr>
        <w:t>33.33</w:t>
      </w:r>
      <w:r w:rsidRPr="00B92499">
        <w:rPr>
          <w:rFonts w:ascii="Arial" w:hAnsi="Arial" w:cs="Arial"/>
          <w:sz w:val="24"/>
          <w:szCs w:val="24"/>
          <w:lang w:val="es-ES_tradnl"/>
        </w:rPr>
        <w:t xml:space="preserve">% en la cual se solicita </w:t>
      </w:r>
      <w:r w:rsidR="000B2F47" w:rsidRPr="00B92499">
        <w:rPr>
          <w:rFonts w:ascii="Arial" w:hAnsi="Arial" w:cs="Arial"/>
          <w:sz w:val="24"/>
          <w:szCs w:val="24"/>
          <w:lang w:val="es-ES_tradnl"/>
        </w:rPr>
        <w:t>publicar las actas y resoluciones del comité de transparencia</w:t>
      </w:r>
      <w:r w:rsidR="00311035" w:rsidRPr="00B92499">
        <w:rPr>
          <w:rFonts w:ascii="Arial" w:hAnsi="Arial" w:cs="Arial"/>
          <w:sz w:val="24"/>
          <w:szCs w:val="24"/>
          <w:lang w:val="es-ES_tradnl"/>
        </w:rPr>
        <w:t xml:space="preserve">. El área de oportunidad del </w:t>
      </w:r>
      <w:r w:rsidR="008710F6" w:rsidRPr="00B92499">
        <w:rPr>
          <w:rFonts w:ascii="Arial" w:hAnsi="Arial" w:cs="Arial"/>
          <w:sz w:val="24"/>
          <w:szCs w:val="24"/>
          <w:lang w:val="es-ES_tradnl"/>
        </w:rPr>
        <w:t>sujeto obligado</w:t>
      </w:r>
      <w:r w:rsidR="00311035" w:rsidRPr="00B92499">
        <w:rPr>
          <w:rFonts w:ascii="Arial" w:hAnsi="Arial" w:cs="Arial"/>
          <w:sz w:val="24"/>
          <w:szCs w:val="24"/>
          <w:lang w:val="es-ES_tradnl"/>
        </w:rPr>
        <w:t xml:space="preserve"> consiste en</w:t>
      </w:r>
      <w:r w:rsidR="001B2F09" w:rsidRPr="00B92499">
        <w:rPr>
          <w:rFonts w:ascii="Arial" w:hAnsi="Arial" w:cs="Arial"/>
          <w:sz w:val="24"/>
          <w:szCs w:val="24"/>
          <w:lang w:val="es-ES_tradnl"/>
        </w:rPr>
        <w:t xml:space="preserve"> que algunos de los hipervínculos a la información del primer semestre se encuentran rotos y no se conserva la información concerniente al ejercicio anterior. </w:t>
      </w:r>
    </w:p>
    <w:p w14:paraId="3B0FBB89" w14:textId="77777777" w:rsidR="001B2F09" w:rsidRPr="00B92499" w:rsidRDefault="001B2F09" w:rsidP="001B2F09">
      <w:pPr>
        <w:pStyle w:val="Prrafodelista"/>
        <w:spacing w:before="100" w:beforeAutospacing="1" w:after="100" w:afterAutospacing="1" w:line="360" w:lineRule="auto"/>
        <w:jc w:val="both"/>
        <w:rPr>
          <w:rFonts w:ascii="Arial" w:hAnsi="Arial" w:cs="Arial"/>
          <w:sz w:val="24"/>
          <w:szCs w:val="24"/>
          <w:lang w:val="es-ES_tradnl"/>
        </w:rPr>
      </w:pPr>
    </w:p>
    <w:p w14:paraId="659A3B54" w14:textId="44653471" w:rsidR="001B2F09" w:rsidRPr="00B92499" w:rsidRDefault="000D3657" w:rsidP="009F64B5">
      <w:pPr>
        <w:pStyle w:val="Prrafodelista"/>
        <w:numPr>
          <w:ilvl w:val="0"/>
          <w:numId w:val="27"/>
        </w:numPr>
        <w:spacing w:before="100" w:beforeAutospacing="1" w:after="100" w:afterAutospacing="1" w:line="360" w:lineRule="auto"/>
        <w:jc w:val="both"/>
        <w:rPr>
          <w:rFonts w:ascii="Arial" w:hAnsi="Arial" w:cs="Arial"/>
          <w:sz w:val="24"/>
          <w:szCs w:val="24"/>
          <w:lang w:val="es-ES_tradnl"/>
        </w:rPr>
      </w:pPr>
      <w:r w:rsidRPr="00B92499">
        <w:rPr>
          <w:rFonts w:ascii="Arial" w:hAnsi="Arial" w:cs="Arial"/>
          <w:sz w:val="24"/>
          <w:szCs w:val="24"/>
          <w:lang w:val="es-ES_tradnl"/>
        </w:rPr>
        <w:t xml:space="preserve">Fracción </w:t>
      </w:r>
      <w:r w:rsidR="000B2F47" w:rsidRPr="00B92499">
        <w:rPr>
          <w:rFonts w:ascii="Arial" w:hAnsi="Arial" w:cs="Arial"/>
          <w:sz w:val="24"/>
          <w:szCs w:val="24"/>
          <w:lang w:val="es-ES_tradnl"/>
        </w:rPr>
        <w:t>XXXVIII</w:t>
      </w:r>
      <w:r w:rsidRPr="00B92499">
        <w:rPr>
          <w:rFonts w:ascii="Arial" w:hAnsi="Arial" w:cs="Arial"/>
          <w:sz w:val="24"/>
          <w:szCs w:val="24"/>
          <w:lang w:val="es-ES_tradnl"/>
        </w:rPr>
        <w:t xml:space="preserve">, con un ICP de </w:t>
      </w:r>
      <w:r w:rsidR="000B2F47" w:rsidRPr="00B92499">
        <w:rPr>
          <w:rFonts w:ascii="Arial" w:hAnsi="Arial" w:cs="Arial"/>
          <w:sz w:val="24"/>
          <w:szCs w:val="24"/>
          <w:lang w:val="es-ES_tradnl"/>
        </w:rPr>
        <w:t>50.00</w:t>
      </w:r>
      <w:r w:rsidRPr="00B92499">
        <w:rPr>
          <w:rFonts w:ascii="Arial" w:hAnsi="Arial" w:cs="Arial"/>
          <w:sz w:val="24"/>
          <w:szCs w:val="24"/>
          <w:lang w:val="es-ES_tradnl"/>
        </w:rPr>
        <w:t>% que hace referencia</w:t>
      </w:r>
      <w:r w:rsidR="00311035" w:rsidRPr="00B92499">
        <w:rPr>
          <w:rFonts w:ascii="Arial" w:hAnsi="Arial" w:cs="Arial"/>
          <w:sz w:val="24"/>
          <w:szCs w:val="24"/>
          <w:lang w:val="es-ES_tradnl"/>
        </w:rPr>
        <w:t xml:space="preserve"> a la publicación </w:t>
      </w:r>
      <w:r w:rsidR="000B2F47" w:rsidRPr="00B92499">
        <w:rPr>
          <w:rFonts w:ascii="Arial" w:hAnsi="Arial" w:cs="Arial"/>
          <w:sz w:val="24"/>
          <w:szCs w:val="24"/>
          <w:lang w:val="es-ES_tradnl"/>
        </w:rPr>
        <w:t xml:space="preserve">de la relación del número de recomendaciones emitidas por el Instituto al </w:t>
      </w:r>
      <w:r w:rsidR="008710F6" w:rsidRPr="00B92499">
        <w:rPr>
          <w:rFonts w:ascii="Arial" w:hAnsi="Arial" w:cs="Arial"/>
          <w:sz w:val="24"/>
          <w:szCs w:val="24"/>
          <w:lang w:val="es-ES_tradnl"/>
        </w:rPr>
        <w:t>sujeto obligado</w:t>
      </w:r>
      <w:r w:rsidR="00311035" w:rsidRPr="00B92499">
        <w:rPr>
          <w:rFonts w:ascii="Arial" w:hAnsi="Arial" w:cs="Arial"/>
          <w:sz w:val="24"/>
          <w:szCs w:val="24"/>
          <w:lang w:val="es-ES_tradnl"/>
        </w:rPr>
        <w:t>.</w:t>
      </w:r>
      <w:r w:rsidRPr="00B92499">
        <w:rPr>
          <w:rFonts w:ascii="Arial" w:hAnsi="Arial" w:cs="Arial"/>
          <w:sz w:val="24"/>
          <w:szCs w:val="24"/>
          <w:lang w:val="es-ES_tradnl"/>
        </w:rPr>
        <w:t xml:space="preserve"> </w:t>
      </w:r>
      <w:r w:rsidR="000B2F47" w:rsidRPr="00B92499">
        <w:rPr>
          <w:rFonts w:ascii="Arial" w:hAnsi="Arial" w:cs="Arial"/>
          <w:sz w:val="24"/>
          <w:szCs w:val="24"/>
          <w:lang w:val="es-ES_tradnl"/>
        </w:rPr>
        <w:t xml:space="preserve">El área de oportunidad del </w:t>
      </w:r>
      <w:r w:rsidR="008710F6" w:rsidRPr="00B92499">
        <w:rPr>
          <w:rFonts w:ascii="Arial" w:hAnsi="Arial" w:cs="Arial"/>
          <w:sz w:val="24"/>
          <w:szCs w:val="24"/>
          <w:lang w:val="es-ES_tradnl"/>
        </w:rPr>
        <w:t>sujeto obligado</w:t>
      </w:r>
      <w:r w:rsidR="000B2F47" w:rsidRPr="00B92499">
        <w:rPr>
          <w:rFonts w:ascii="Arial" w:hAnsi="Arial" w:cs="Arial"/>
          <w:sz w:val="24"/>
          <w:szCs w:val="24"/>
          <w:lang w:val="es-ES_tradnl"/>
        </w:rPr>
        <w:t xml:space="preserve"> consiste en</w:t>
      </w:r>
      <w:r w:rsidR="001B2F09" w:rsidRPr="00B92499">
        <w:rPr>
          <w:rFonts w:ascii="Arial" w:hAnsi="Arial" w:cs="Arial"/>
          <w:sz w:val="24"/>
          <w:szCs w:val="24"/>
          <w:lang w:val="es-ES_tradnl"/>
        </w:rPr>
        <w:t xml:space="preserve"> realizar la publicación y actualización de la información en lo que respecta al ejercicio 2019 y conservar la del ejercicio 2018. </w:t>
      </w:r>
    </w:p>
    <w:p w14:paraId="68E2E712" w14:textId="77777777" w:rsidR="001B2F09" w:rsidRPr="00B92499" w:rsidRDefault="001B2F09" w:rsidP="001B2F09">
      <w:pPr>
        <w:pStyle w:val="Prrafodelista"/>
        <w:rPr>
          <w:rFonts w:ascii="Arial" w:hAnsi="Arial" w:cs="Arial"/>
          <w:sz w:val="24"/>
          <w:szCs w:val="24"/>
          <w:lang w:val="es-ES_tradnl"/>
        </w:rPr>
      </w:pPr>
    </w:p>
    <w:p w14:paraId="63C78A68" w14:textId="77777777" w:rsidR="001B2F09" w:rsidRPr="00B92499" w:rsidRDefault="001B2F09" w:rsidP="001B2F09">
      <w:pPr>
        <w:pStyle w:val="Prrafodelista"/>
        <w:spacing w:before="100" w:beforeAutospacing="1" w:after="100" w:afterAutospacing="1" w:line="360" w:lineRule="auto"/>
        <w:jc w:val="both"/>
        <w:rPr>
          <w:rFonts w:ascii="Arial" w:hAnsi="Arial" w:cs="Arial"/>
          <w:sz w:val="24"/>
          <w:szCs w:val="24"/>
          <w:lang w:val="es-ES_tradnl"/>
        </w:rPr>
      </w:pPr>
    </w:p>
    <w:p w14:paraId="7915B50F" w14:textId="162048CC" w:rsidR="008D44C3" w:rsidRPr="00B92499" w:rsidRDefault="000D3657" w:rsidP="009F64B5">
      <w:pPr>
        <w:pStyle w:val="Prrafodelista"/>
        <w:numPr>
          <w:ilvl w:val="0"/>
          <w:numId w:val="27"/>
        </w:numPr>
        <w:spacing w:before="100" w:beforeAutospacing="1" w:after="100" w:afterAutospacing="1" w:line="360" w:lineRule="auto"/>
        <w:jc w:val="both"/>
        <w:rPr>
          <w:rFonts w:ascii="Arial" w:hAnsi="Arial" w:cs="Arial"/>
          <w:sz w:val="24"/>
          <w:szCs w:val="24"/>
          <w:lang w:val="es-ES_tradnl"/>
        </w:rPr>
      </w:pPr>
      <w:r w:rsidRPr="00B92499">
        <w:rPr>
          <w:rFonts w:ascii="Arial" w:hAnsi="Arial" w:cs="Arial"/>
          <w:sz w:val="24"/>
          <w:szCs w:val="24"/>
          <w:lang w:val="es-ES_tradnl"/>
        </w:rPr>
        <w:t xml:space="preserve">Fracción </w:t>
      </w:r>
      <w:r w:rsidR="000B2F47" w:rsidRPr="00B92499">
        <w:rPr>
          <w:rFonts w:ascii="Arial" w:hAnsi="Arial" w:cs="Arial"/>
          <w:sz w:val="24"/>
          <w:szCs w:val="24"/>
          <w:lang w:val="es-ES_tradnl"/>
        </w:rPr>
        <w:t>XXX</w:t>
      </w:r>
      <w:r w:rsidR="00D118E9" w:rsidRPr="00B92499">
        <w:rPr>
          <w:rFonts w:ascii="Arial" w:hAnsi="Arial" w:cs="Arial"/>
          <w:sz w:val="24"/>
          <w:szCs w:val="24"/>
          <w:lang w:val="es-ES_tradnl"/>
        </w:rPr>
        <w:t>VI</w:t>
      </w:r>
      <w:r w:rsidRPr="00B92499">
        <w:rPr>
          <w:rFonts w:ascii="Arial" w:hAnsi="Arial" w:cs="Arial"/>
          <w:sz w:val="24"/>
          <w:szCs w:val="24"/>
          <w:lang w:val="es-ES_tradnl"/>
        </w:rPr>
        <w:t xml:space="preserve">, con un ICP de </w:t>
      </w:r>
      <w:r w:rsidR="001B2F09" w:rsidRPr="00B92499">
        <w:rPr>
          <w:rFonts w:ascii="Arial" w:hAnsi="Arial" w:cs="Arial"/>
          <w:sz w:val="24"/>
          <w:szCs w:val="24"/>
          <w:lang w:val="es-ES_tradnl"/>
        </w:rPr>
        <w:t>66.67</w:t>
      </w:r>
      <w:r w:rsidRPr="00B92499">
        <w:rPr>
          <w:rFonts w:ascii="Arial" w:hAnsi="Arial" w:cs="Arial"/>
          <w:sz w:val="24"/>
          <w:szCs w:val="24"/>
          <w:lang w:val="es-ES_tradnl"/>
        </w:rPr>
        <w:t xml:space="preserve">%, que establece la publicación del </w:t>
      </w:r>
      <w:r w:rsidR="00D118E9" w:rsidRPr="00B92499">
        <w:rPr>
          <w:rFonts w:ascii="Arial" w:hAnsi="Arial" w:cs="Arial"/>
          <w:sz w:val="24"/>
          <w:szCs w:val="24"/>
          <w:lang w:val="es-ES_tradnl"/>
        </w:rPr>
        <w:t>inventario de bienes muebles</w:t>
      </w:r>
      <w:r w:rsidRPr="00B92499">
        <w:rPr>
          <w:rFonts w:ascii="Arial" w:hAnsi="Arial" w:cs="Arial"/>
          <w:sz w:val="24"/>
          <w:szCs w:val="24"/>
          <w:lang w:val="es-ES_tradnl"/>
        </w:rPr>
        <w:t>.</w:t>
      </w:r>
      <w:r w:rsidR="00D118E9" w:rsidRPr="00B92499">
        <w:rPr>
          <w:rFonts w:ascii="Arial" w:hAnsi="Arial" w:cs="Arial"/>
          <w:sz w:val="24"/>
          <w:szCs w:val="24"/>
          <w:lang w:val="es-ES_tradnl"/>
        </w:rPr>
        <w:t xml:space="preserve"> El área de oportunidad del </w:t>
      </w:r>
      <w:r w:rsidR="008710F6" w:rsidRPr="00B92499">
        <w:rPr>
          <w:rFonts w:ascii="Arial" w:hAnsi="Arial" w:cs="Arial"/>
          <w:sz w:val="24"/>
          <w:szCs w:val="24"/>
          <w:lang w:val="es-ES_tradnl"/>
        </w:rPr>
        <w:t>sujeto obligado</w:t>
      </w:r>
      <w:r w:rsidR="00D118E9" w:rsidRPr="00B92499">
        <w:rPr>
          <w:rFonts w:ascii="Arial" w:hAnsi="Arial" w:cs="Arial"/>
          <w:sz w:val="24"/>
          <w:szCs w:val="24"/>
          <w:lang w:val="es-ES_tradnl"/>
        </w:rPr>
        <w:t xml:space="preserve"> consiste en</w:t>
      </w:r>
      <w:r w:rsidR="001B2F09" w:rsidRPr="00B92499">
        <w:rPr>
          <w:rFonts w:ascii="Arial" w:hAnsi="Arial" w:cs="Arial"/>
          <w:sz w:val="24"/>
          <w:szCs w:val="24"/>
          <w:lang w:val="es-ES_tradnl"/>
        </w:rPr>
        <w:t xml:space="preserve"> publicar la información mandata en la fracción y en caso de no generar la misma, fundar y motivar la no generación de la información a través de una nota. </w:t>
      </w:r>
    </w:p>
    <w:p w14:paraId="50CFF543" w14:textId="77777777" w:rsidR="004077DD" w:rsidRPr="00B92499" w:rsidRDefault="00D118E9" w:rsidP="00D118E9">
      <w:pPr>
        <w:spacing w:before="100" w:beforeAutospacing="1" w:after="100" w:afterAutospacing="1" w:line="360" w:lineRule="auto"/>
        <w:contextualSpacing/>
        <w:jc w:val="both"/>
        <w:rPr>
          <w:rFonts w:ascii="Arial" w:hAnsi="Arial" w:cs="Arial"/>
        </w:rPr>
      </w:pPr>
      <w:r w:rsidRPr="00B92499">
        <w:rPr>
          <w:rFonts w:ascii="Arial" w:hAnsi="Arial" w:cs="Arial"/>
        </w:rPr>
        <w:t xml:space="preserve">De igual forma, </w:t>
      </w:r>
      <w:r w:rsidR="00615A43" w:rsidRPr="00B92499">
        <w:rPr>
          <w:rFonts w:ascii="Arial" w:hAnsi="Arial" w:cs="Arial"/>
        </w:rPr>
        <w:t>en 12 fracciones del artículo 121, este sindicato alcanzó un ICP de 100%.</w:t>
      </w:r>
    </w:p>
    <w:p w14:paraId="5500EC12" w14:textId="77777777" w:rsidR="004077DD" w:rsidRPr="00B92499" w:rsidRDefault="004077DD" w:rsidP="00D118E9">
      <w:pPr>
        <w:spacing w:before="100" w:beforeAutospacing="1" w:after="100" w:afterAutospacing="1" w:line="360" w:lineRule="auto"/>
        <w:contextualSpacing/>
        <w:jc w:val="both"/>
        <w:rPr>
          <w:rFonts w:ascii="Arial" w:hAnsi="Arial" w:cs="Arial"/>
        </w:rPr>
      </w:pPr>
    </w:p>
    <w:p w14:paraId="1F6D5B7D" w14:textId="5BA1858A" w:rsidR="004077DD" w:rsidRPr="00B92499" w:rsidRDefault="004077DD" w:rsidP="004077DD">
      <w:pPr>
        <w:spacing w:before="100" w:beforeAutospacing="1" w:after="100" w:afterAutospacing="1" w:line="360" w:lineRule="auto"/>
        <w:jc w:val="both"/>
        <w:rPr>
          <w:rFonts w:ascii="Arial" w:hAnsi="Arial" w:cs="Arial"/>
        </w:rPr>
      </w:pPr>
      <w:r w:rsidRPr="00B92499">
        <w:rPr>
          <w:rFonts w:ascii="Arial" w:hAnsi="Arial" w:cs="Arial"/>
        </w:rPr>
        <w:t xml:space="preserve">Con el objetivo de mostrar </w:t>
      </w:r>
      <w:r w:rsidR="00735992" w:rsidRPr="00B92499">
        <w:rPr>
          <w:rFonts w:ascii="Arial" w:hAnsi="Arial" w:cs="Arial"/>
        </w:rPr>
        <w:t>con mayor detalle el</w:t>
      </w:r>
      <w:r w:rsidRPr="00B92499">
        <w:rPr>
          <w:rFonts w:ascii="Arial" w:hAnsi="Arial" w:cs="Arial"/>
        </w:rPr>
        <w:t xml:space="preserve"> ICP de cada fracción del artículo 121</w:t>
      </w:r>
      <w:r w:rsidR="00490622" w:rsidRPr="00B92499">
        <w:rPr>
          <w:rFonts w:ascii="Arial" w:hAnsi="Arial" w:cs="Arial"/>
        </w:rPr>
        <w:t xml:space="preserve">, </w:t>
      </w:r>
      <w:r w:rsidR="00735992" w:rsidRPr="00B92499">
        <w:rPr>
          <w:rFonts w:ascii="Arial" w:hAnsi="Arial" w:cs="Arial"/>
        </w:rPr>
        <w:t>es presentada</w:t>
      </w:r>
      <w:r w:rsidRPr="00B92499">
        <w:rPr>
          <w:rFonts w:ascii="Arial" w:hAnsi="Arial" w:cs="Arial"/>
        </w:rPr>
        <w:t xml:space="preserve"> la siguiente tabla</w:t>
      </w:r>
      <w:r w:rsidR="00735992" w:rsidRPr="00B92499">
        <w:rPr>
          <w:rFonts w:ascii="Arial" w:hAnsi="Arial" w:cs="Arial"/>
        </w:rPr>
        <w:t xml:space="preserve"> </w:t>
      </w:r>
      <w:r w:rsidRPr="00B92499">
        <w:rPr>
          <w:rFonts w:ascii="Arial" w:hAnsi="Arial" w:cs="Arial"/>
        </w:rPr>
        <w:t>ordenad</w:t>
      </w:r>
      <w:r w:rsidR="00735992" w:rsidRPr="00B92499">
        <w:rPr>
          <w:rFonts w:ascii="Arial" w:hAnsi="Arial" w:cs="Arial"/>
        </w:rPr>
        <w:t xml:space="preserve">a </w:t>
      </w:r>
      <w:r w:rsidRPr="00B92499">
        <w:rPr>
          <w:rFonts w:ascii="Arial" w:hAnsi="Arial" w:cs="Arial"/>
        </w:rPr>
        <w:t>de forma descendent</w:t>
      </w:r>
      <w:r w:rsidR="00735992" w:rsidRPr="00B92499">
        <w:rPr>
          <w:rFonts w:ascii="Arial" w:hAnsi="Arial" w:cs="Arial"/>
        </w:rPr>
        <w:t>e</w:t>
      </w:r>
      <w:r w:rsidRPr="00B92499">
        <w:rPr>
          <w:rFonts w:ascii="Arial" w:hAnsi="Arial" w:cs="Arial"/>
        </w:rPr>
        <w:t xml:space="preserve">. </w:t>
      </w:r>
    </w:p>
    <w:tbl>
      <w:tblPr>
        <w:tblW w:w="8927" w:type="dxa"/>
        <w:tblCellMar>
          <w:left w:w="70" w:type="dxa"/>
          <w:right w:w="70" w:type="dxa"/>
        </w:tblCellMar>
        <w:tblLook w:val="04A0" w:firstRow="1" w:lastRow="0" w:firstColumn="1" w:lastColumn="0" w:noHBand="0" w:noVBand="1"/>
      </w:tblPr>
      <w:tblGrid>
        <w:gridCol w:w="974"/>
        <w:gridCol w:w="7218"/>
        <w:gridCol w:w="735"/>
      </w:tblGrid>
      <w:tr w:rsidR="004077DD" w:rsidRPr="00B92499" w14:paraId="6E947827" w14:textId="77777777" w:rsidTr="004077DD">
        <w:trPr>
          <w:trHeight w:val="20"/>
          <w:tblHeader/>
        </w:trPr>
        <w:tc>
          <w:tcPr>
            <w:tcW w:w="8927" w:type="dxa"/>
            <w:gridSpan w:val="3"/>
            <w:tcBorders>
              <w:top w:val="single" w:sz="4" w:space="0" w:color="auto"/>
              <w:left w:val="single" w:sz="4" w:space="0" w:color="auto"/>
              <w:bottom w:val="single" w:sz="4" w:space="0" w:color="auto"/>
              <w:right w:val="single" w:sz="4" w:space="0" w:color="auto"/>
            </w:tcBorders>
            <w:shd w:val="clear" w:color="auto" w:fill="00B0F0"/>
            <w:noWrap/>
            <w:vAlign w:val="center"/>
            <w:hideMark/>
          </w:tcPr>
          <w:p w14:paraId="415B81EF" w14:textId="4F3BE4C2" w:rsidR="004077DD" w:rsidRPr="00B92499" w:rsidRDefault="004077DD" w:rsidP="00A027DB">
            <w:pPr>
              <w:jc w:val="center"/>
              <w:rPr>
                <w:rFonts w:ascii="Arial" w:hAnsi="Arial" w:cs="Arial"/>
                <w:b/>
                <w:bCs/>
                <w:color w:val="000000"/>
                <w:sz w:val="20"/>
                <w:szCs w:val="20"/>
              </w:rPr>
            </w:pPr>
            <w:r w:rsidRPr="00B92499">
              <w:rPr>
                <w:rFonts w:ascii="Arial" w:hAnsi="Arial" w:cs="Arial"/>
                <w:b/>
                <w:bCs/>
                <w:color w:val="000000"/>
                <w:sz w:val="20"/>
                <w:szCs w:val="20"/>
              </w:rPr>
              <w:t xml:space="preserve">Artículo 121 de las </w:t>
            </w:r>
            <w:r w:rsidR="008710F6" w:rsidRPr="00B92499">
              <w:rPr>
                <w:rFonts w:ascii="Arial" w:hAnsi="Arial" w:cs="Arial"/>
                <w:b/>
                <w:bCs/>
                <w:color w:val="000000"/>
                <w:sz w:val="20"/>
                <w:szCs w:val="20"/>
              </w:rPr>
              <w:t>obligaciones de transparencia</w:t>
            </w:r>
            <w:r w:rsidRPr="00B92499">
              <w:rPr>
                <w:rFonts w:ascii="Arial" w:hAnsi="Arial" w:cs="Arial"/>
                <w:b/>
                <w:bCs/>
                <w:color w:val="000000"/>
                <w:sz w:val="20"/>
                <w:szCs w:val="20"/>
              </w:rPr>
              <w:t xml:space="preserve"> comunes</w:t>
            </w:r>
          </w:p>
        </w:tc>
      </w:tr>
      <w:tr w:rsidR="004077DD" w:rsidRPr="00B92499" w14:paraId="76A4BAFE" w14:textId="77777777" w:rsidTr="004077DD">
        <w:trPr>
          <w:trHeight w:val="20"/>
          <w:tblHeader/>
        </w:trPr>
        <w:tc>
          <w:tcPr>
            <w:tcW w:w="0" w:type="auto"/>
            <w:tcBorders>
              <w:top w:val="nil"/>
              <w:left w:val="single" w:sz="4" w:space="0" w:color="auto"/>
              <w:bottom w:val="single" w:sz="4" w:space="0" w:color="auto"/>
              <w:right w:val="single" w:sz="4" w:space="0" w:color="auto"/>
            </w:tcBorders>
            <w:shd w:val="clear" w:color="auto" w:fill="00B0F0"/>
            <w:noWrap/>
            <w:vAlign w:val="center"/>
            <w:hideMark/>
          </w:tcPr>
          <w:p w14:paraId="50D25133" w14:textId="77777777" w:rsidR="004077DD" w:rsidRPr="00B92499" w:rsidRDefault="004077DD" w:rsidP="00A027DB">
            <w:pPr>
              <w:jc w:val="center"/>
              <w:rPr>
                <w:rFonts w:ascii="Arial" w:hAnsi="Arial" w:cs="Arial"/>
                <w:b/>
                <w:bCs/>
                <w:color w:val="000000"/>
                <w:sz w:val="20"/>
                <w:szCs w:val="20"/>
              </w:rPr>
            </w:pPr>
            <w:r w:rsidRPr="00B92499">
              <w:rPr>
                <w:rFonts w:ascii="Arial" w:hAnsi="Arial" w:cs="Arial"/>
                <w:b/>
                <w:bCs/>
                <w:color w:val="000000"/>
                <w:sz w:val="20"/>
                <w:szCs w:val="20"/>
              </w:rPr>
              <w:t>Fracción</w:t>
            </w:r>
          </w:p>
        </w:tc>
        <w:tc>
          <w:tcPr>
            <w:tcW w:w="0" w:type="auto"/>
            <w:tcBorders>
              <w:top w:val="nil"/>
              <w:left w:val="nil"/>
              <w:bottom w:val="single" w:sz="4" w:space="0" w:color="auto"/>
              <w:right w:val="single" w:sz="4" w:space="0" w:color="auto"/>
            </w:tcBorders>
            <w:shd w:val="clear" w:color="auto" w:fill="00B0F0"/>
            <w:noWrap/>
            <w:vAlign w:val="center"/>
            <w:hideMark/>
          </w:tcPr>
          <w:p w14:paraId="2F81F40F" w14:textId="77777777" w:rsidR="004077DD" w:rsidRPr="00B92499" w:rsidRDefault="004077DD" w:rsidP="00A027DB">
            <w:pPr>
              <w:jc w:val="center"/>
              <w:rPr>
                <w:rFonts w:ascii="Arial" w:hAnsi="Arial" w:cs="Arial"/>
                <w:b/>
                <w:bCs/>
                <w:color w:val="000000"/>
                <w:sz w:val="20"/>
                <w:szCs w:val="20"/>
              </w:rPr>
            </w:pPr>
            <w:r w:rsidRPr="00B92499">
              <w:rPr>
                <w:rFonts w:ascii="Arial" w:hAnsi="Arial" w:cs="Arial"/>
                <w:b/>
                <w:bCs/>
                <w:color w:val="000000"/>
                <w:sz w:val="20"/>
                <w:szCs w:val="20"/>
              </w:rPr>
              <w:t>Resumen de la Fracción</w:t>
            </w:r>
          </w:p>
        </w:tc>
        <w:tc>
          <w:tcPr>
            <w:tcW w:w="823" w:type="dxa"/>
            <w:tcBorders>
              <w:top w:val="nil"/>
              <w:left w:val="nil"/>
              <w:bottom w:val="single" w:sz="4" w:space="0" w:color="auto"/>
              <w:right w:val="single" w:sz="4" w:space="0" w:color="auto"/>
            </w:tcBorders>
            <w:shd w:val="clear" w:color="auto" w:fill="00B0F0"/>
            <w:vAlign w:val="center"/>
            <w:hideMark/>
          </w:tcPr>
          <w:p w14:paraId="277CB7D2" w14:textId="77777777" w:rsidR="004077DD" w:rsidRPr="00B92499" w:rsidRDefault="004077DD" w:rsidP="00A027DB">
            <w:pPr>
              <w:jc w:val="center"/>
              <w:rPr>
                <w:rFonts w:ascii="Arial" w:hAnsi="Arial" w:cs="Arial"/>
                <w:b/>
                <w:bCs/>
                <w:color w:val="000000"/>
                <w:sz w:val="20"/>
                <w:szCs w:val="20"/>
              </w:rPr>
            </w:pPr>
            <w:r w:rsidRPr="00B92499">
              <w:rPr>
                <w:rFonts w:ascii="Arial" w:hAnsi="Arial" w:cs="Arial"/>
                <w:b/>
                <w:bCs/>
                <w:color w:val="000000"/>
                <w:sz w:val="20"/>
                <w:szCs w:val="20"/>
              </w:rPr>
              <w:t>ICP</w:t>
            </w:r>
          </w:p>
        </w:tc>
      </w:tr>
      <w:tr w:rsidR="004077DD" w:rsidRPr="00B92499" w14:paraId="53FC7657" w14:textId="77777777" w:rsidTr="004077DD">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8A69BF5" w14:textId="77777777" w:rsidR="004077DD" w:rsidRPr="00B92499" w:rsidRDefault="004077DD">
            <w:pPr>
              <w:jc w:val="center"/>
              <w:rPr>
                <w:rFonts w:ascii="Arial" w:hAnsi="Arial" w:cs="Arial"/>
                <w:color w:val="000000"/>
                <w:sz w:val="20"/>
                <w:szCs w:val="20"/>
              </w:rPr>
            </w:pPr>
            <w:r w:rsidRPr="00B92499">
              <w:rPr>
                <w:rFonts w:ascii="Arial" w:hAnsi="Arial" w:cs="Arial"/>
                <w:color w:val="000000"/>
                <w:sz w:val="20"/>
                <w:szCs w:val="20"/>
              </w:rPr>
              <w:t>II</w:t>
            </w:r>
          </w:p>
        </w:tc>
        <w:tc>
          <w:tcPr>
            <w:tcW w:w="0" w:type="auto"/>
            <w:tcBorders>
              <w:top w:val="nil"/>
              <w:left w:val="nil"/>
              <w:bottom w:val="single" w:sz="4" w:space="0" w:color="auto"/>
              <w:right w:val="single" w:sz="4" w:space="0" w:color="auto"/>
            </w:tcBorders>
            <w:shd w:val="clear" w:color="auto" w:fill="auto"/>
            <w:vAlign w:val="center"/>
            <w:hideMark/>
          </w:tcPr>
          <w:p w14:paraId="1AB9DF3F" w14:textId="77777777" w:rsidR="004077DD" w:rsidRPr="00B92499" w:rsidRDefault="004077DD">
            <w:pPr>
              <w:rPr>
                <w:rFonts w:ascii="Arial" w:hAnsi="Arial" w:cs="Arial"/>
                <w:color w:val="000000"/>
                <w:sz w:val="20"/>
                <w:szCs w:val="20"/>
              </w:rPr>
            </w:pPr>
            <w:r w:rsidRPr="00B92499">
              <w:rPr>
                <w:rFonts w:ascii="Arial" w:hAnsi="Arial" w:cs="Arial"/>
                <w:color w:val="000000"/>
                <w:sz w:val="20"/>
                <w:szCs w:val="20"/>
              </w:rPr>
              <w:t>Estructura orgánica.</w:t>
            </w:r>
          </w:p>
        </w:tc>
        <w:tc>
          <w:tcPr>
            <w:tcW w:w="823" w:type="dxa"/>
            <w:tcBorders>
              <w:top w:val="nil"/>
              <w:left w:val="nil"/>
              <w:bottom w:val="single" w:sz="4" w:space="0" w:color="auto"/>
              <w:right w:val="single" w:sz="4" w:space="0" w:color="auto"/>
            </w:tcBorders>
            <w:shd w:val="clear" w:color="auto" w:fill="auto"/>
            <w:vAlign w:val="center"/>
            <w:hideMark/>
          </w:tcPr>
          <w:p w14:paraId="67B6342C" w14:textId="4B1B4518" w:rsidR="004077DD" w:rsidRPr="00B92499" w:rsidRDefault="004077DD" w:rsidP="00E06A3C">
            <w:pPr>
              <w:jc w:val="center"/>
              <w:rPr>
                <w:rFonts w:ascii="Arial" w:hAnsi="Arial" w:cs="Arial"/>
                <w:color w:val="000000"/>
                <w:sz w:val="20"/>
                <w:szCs w:val="20"/>
              </w:rPr>
            </w:pPr>
            <w:r w:rsidRPr="00B92499">
              <w:rPr>
                <w:rFonts w:ascii="Arial" w:hAnsi="Arial" w:cs="Arial"/>
                <w:color w:val="000000"/>
                <w:sz w:val="20"/>
                <w:szCs w:val="20"/>
              </w:rPr>
              <w:t>100</w:t>
            </w:r>
          </w:p>
        </w:tc>
      </w:tr>
      <w:tr w:rsidR="004077DD" w:rsidRPr="00B92499" w14:paraId="606B631A" w14:textId="77777777" w:rsidTr="004077DD">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754D933" w14:textId="77777777" w:rsidR="004077DD" w:rsidRPr="00B92499" w:rsidRDefault="004077DD">
            <w:pPr>
              <w:jc w:val="center"/>
              <w:rPr>
                <w:rFonts w:ascii="Arial" w:hAnsi="Arial" w:cs="Arial"/>
                <w:color w:val="000000"/>
                <w:sz w:val="20"/>
                <w:szCs w:val="20"/>
              </w:rPr>
            </w:pPr>
            <w:r w:rsidRPr="00B92499">
              <w:rPr>
                <w:rFonts w:ascii="Arial" w:hAnsi="Arial" w:cs="Arial"/>
                <w:color w:val="000000"/>
                <w:sz w:val="20"/>
                <w:szCs w:val="20"/>
              </w:rPr>
              <w:t>III</w:t>
            </w:r>
          </w:p>
        </w:tc>
        <w:tc>
          <w:tcPr>
            <w:tcW w:w="0" w:type="auto"/>
            <w:tcBorders>
              <w:top w:val="nil"/>
              <w:left w:val="nil"/>
              <w:bottom w:val="single" w:sz="4" w:space="0" w:color="auto"/>
              <w:right w:val="single" w:sz="4" w:space="0" w:color="auto"/>
            </w:tcBorders>
            <w:shd w:val="clear" w:color="auto" w:fill="auto"/>
            <w:vAlign w:val="center"/>
            <w:hideMark/>
          </w:tcPr>
          <w:p w14:paraId="2D1D3B17" w14:textId="77777777" w:rsidR="004077DD" w:rsidRPr="00B92499" w:rsidRDefault="004077DD">
            <w:pPr>
              <w:rPr>
                <w:rFonts w:ascii="Arial" w:hAnsi="Arial" w:cs="Arial"/>
                <w:color w:val="000000"/>
                <w:sz w:val="20"/>
                <w:szCs w:val="20"/>
              </w:rPr>
            </w:pPr>
            <w:r w:rsidRPr="00B92499">
              <w:rPr>
                <w:rFonts w:ascii="Arial" w:hAnsi="Arial" w:cs="Arial"/>
                <w:color w:val="000000"/>
                <w:sz w:val="20"/>
                <w:szCs w:val="20"/>
              </w:rPr>
              <w:t>Facultades de cada área (dirección).</w:t>
            </w:r>
          </w:p>
        </w:tc>
        <w:tc>
          <w:tcPr>
            <w:tcW w:w="823" w:type="dxa"/>
            <w:tcBorders>
              <w:top w:val="nil"/>
              <w:left w:val="nil"/>
              <w:bottom w:val="single" w:sz="4" w:space="0" w:color="auto"/>
              <w:right w:val="single" w:sz="4" w:space="0" w:color="auto"/>
            </w:tcBorders>
            <w:shd w:val="clear" w:color="auto" w:fill="auto"/>
            <w:vAlign w:val="center"/>
            <w:hideMark/>
          </w:tcPr>
          <w:p w14:paraId="5570B8B9" w14:textId="74430B74" w:rsidR="004077DD" w:rsidRPr="00B92499" w:rsidRDefault="004077DD" w:rsidP="00E06A3C">
            <w:pPr>
              <w:jc w:val="center"/>
              <w:rPr>
                <w:rFonts w:ascii="Arial" w:hAnsi="Arial" w:cs="Arial"/>
                <w:color w:val="000000"/>
                <w:sz w:val="20"/>
                <w:szCs w:val="20"/>
              </w:rPr>
            </w:pPr>
            <w:r w:rsidRPr="00B92499">
              <w:rPr>
                <w:rFonts w:ascii="Arial" w:hAnsi="Arial" w:cs="Arial"/>
                <w:color w:val="000000"/>
                <w:sz w:val="20"/>
                <w:szCs w:val="20"/>
              </w:rPr>
              <w:t>100</w:t>
            </w:r>
          </w:p>
        </w:tc>
      </w:tr>
      <w:tr w:rsidR="004077DD" w:rsidRPr="00B92499" w14:paraId="58FF5A61" w14:textId="77777777" w:rsidTr="004077DD">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2C5CABE" w14:textId="77777777" w:rsidR="004077DD" w:rsidRPr="00B92499" w:rsidRDefault="004077DD">
            <w:pPr>
              <w:jc w:val="center"/>
              <w:rPr>
                <w:rFonts w:ascii="Arial" w:hAnsi="Arial" w:cs="Arial"/>
                <w:color w:val="000000"/>
                <w:sz w:val="20"/>
                <w:szCs w:val="20"/>
              </w:rPr>
            </w:pPr>
            <w:r w:rsidRPr="00B92499">
              <w:rPr>
                <w:rFonts w:ascii="Arial" w:hAnsi="Arial" w:cs="Arial"/>
                <w:color w:val="000000"/>
                <w:sz w:val="20"/>
                <w:szCs w:val="20"/>
              </w:rPr>
              <w:t>XIV</w:t>
            </w:r>
          </w:p>
        </w:tc>
        <w:tc>
          <w:tcPr>
            <w:tcW w:w="0" w:type="auto"/>
            <w:tcBorders>
              <w:top w:val="nil"/>
              <w:left w:val="nil"/>
              <w:bottom w:val="single" w:sz="4" w:space="0" w:color="auto"/>
              <w:right w:val="single" w:sz="4" w:space="0" w:color="auto"/>
            </w:tcBorders>
            <w:shd w:val="clear" w:color="auto" w:fill="auto"/>
            <w:vAlign w:val="center"/>
            <w:hideMark/>
          </w:tcPr>
          <w:p w14:paraId="48FF9CE3" w14:textId="77777777" w:rsidR="004077DD" w:rsidRPr="00B92499" w:rsidRDefault="004077DD">
            <w:pPr>
              <w:rPr>
                <w:rFonts w:ascii="Arial" w:hAnsi="Arial" w:cs="Arial"/>
                <w:color w:val="000000"/>
                <w:sz w:val="20"/>
                <w:szCs w:val="20"/>
              </w:rPr>
            </w:pPr>
            <w:r w:rsidRPr="00B92499">
              <w:rPr>
                <w:rFonts w:ascii="Arial" w:hAnsi="Arial" w:cs="Arial"/>
                <w:color w:val="000000"/>
                <w:sz w:val="20"/>
                <w:szCs w:val="20"/>
              </w:rPr>
              <w:t>Domicilio de la Unidad de Transparencia.</w:t>
            </w:r>
          </w:p>
        </w:tc>
        <w:tc>
          <w:tcPr>
            <w:tcW w:w="823" w:type="dxa"/>
            <w:tcBorders>
              <w:top w:val="nil"/>
              <w:left w:val="nil"/>
              <w:bottom w:val="single" w:sz="4" w:space="0" w:color="auto"/>
              <w:right w:val="single" w:sz="4" w:space="0" w:color="auto"/>
            </w:tcBorders>
            <w:shd w:val="clear" w:color="auto" w:fill="auto"/>
            <w:vAlign w:val="center"/>
            <w:hideMark/>
          </w:tcPr>
          <w:p w14:paraId="11327D58" w14:textId="2FA8A808" w:rsidR="004077DD" w:rsidRPr="00B92499" w:rsidRDefault="004077DD" w:rsidP="00E06A3C">
            <w:pPr>
              <w:jc w:val="center"/>
              <w:rPr>
                <w:rFonts w:ascii="Arial" w:hAnsi="Arial" w:cs="Arial"/>
                <w:color w:val="000000"/>
                <w:sz w:val="20"/>
                <w:szCs w:val="20"/>
              </w:rPr>
            </w:pPr>
            <w:r w:rsidRPr="00B92499">
              <w:rPr>
                <w:rFonts w:ascii="Arial" w:hAnsi="Arial" w:cs="Arial"/>
                <w:color w:val="000000"/>
                <w:sz w:val="20"/>
                <w:szCs w:val="20"/>
              </w:rPr>
              <w:t>100</w:t>
            </w:r>
          </w:p>
        </w:tc>
      </w:tr>
      <w:tr w:rsidR="004077DD" w:rsidRPr="00B92499" w14:paraId="48A01067" w14:textId="77777777" w:rsidTr="004077DD">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73B2B08" w14:textId="77777777" w:rsidR="004077DD" w:rsidRPr="00B92499" w:rsidRDefault="004077DD">
            <w:pPr>
              <w:jc w:val="center"/>
              <w:rPr>
                <w:rFonts w:ascii="Arial" w:hAnsi="Arial" w:cs="Arial"/>
                <w:color w:val="000000"/>
                <w:sz w:val="20"/>
                <w:szCs w:val="20"/>
              </w:rPr>
            </w:pPr>
            <w:r w:rsidRPr="00B92499">
              <w:rPr>
                <w:rFonts w:ascii="Arial" w:hAnsi="Arial" w:cs="Arial"/>
                <w:color w:val="000000"/>
                <w:sz w:val="20"/>
                <w:szCs w:val="20"/>
              </w:rPr>
              <w:t>XX</w:t>
            </w:r>
          </w:p>
        </w:tc>
        <w:tc>
          <w:tcPr>
            <w:tcW w:w="0" w:type="auto"/>
            <w:tcBorders>
              <w:top w:val="nil"/>
              <w:left w:val="nil"/>
              <w:bottom w:val="single" w:sz="4" w:space="0" w:color="auto"/>
              <w:right w:val="single" w:sz="4" w:space="0" w:color="auto"/>
            </w:tcBorders>
            <w:shd w:val="clear" w:color="auto" w:fill="auto"/>
            <w:vAlign w:val="center"/>
            <w:hideMark/>
          </w:tcPr>
          <w:p w14:paraId="13EEAC0C" w14:textId="77777777" w:rsidR="004077DD" w:rsidRPr="00B92499" w:rsidRDefault="004077DD">
            <w:pPr>
              <w:rPr>
                <w:rFonts w:ascii="Arial" w:hAnsi="Arial" w:cs="Arial"/>
                <w:color w:val="000000"/>
                <w:sz w:val="20"/>
                <w:szCs w:val="20"/>
              </w:rPr>
            </w:pPr>
            <w:r w:rsidRPr="00B92499">
              <w:rPr>
                <w:rFonts w:ascii="Arial" w:hAnsi="Arial" w:cs="Arial"/>
                <w:color w:val="000000"/>
                <w:sz w:val="20"/>
                <w:szCs w:val="20"/>
              </w:rPr>
              <w:t>Trámites que ofrecen y requisitos.</w:t>
            </w:r>
          </w:p>
        </w:tc>
        <w:tc>
          <w:tcPr>
            <w:tcW w:w="823" w:type="dxa"/>
            <w:tcBorders>
              <w:top w:val="nil"/>
              <w:left w:val="nil"/>
              <w:bottom w:val="single" w:sz="4" w:space="0" w:color="auto"/>
              <w:right w:val="single" w:sz="4" w:space="0" w:color="auto"/>
            </w:tcBorders>
            <w:shd w:val="clear" w:color="auto" w:fill="auto"/>
            <w:vAlign w:val="center"/>
            <w:hideMark/>
          </w:tcPr>
          <w:p w14:paraId="464B0F8B" w14:textId="46B883E4" w:rsidR="004077DD" w:rsidRPr="00B92499" w:rsidRDefault="004077DD" w:rsidP="00E06A3C">
            <w:pPr>
              <w:jc w:val="center"/>
              <w:rPr>
                <w:rFonts w:ascii="Arial" w:hAnsi="Arial" w:cs="Arial"/>
                <w:color w:val="000000"/>
                <w:sz w:val="20"/>
                <w:szCs w:val="20"/>
              </w:rPr>
            </w:pPr>
            <w:r w:rsidRPr="00B92499">
              <w:rPr>
                <w:rFonts w:ascii="Arial" w:hAnsi="Arial" w:cs="Arial"/>
                <w:color w:val="000000"/>
                <w:sz w:val="20"/>
                <w:szCs w:val="20"/>
              </w:rPr>
              <w:t>100</w:t>
            </w:r>
          </w:p>
        </w:tc>
      </w:tr>
      <w:tr w:rsidR="004077DD" w:rsidRPr="00B92499" w14:paraId="643AFE84" w14:textId="77777777" w:rsidTr="004077DD">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FA20F24" w14:textId="77777777" w:rsidR="004077DD" w:rsidRPr="00B92499" w:rsidRDefault="004077DD">
            <w:pPr>
              <w:jc w:val="center"/>
              <w:rPr>
                <w:rFonts w:ascii="Arial" w:hAnsi="Arial" w:cs="Arial"/>
                <w:color w:val="000000"/>
                <w:sz w:val="20"/>
                <w:szCs w:val="20"/>
              </w:rPr>
            </w:pPr>
            <w:r w:rsidRPr="00B92499">
              <w:rPr>
                <w:rFonts w:ascii="Arial" w:hAnsi="Arial" w:cs="Arial"/>
                <w:color w:val="000000"/>
                <w:sz w:val="20"/>
                <w:szCs w:val="20"/>
              </w:rPr>
              <w:t>XXVI</w:t>
            </w:r>
          </w:p>
        </w:tc>
        <w:tc>
          <w:tcPr>
            <w:tcW w:w="0" w:type="auto"/>
            <w:tcBorders>
              <w:top w:val="nil"/>
              <w:left w:val="nil"/>
              <w:bottom w:val="single" w:sz="4" w:space="0" w:color="auto"/>
              <w:right w:val="single" w:sz="4" w:space="0" w:color="auto"/>
            </w:tcBorders>
            <w:shd w:val="clear" w:color="auto" w:fill="auto"/>
            <w:vAlign w:val="center"/>
            <w:hideMark/>
          </w:tcPr>
          <w:p w14:paraId="472BBC1B" w14:textId="77777777" w:rsidR="004077DD" w:rsidRPr="00B92499" w:rsidRDefault="004077DD">
            <w:pPr>
              <w:rPr>
                <w:rFonts w:ascii="Arial" w:hAnsi="Arial" w:cs="Arial"/>
                <w:color w:val="000000"/>
                <w:sz w:val="20"/>
                <w:szCs w:val="20"/>
              </w:rPr>
            </w:pPr>
            <w:r w:rsidRPr="00B92499">
              <w:rPr>
                <w:rFonts w:ascii="Arial" w:hAnsi="Arial" w:cs="Arial"/>
                <w:color w:val="000000"/>
                <w:sz w:val="20"/>
                <w:szCs w:val="20"/>
              </w:rPr>
              <w:t>Informes de resultados de auditorias.</w:t>
            </w:r>
          </w:p>
        </w:tc>
        <w:tc>
          <w:tcPr>
            <w:tcW w:w="823" w:type="dxa"/>
            <w:tcBorders>
              <w:top w:val="nil"/>
              <w:left w:val="nil"/>
              <w:bottom w:val="single" w:sz="4" w:space="0" w:color="auto"/>
              <w:right w:val="single" w:sz="4" w:space="0" w:color="auto"/>
            </w:tcBorders>
            <w:shd w:val="clear" w:color="auto" w:fill="auto"/>
            <w:vAlign w:val="center"/>
            <w:hideMark/>
          </w:tcPr>
          <w:p w14:paraId="73DC4474" w14:textId="4C67D739" w:rsidR="004077DD" w:rsidRPr="00B92499" w:rsidRDefault="004077DD" w:rsidP="00E06A3C">
            <w:pPr>
              <w:jc w:val="center"/>
              <w:rPr>
                <w:rFonts w:ascii="Arial" w:hAnsi="Arial" w:cs="Arial"/>
                <w:color w:val="000000"/>
                <w:sz w:val="20"/>
                <w:szCs w:val="20"/>
              </w:rPr>
            </w:pPr>
            <w:r w:rsidRPr="00B92499">
              <w:rPr>
                <w:rFonts w:ascii="Arial" w:hAnsi="Arial" w:cs="Arial"/>
                <w:color w:val="000000"/>
                <w:sz w:val="20"/>
                <w:szCs w:val="20"/>
              </w:rPr>
              <w:t>100</w:t>
            </w:r>
          </w:p>
        </w:tc>
      </w:tr>
      <w:tr w:rsidR="004077DD" w:rsidRPr="00B92499" w14:paraId="390FBD68" w14:textId="77777777" w:rsidTr="004077DD">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642E8D7" w14:textId="77777777" w:rsidR="004077DD" w:rsidRPr="00B92499" w:rsidRDefault="004077DD">
            <w:pPr>
              <w:jc w:val="center"/>
              <w:rPr>
                <w:rFonts w:ascii="Arial" w:hAnsi="Arial" w:cs="Arial"/>
                <w:color w:val="000000"/>
                <w:sz w:val="20"/>
                <w:szCs w:val="20"/>
              </w:rPr>
            </w:pPr>
            <w:r w:rsidRPr="00B92499">
              <w:rPr>
                <w:rFonts w:ascii="Arial" w:hAnsi="Arial" w:cs="Arial"/>
                <w:color w:val="000000"/>
                <w:sz w:val="20"/>
                <w:szCs w:val="20"/>
              </w:rPr>
              <w:t>XXIX</w:t>
            </w:r>
          </w:p>
        </w:tc>
        <w:tc>
          <w:tcPr>
            <w:tcW w:w="0" w:type="auto"/>
            <w:tcBorders>
              <w:top w:val="nil"/>
              <w:left w:val="nil"/>
              <w:bottom w:val="single" w:sz="4" w:space="0" w:color="auto"/>
              <w:right w:val="single" w:sz="4" w:space="0" w:color="auto"/>
            </w:tcBorders>
            <w:shd w:val="clear" w:color="auto" w:fill="auto"/>
            <w:vAlign w:val="center"/>
            <w:hideMark/>
          </w:tcPr>
          <w:p w14:paraId="0FEB669C" w14:textId="77777777" w:rsidR="004077DD" w:rsidRPr="00B92499" w:rsidRDefault="004077DD">
            <w:pPr>
              <w:rPr>
                <w:rFonts w:ascii="Arial" w:hAnsi="Arial" w:cs="Arial"/>
                <w:color w:val="000000"/>
                <w:sz w:val="20"/>
                <w:szCs w:val="20"/>
              </w:rPr>
            </w:pPr>
            <w:r w:rsidRPr="00B92499">
              <w:rPr>
                <w:rFonts w:ascii="Arial" w:hAnsi="Arial" w:cs="Arial"/>
                <w:color w:val="000000"/>
                <w:sz w:val="20"/>
                <w:szCs w:val="20"/>
              </w:rPr>
              <w:t>Concesiones, contratos, convenios, permisos, licencias o autorizaciones otorgados.</w:t>
            </w:r>
          </w:p>
        </w:tc>
        <w:tc>
          <w:tcPr>
            <w:tcW w:w="823" w:type="dxa"/>
            <w:tcBorders>
              <w:top w:val="nil"/>
              <w:left w:val="nil"/>
              <w:bottom w:val="single" w:sz="4" w:space="0" w:color="auto"/>
              <w:right w:val="single" w:sz="4" w:space="0" w:color="auto"/>
            </w:tcBorders>
            <w:shd w:val="clear" w:color="auto" w:fill="auto"/>
            <w:vAlign w:val="center"/>
            <w:hideMark/>
          </w:tcPr>
          <w:p w14:paraId="54CC34BB" w14:textId="325044B0" w:rsidR="004077DD" w:rsidRPr="00B92499" w:rsidRDefault="004077DD" w:rsidP="00E06A3C">
            <w:pPr>
              <w:jc w:val="center"/>
              <w:rPr>
                <w:rFonts w:ascii="Arial" w:hAnsi="Arial" w:cs="Arial"/>
                <w:color w:val="000000"/>
                <w:sz w:val="20"/>
                <w:szCs w:val="20"/>
              </w:rPr>
            </w:pPr>
            <w:r w:rsidRPr="00B92499">
              <w:rPr>
                <w:rFonts w:ascii="Arial" w:hAnsi="Arial" w:cs="Arial"/>
                <w:color w:val="000000"/>
                <w:sz w:val="20"/>
                <w:szCs w:val="20"/>
              </w:rPr>
              <w:t>100</w:t>
            </w:r>
          </w:p>
        </w:tc>
      </w:tr>
      <w:tr w:rsidR="004077DD" w:rsidRPr="00B92499" w14:paraId="46504AFB" w14:textId="77777777" w:rsidTr="004077DD">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BE1FF99" w14:textId="77777777" w:rsidR="004077DD" w:rsidRPr="00B92499" w:rsidRDefault="004077DD">
            <w:pPr>
              <w:jc w:val="center"/>
              <w:rPr>
                <w:rFonts w:ascii="Arial" w:hAnsi="Arial" w:cs="Arial"/>
                <w:color w:val="000000"/>
                <w:sz w:val="20"/>
                <w:szCs w:val="20"/>
              </w:rPr>
            </w:pPr>
            <w:r w:rsidRPr="00B92499">
              <w:rPr>
                <w:rFonts w:ascii="Arial" w:hAnsi="Arial" w:cs="Arial"/>
                <w:color w:val="000000"/>
                <w:sz w:val="20"/>
                <w:szCs w:val="20"/>
              </w:rPr>
              <w:t>XXXI</w:t>
            </w:r>
          </w:p>
        </w:tc>
        <w:tc>
          <w:tcPr>
            <w:tcW w:w="0" w:type="auto"/>
            <w:tcBorders>
              <w:top w:val="nil"/>
              <w:left w:val="nil"/>
              <w:bottom w:val="single" w:sz="4" w:space="0" w:color="auto"/>
              <w:right w:val="single" w:sz="4" w:space="0" w:color="auto"/>
            </w:tcBorders>
            <w:shd w:val="clear" w:color="auto" w:fill="auto"/>
            <w:vAlign w:val="center"/>
            <w:hideMark/>
          </w:tcPr>
          <w:p w14:paraId="181748A2" w14:textId="559C4281" w:rsidR="004077DD" w:rsidRPr="00B92499" w:rsidRDefault="004077DD">
            <w:pPr>
              <w:rPr>
                <w:rFonts w:ascii="Arial" w:hAnsi="Arial" w:cs="Arial"/>
                <w:color w:val="000000"/>
                <w:sz w:val="20"/>
                <w:szCs w:val="20"/>
              </w:rPr>
            </w:pPr>
            <w:r w:rsidRPr="00B92499">
              <w:rPr>
                <w:rFonts w:ascii="Arial" w:hAnsi="Arial" w:cs="Arial"/>
                <w:color w:val="000000"/>
                <w:sz w:val="20"/>
                <w:szCs w:val="20"/>
              </w:rPr>
              <w:t>Informes que debe</w:t>
            </w:r>
            <w:r w:rsidR="00327FB1" w:rsidRPr="00B92499">
              <w:rPr>
                <w:rFonts w:ascii="Arial" w:hAnsi="Arial" w:cs="Arial"/>
                <w:color w:val="000000"/>
                <w:sz w:val="20"/>
                <w:szCs w:val="20"/>
              </w:rPr>
              <w:t xml:space="preserve"> </w:t>
            </w:r>
            <w:r w:rsidRPr="00B92499">
              <w:rPr>
                <w:rFonts w:ascii="Arial" w:hAnsi="Arial" w:cs="Arial"/>
                <w:color w:val="000000"/>
                <w:sz w:val="20"/>
                <w:szCs w:val="20"/>
              </w:rPr>
              <w:t xml:space="preserve">rendir el </w:t>
            </w:r>
            <w:r w:rsidR="008710F6" w:rsidRPr="00B92499">
              <w:rPr>
                <w:rFonts w:ascii="Arial" w:hAnsi="Arial" w:cs="Arial"/>
                <w:color w:val="000000"/>
                <w:sz w:val="20"/>
                <w:szCs w:val="20"/>
              </w:rPr>
              <w:t>sujeto obligado</w:t>
            </w:r>
            <w:r w:rsidRPr="00B92499">
              <w:rPr>
                <w:rFonts w:ascii="Arial" w:hAnsi="Arial" w:cs="Arial"/>
                <w:color w:val="000000"/>
                <w:sz w:val="20"/>
                <w:szCs w:val="20"/>
              </w:rPr>
              <w:t xml:space="preserve">. </w:t>
            </w:r>
          </w:p>
        </w:tc>
        <w:tc>
          <w:tcPr>
            <w:tcW w:w="823" w:type="dxa"/>
            <w:tcBorders>
              <w:top w:val="nil"/>
              <w:left w:val="nil"/>
              <w:bottom w:val="single" w:sz="4" w:space="0" w:color="auto"/>
              <w:right w:val="single" w:sz="4" w:space="0" w:color="auto"/>
            </w:tcBorders>
            <w:shd w:val="clear" w:color="auto" w:fill="auto"/>
            <w:vAlign w:val="center"/>
            <w:hideMark/>
          </w:tcPr>
          <w:p w14:paraId="504A1D3B" w14:textId="5B06E371" w:rsidR="004077DD" w:rsidRPr="00B92499" w:rsidRDefault="004077DD" w:rsidP="00E06A3C">
            <w:pPr>
              <w:jc w:val="center"/>
              <w:rPr>
                <w:rFonts w:ascii="Arial" w:hAnsi="Arial" w:cs="Arial"/>
                <w:color w:val="000000"/>
                <w:sz w:val="20"/>
                <w:szCs w:val="20"/>
              </w:rPr>
            </w:pPr>
            <w:r w:rsidRPr="00B92499">
              <w:rPr>
                <w:rFonts w:ascii="Arial" w:hAnsi="Arial" w:cs="Arial"/>
                <w:color w:val="000000"/>
                <w:sz w:val="20"/>
                <w:szCs w:val="20"/>
              </w:rPr>
              <w:t>100</w:t>
            </w:r>
          </w:p>
        </w:tc>
      </w:tr>
      <w:tr w:rsidR="004077DD" w:rsidRPr="00B92499" w14:paraId="1121A723" w14:textId="77777777" w:rsidTr="004077DD">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1596444" w14:textId="77777777" w:rsidR="004077DD" w:rsidRPr="00B92499" w:rsidRDefault="004077DD">
            <w:pPr>
              <w:jc w:val="center"/>
              <w:rPr>
                <w:rFonts w:ascii="Arial" w:hAnsi="Arial" w:cs="Arial"/>
                <w:color w:val="000000"/>
                <w:sz w:val="20"/>
                <w:szCs w:val="20"/>
              </w:rPr>
            </w:pPr>
            <w:r w:rsidRPr="00B92499">
              <w:rPr>
                <w:rFonts w:ascii="Arial" w:hAnsi="Arial" w:cs="Arial"/>
                <w:color w:val="000000"/>
                <w:sz w:val="20"/>
                <w:szCs w:val="20"/>
              </w:rPr>
              <w:t>XXXII</w:t>
            </w:r>
          </w:p>
        </w:tc>
        <w:tc>
          <w:tcPr>
            <w:tcW w:w="0" w:type="auto"/>
            <w:tcBorders>
              <w:top w:val="nil"/>
              <w:left w:val="nil"/>
              <w:bottom w:val="single" w:sz="4" w:space="0" w:color="auto"/>
              <w:right w:val="single" w:sz="4" w:space="0" w:color="auto"/>
            </w:tcBorders>
            <w:shd w:val="clear" w:color="auto" w:fill="auto"/>
            <w:vAlign w:val="center"/>
            <w:hideMark/>
          </w:tcPr>
          <w:p w14:paraId="2D683974" w14:textId="77777777" w:rsidR="004077DD" w:rsidRPr="00B92499" w:rsidRDefault="004077DD">
            <w:pPr>
              <w:rPr>
                <w:rFonts w:ascii="Arial" w:hAnsi="Arial" w:cs="Arial"/>
                <w:color w:val="000000"/>
                <w:sz w:val="20"/>
                <w:szCs w:val="20"/>
              </w:rPr>
            </w:pPr>
            <w:r w:rsidRPr="00B92499">
              <w:rPr>
                <w:rFonts w:ascii="Arial" w:hAnsi="Arial" w:cs="Arial"/>
                <w:color w:val="000000"/>
                <w:sz w:val="20"/>
                <w:szCs w:val="20"/>
              </w:rPr>
              <w:t>Estadísticas que generen.</w:t>
            </w:r>
          </w:p>
        </w:tc>
        <w:tc>
          <w:tcPr>
            <w:tcW w:w="823" w:type="dxa"/>
            <w:tcBorders>
              <w:top w:val="nil"/>
              <w:left w:val="nil"/>
              <w:bottom w:val="single" w:sz="4" w:space="0" w:color="auto"/>
              <w:right w:val="single" w:sz="4" w:space="0" w:color="auto"/>
            </w:tcBorders>
            <w:shd w:val="clear" w:color="auto" w:fill="auto"/>
            <w:vAlign w:val="center"/>
            <w:hideMark/>
          </w:tcPr>
          <w:p w14:paraId="1270EC30" w14:textId="6FF31203" w:rsidR="004077DD" w:rsidRPr="00B92499" w:rsidRDefault="004077DD" w:rsidP="00E06A3C">
            <w:pPr>
              <w:jc w:val="center"/>
              <w:rPr>
                <w:rFonts w:ascii="Arial" w:hAnsi="Arial" w:cs="Arial"/>
                <w:color w:val="000000"/>
                <w:sz w:val="20"/>
                <w:szCs w:val="20"/>
              </w:rPr>
            </w:pPr>
            <w:r w:rsidRPr="00B92499">
              <w:rPr>
                <w:rFonts w:ascii="Arial" w:hAnsi="Arial" w:cs="Arial"/>
                <w:color w:val="000000"/>
                <w:sz w:val="20"/>
                <w:szCs w:val="20"/>
              </w:rPr>
              <w:t>100</w:t>
            </w:r>
          </w:p>
        </w:tc>
      </w:tr>
      <w:tr w:rsidR="004077DD" w:rsidRPr="00B92499" w14:paraId="4CECA770" w14:textId="77777777" w:rsidTr="004077DD">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31597F2" w14:textId="77777777" w:rsidR="004077DD" w:rsidRPr="00B92499" w:rsidRDefault="004077DD">
            <w:pPr>
              <w:jc w:val="center"/>
              <w:rPr>
                <w:rFonts w:ascii="Arial" w:hAnsi="Arial" w:cs="Arial"/>
                <w:color w:val="000000"/>
                <w:sz w:val="20"/>
                <w:szCs w:val="20"/>
              </w:rPr>
            </w:pPr>
            <w:r w:rsidRPr="00B92499">
              <w:rPr>
                <w:rFonts w:ascii="Arial" w:hAnsi="Arial" w:cs="Arial"/>
                <w:color w:val="000000"/>
                <w:sz w:val="20"/>
                <w:szCs w:val="20"/>
              </w:rPr>
              <w:t>XLIV</w:t>
            </w:r>
          </w:p>
        </w:tc>
        <w:tc>
          <w:tcPr>
            <w:tcW w:w="0" w:type="auto"/>
            <w:tcBorders>
              <w:top w:val="nil"/>
              <w:left w:val="nil"/>
              <w:bottom w:val="single" w:sz="4" w:space="0" w:color="auto"/>
              <w:right w:val="single" w:sz="4" w:space="0" w:color="auto"/>
            </w:tcBorders>
            <w:shd w:val="clear" w:color="auto" w:fill="auto"/>
            <w:vAlign w:val="center"/>
            <w:hideMark/>
          </w:tcPr>
          <w:p w14:paraId="7E72FB86" w14:textId="77777777" w:rsidR="004077DD" w:rsidRPr="00B92499" w:rsidRDefault="004077DD">
            <w:pPr>
              <w:rPr>
                <w:rFonts w:ascii="Arial" w:hAnsi="Arial" w:cs="Arial"/>
                <w:color w:val="000000"/>
                <w:sz w:val="20"/>
                <w:szCs w:val="20"/>
              </w:rPr>
            </w:pPr>
            <w:r w:rsidRPr="00B92499">
              <w:rPr>
                <w:rFonts w:ascii="Arial" w:hAnsi="Arial" w:cs="Arial"/>
                <w:color w:val="000000"/>
                <w:sz w:val="20"/>
                <w:szCs w:val="20"/>
              </w:rPr>
              <w:t xml:space="preserve">Evaluaciones y encuestas a programas financiados con recursos públicos. </w:t>
            </w:r>
          </w:p>
        </w:tc>
        <w:tc>
          <w:tcPr>
            <w:tcW w:w="823" w:type="dxa"/>
            <w:tcBorders>
              <w:top w:val="nil"/>
              <w:left w:val="nil"/>
              <w:bottom w:val="single" w:sz="4" w:space="0" w:color="auto"/>
              <w:right w:val="single" w:sz="4" w:space="0" w:color="auto"/>
            </w:tcBorders>
            <w:shd w:val="clear" w:color="auto" w:fill="auto"/>
            <w:vAlign w:val="center"/>
            <w:hideMark/>
          </w:tcPr>
          <w:p w14:paraId="1C283101" w14:textId="0AB57FC3" w:rsidR="004077DD" w:rsidRPr="00B92499" w:rsidRDefault="004077DD" w:rsidP="00E06A3C">
            <w:pPr>
              <w:jc w:val="center"/>
              <w:rPr>
                <w:rFonts w:ascii="Arial" w:hAnsi="Arial" w:cs="Arial"/>
                <w:color w:val="000000"/>
                <w:sz w:val="20"/>
                <w:szCs w:val="20"/>
              </w:rPr>
            </w:pPr>
            <w:r w:rsidRPr="00B92499">
              <w:rPr>
                <w:rFonts w:ascii="Arial" w:hAnsi="Arial" w:cs="Arial"/>
                <w:color w:val="000000"/>
                <w:sz w:val="20"/>
                <w:szCs w:val="20"/>
              </w:rPr>
              <w:t>100</w:t>
            </w:r>
          </w:p>
        </w:tc>
      </w:tr>
      <w:tr w:rsidR="004077DD" w:rsidRPr="00B92499" w14:paraId="480FC02D" w14:textId="77777777" w:rsidTr="004077DD">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DE056BE" w14:textId="77777777" w:rsidR="004077DD" w:rsidRPr="00B92499" w:rsidRDefault="004077DD">
            <w:pPr>
              <w:jc w:val="center"/>
              <w:rPr>
                <w:rFonts w:ascii="Arial" w:hAnsi="Arial" w:cs="Arial"/>
                <w:color w:val="000000"/>
                <w:sz w:val="20"/>
                <w:szCs w:val="20"/>
              </w:rPr>
            </w:pPr>
            <w:r w:rsidRPr="00B92499">
              <w:rPr>
                <w:rFonts w:ascii="Arial" w:hAnsi="Arial" w:cs="Arial"/>
                <w:color w:val="000000"/>
                <w:sz w:val="20"/>
                <w:szCs w:val="20"/>
              </w:rPr>
              <w:lastRenderedPageBreak/>
              <w:t>XLV</w:t>
            </w:r>
          </w:p>
        </w:tc>
        <w:tc>
          <w:tcPr>
            <w:tcW w:w="0" w:type="auto"/>
            <w:tcBorders>
              <w:top w:val="nil"/>
              <w:left w:val="nil"/>
              <w:bottom w:val="single" w:sz="4" w:space="0" w:color="auto"/>
              <w:right w:val="single" w:sz="4" w:space="0" w:color="auto"/>
            </w:tcBorders>
            <w:shd w:val="clear" w:color="auto" w:fill="auto"/>
            <w:vAlign w:val="center"/>
            <w:hideMark/>
          </w:tcPr>
          <w:p w14:paraId="126C95D0" w14:textId="77777777" w:rsidR="004077DD" w:rsidRPr="00B92499" w:rsidRDefault="004077DD">
            <w:pPr>
              <w:rPr>
                <w:rFonts w:ascii="Arial" w:hAnsi="Arial" w:cs="Arial"/>
                <w:color w:val="000000"/>
                <w:sz w:val="20"/>
                <w:szCs w:val="20"/>
              </w:rPr>
            </w:pPr>
            <w:r w:rsidRPr="00B92499">
              <w:rPr>
                <w:rFonts w:ascii="Arial" w:hAnsi="Arial" w:cs="Arial"/>
                <w:color w:val="000000"/>
                <w:sz w:val="20"/>
                <w:szCs w:val="20"/>
              </w:rPr>
              <w:t>Estudios financiados con recursos públicos.</w:t>
            </w:r>
          </w:p>
        </w:tc>
        <w:tc>
          <w:tcPr>
            <w:tcW w:w="823" w:type="dxa"/>
            <w:tcBorders>
              <w:top w:val="nil"/>
              <w:left w:val="nil"/>
              <w:bottom w:val="single" w:sz="4" w:space="0" w:color="auto"/>
              <w:right w:val="single" w:sz="4" w:space="0" w:color="auto"/>
            </w:tcBorders>
            <w:shd w:val="clear" w:color="auto" w:fill="auto"/>
            <w:vAlign w:val="center"/>
            <w:hideMark/>
          </w:tcPr>
          <w:p w14:paraId="6ABBF76B" w14:textId="62EF2042" w:rsidR="004077DD" w:rsidRPr="00B92499" w:rsidRDefault="004077DD" w:rsidP="00E06A3C">
            <w:pPr>
              <w:jc w:val="center"/>
              <w:rPr>
                <w:rFonts w:ascii="Arial" w:hAnsi="Arial" w:cs="Arial"/>
                <w:color w:val="000000"/>
                <w:sz w:val="20"/>
                <w:szCs w:val="20"/>
              </w:rPr>
            </w:pPr>
            <w:r w:rsidRPr="00B92499">
              <w:rPr>
                <w:rFonts w:ascii="Arial" w:hAnsi="Arial" w:cs="Arial"/>
                <w:color w:val="000000"/>
                <w:sz w:val="20"/>
                <w:szCs w:val="20"/>
              </w:rPr>
              <w:t>100</w:t>
            </w:r>
          </w:p>
        </w:tc>
      </w:tr>
      <w:tr w:rsidR="004077DD" w:rsidRPr="00B92499" w14:paraId="484B4806" w14:textId="77777777" w:rsidTr="004077DD">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F4C654D" w14:textId="77777777" w:rsidR="004077DD" w:rsidRPr="00B92499" w:rsidRDefault="004077DD">
            <w:pPr>
              <w:jc w:val="center"/>
              <w:rPr>
                <w:rFonts w:ascii="Arial" w:hAnsi="Arial" w:cs="Arial"/>
                <w:color w:val="000000"/>
                <w:sz w:val="20"/>
                <w:szCs w:val="20"/>
              </w:rPr>
            </w:pPr>
            <w:r w:rsidRPr="00B92499">
              <w:rPr>
                <w:rFonts w:ascii="Arial" w:hAnsi="Arial" w:cs="Arial"/>
                <w:color w:val="000000"/>
                <w:sz w:val="20"/>
                <w:szCs w:val="20"/>
              </w:rPr>
              <w:t>XLIX</w:t>
            </w:r>
          </w:p>
        </w:tc>
        <w:tc>
          <w:tcPr>
            <w:tcW w:w="0" w:type="auto"/>
            <w:tcBorders>
              <w:top w:val="nil"/>
              <w:left w:val="nil"/>
              <w:bottom w:val="single" w:sz="4" w:space="0" w:color="auto"/>
              <w:right w:val="single" w:sz="4" w:space="0" w:color="auto"/>
            </w:tcBorders>
            <w:shd w:val="clear" w:color="auto" w:fill="auto"/>
            <w:vAlign w:val="center"/>
            <w:hideMark/>
          </w:tcPr>
          <w:p w14:paraId="50D7047A" w14:textId="77777777" w:rsidR="004077DD" w:rsidRPr="00B92499" w:rsidRDefault="004077DD">
            <w:pPr>
              <w:rPr>
                <w:rFonts w:ascii="Arial" w:hAnsi="Arial" w:cs="Arial"/>
                <w:color w:val="000000"/>
                <w:sz w:val="20"/>
                <w:szCs w:val="20"/>
              </w:rPr>
            </w:pPr>
            <w:r w:rsidRPr="00B92499">
              <w:rPr>
                <w:rFonts w:ascii="Arial" w:hAnsi="Arial" w:cs="Arial"/>
                <w:color w:val="000000"/>
                <w:sz w:val="20"/>
                <w:szCs w:val="20"/>
              </w:rPr>
              <w:t xml:space="preserve">El catálogo de disposición y guía de archivo documental. </w:t>
            </w:r>
          </w:p>
        </w:tc>
        <w:tc>
          <w:tcPr>
            <w:tcW w:w="823" w:type="dxa"/>
            <w:tcBorders>
              <w:top w:val="nil"/>
              <w:left w:val="nil"/>
              <w:bottom w:val="single" w:sz="4" w:space="0" w:color="auto"/>
              <w:right w:val="single" w:sz="4" w:space="0" w:color="auto"/>
            </w:tcBorders>
            <w:shd w:val="clear" w:color="auto" w:fill="auto"/>
            <w:vAlign w:val="center"/>
            <w:hideMark/>
          </w:tcPr>
          <w:p w14:paraId="63D39D6D" w14:textId="6975B008" w:rsidR="004077DD" w:rsidRPr="00B92499" w:rsidRDefault="004077DD" w:rsidP="00E06A3C">
            <w:pPr>
              <w:jc w:val="center"/>
              <w:rPr>
                <w:rFonts w:ascii="Arial" w:hAnsi="Arial" w:cs="Arial"/>
                <w:color w:val="000000"/>
                <w:sz w:val="20"/>
                <w:szCs w:val="20"/>
              </w:rPr>
            </w:pPr>
            <w:r w:rsidRPr="00B92499">
              <w:rPr>
                <w:rFonts w:ascii="Arial" w:hAnsi="Arial" w:cs="Arial"/>
                <w:color w:val="000000"/>
                <w:sz w:val="20"/>
                <w:szCs w:val="20"/>
              </w:rPr>
              <w:t>100</w:t>
            </w:r>
          </w:p>
        </w:tc>
      </w:tr>
      <w:tr w:rsidR="004077DD" w:rsidRPr="00B92499" w14:paraId="12216EE4" w14:textId="77777777" w:rsidTr="004077DD">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B16D777" w14:textId="77777777" w:rsidR="004077DD" w:rsidRPr="00B92499" w:rsidRDefault="004077DD">
            <w:pPr>
              <w:jc w:val="center"/>
              <w:rPr>
                <w:rFonts w:ascii="Arial" w:hAnsi="Arial" w:cs="Arial"/>
                <w:color w:val="000000"/>
                <w:sz w:val="20"/>
                <w:szCs w:val="20"/>
              </w:rPr>
            </w:pPr>
            <w:r w:rsidRPr="00B92499">
              <w:rPr>
                <w:rFonts w:ascii="Arial" w:hAnsi="Arial" w:cs="Arial"/>
                <w:color w:val="000000"/>
                <w:sz w:val="20"/>
                <w:szCs w:val="20"/>
              </w:rPr>
              <w:t>LII</w:t>
            </w:r>
          </w:p>
        </w:tc>
        <w:tc>
          <w:tcPr>
            <w:tcW w:w="0" w:type="auto"/>
            <w:tcBorders>
              <w:top w:val="nil"/>
              <w:left w:val="nil"/>
              <w:bottom w:val="single" w:sz="4" w:space="0" w:color="auto"/>
              <w:right w:val="single" w:sz="4" w:space="0" w:color="auto"/>
            </w:tcBorders>
            <w:shd w:val="clear" w:color="auto" w:fill="auto"/>
            <w:vAlign w:val="center"/>
            <w:hideMark/>
          </w:tcPr>
          <w:p w14:paraId="06549613" w14:textId="77777777" w:rsidR="004077DD" w:rsidRPr="00B92499" w:rsidRDefault="004077DD">
            <w:pPr>
              <w:rPr>
                <w:rFonts w:ascii="Arial" w:hAnsi="Arial" w:cs="Arial"/>
                <w:color w:val="000000"/>
                <w:sz w:val="20"/>
                <w:szCs w:val="20"/>
              </w:rPr>
            </w:pPr>
            <w:r w:rsidRPr="00B92499">
              <w:rPr>
                <w:rFonts w:ascii="Arial" w:hAnsi="Arial" w:cs="Arial"/>
                <w:color w:val="000000"/>
                <w:sz w:val="20"/>
                <w:szCs w:val="20"/>
              </w:rPr>
              <w:t xml:space="preserve">Cualquier otra información que sea de utilidad o se considere relevante. </w:t>
            </w:r>
          </w:p>
        </w:tc>
        <w:tc>
          <w:tcPr>
            <w:tcW w:w="823" w:type="dxa"/>
            <w:tcBorders>
              <w:top w:val="nil"/>
              <w:left w:val="nil"/>
              <w:bottom w:val="single" w:sz="4" w:space="0" w:color="auto"/>
              <w:right w:val="single" w:sz="4" w:space="0" w:color="auto"/>
            </w:tcBorders>
            <w:shd w:val="clear" w:color="auto" w:fill="auto"/>
            <w:vAlign w:val="center"/>
            <w:hideMark/>
          </w:tcPr>
          <w:p w14:paraId="760DFFF6" w14:textId="43D1FA22" w:rsidR="004077DD" w:rsidRPr="00B92499" w:rsidRDefault="004077DD" w:rsidP="00E06A3C">
            <w:pPr>
              <w:jc w:val="center"/>
              <w:rPr>
                <w:rFonts w:ascii="Arial" w:hAnsi="Arial" w:cs="Arial"/>
                <w:color w:val="000000"/>
                <w:sz w:val="20"/>
                <w:szCs w:val="20"/>
              </w:rPr>
            </w:pPr>
            <w:r w:rsidRPr="00B92499">
              <w:rPr>
                <w:rFonts w:ascii="Arial" w:hAnsi="Arial" w:cs="Arial"/>
                <w:color w:val="000000"/>
                <w:sz w:val="20"/>
                <w:szCs w:val="20"/>
              </w:rPr>
              <w:t>100</w:t>
            </w:r>
          </w:p>
        </w:tc>
      </w:tr>
      <w:tr w:rsidR="004077DD" w:rsidRPr="00B92499" w14:paraId="5AAEC916" w14:textId="77777777" w:rsidTr="004077DD">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7A7D14F" w14:textId="77777777" w:rsidR="004077DD" w:rsidRPr="00B92499" w:rsidRDefault="004077DD">
            <w:pPr>
              <w:jc w:val="center"/>
              <w:rPr>
                <w:rFonts w:ascii="Arial" w:hAnsi="Arial" w:cs="Arial"/>
                <w:color w:val="000000"/>
                <w:sz w:val="20"/>
                <w:szCs w:val="20"/>
              </w:rPr>
            </w:pPr>
            <w:r w:rsidRPr="00B92499">
              <w:rPr>
                <w:rFonts w:ascii="Arial" w:hAnsi="Arial" w:cs="Arial"/>
                <w:color w:val="000000"/>
                <w:sz w:val="20"/>
                <w:szCs w:val="20"/>
              </w:rPr>
              <w:t>XIX</w:t>
            </w:r>
          </w:p>
        </w:tc>
        <w:tc>
          <w:tcPr>
            <w:tcW w:w="0" w:type="auto"/>
            <w:tcBorders>
              <w:top w:val="nil"/>
              <w:left w:val="nil"/>
              <w:bottom w:val="single" w:sz="4" w:space="0" w:color="auto"/>
              <w:right w:val="single" w:sz="4" w:space="0" w:color="auto"/>
            </w:tcBorders>
            <w:shd w:val="clear" w:color="auto" w:fill="auto"/>
            <w:vAlign w:val="center"/>
            <w:hideMark/>
          </w:tcPr>
          <w:p w14:paraId="6C158B2E" w14:textId="77777777" w:rsidR="004077DD" w:rsidRPr="00B92499" w:rsidRDefault="004077DD">
            <w:pPr>
              <w:rPr>
                <w:rFonts w:ascii="Arial" w:hAnsi="Arial" w:cs="Arial"/>
                <w:color w:val="000000"/>
                <w:sz w:val="20"/>
                <w:szCs w:val="20"/>
              </w:rPr>
            </w:pPr>
            <w:r w:rsidRPr="00B92499">
              <w:rPr>
                <w:rFonts w:ascii="Arial" w:hAnsi="Arial" w:cs="Arial"/>
                <w:color w:val="000000"/>
                <w:sz w:val="20"/>
                <w:szCs w:val="20"/>
              </w:rPr>
              <w:t>Servicios que ofrecen y requisitos para acceder a ellos.</w:t>
            </w:r>
          </w:p>
        </w:tc>
        <w:tc>
          <w:tcPr>
            <w:tcW w:w="823" w:type="dxa"/>
            <w:tcBorders>
              <w:top w:val="nil"/>
              <w:left w:val="nil"/>
              <w:bottom w:val="single" w:sz="4" w:space="0" w:color="auto"/>
              <w:right w:val="single" w:sz="4" w:space="0" w:color="auto"/>
            </w:tcBorders>
            <w:shd w:val="clear" w:color="auto" w:fill="auto"/>
            <w:vAlign w:val="center"/>
            <w:hideMark/>
          </w:tcPr>
          <w:p w14:paraId="1189487E" w14:textId="77777777" w:rsidR="004077DD" w:rsidRPr="00B92499" w:rsidRDefault="004077DD">
            <w:pPr>
              <w:jc w:val="center"/>
              <w:rPr>
                <w:rFonts w:ascii="Arial" w:hAnsi="Arial" w:cs="Arial"/>
                <w:color w:val="000000"/>
                <w:sz w:val="20"/>
                <w:szCs w:val="20"/>
              </w:rPr>
            </w:pPr>
            <w:r w:rsidRPr="00B92499">
              <w:rPr>
                <w:rFonts w:ascii="Arial" w:hAnsi="Arial" w:cs="Arial"/>
                <w:color w:val="000000"/>
                <w:sz w:val="20"/>
                <w:szCs w:val="20"/>
              </w:rPr>
              <w:t>93.75</w:t>
            </w:r>
          </w:p>
        </w:tc>
      </w:tr>
      <w:tr w:rsidR="004077DD" w:rsidRPr="00B92499" w14:paraId="56695C1E" w14:textId="77777777" w:rsidTr="004077DD">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E653D7C" w14:textId="77777777" w:rsidR="004077DD" w:rsidRPr="00B92499" w:rsidRDefault="004077DD">
            <w:pPr>
              <w:jc w:val="center"/>
              <w:rPr>
                <w:rFonts w:ascii="Arial" w:hAnsi="Arial" w:cs="Arial"/>
                <w:color w:val="000000"/>
                <w:sz w:val="20"/>
                <w:szCs w:val="20"/>
              </w:rPr>
            </w:pPr>
            <w:r w:rsidRPr="00B92499">
              <w:rPr>
                <w:rFonts w:ascii="Arial" w:hAnsi="Arial" w:cs="Arial"/>
                <w:color w:val="000000"/>
                <w:sz w:val="20"/>
                <w:szCs w:val="20"/>
              </w:rPr>
              <w:t>XXV</w:t>
            </w:r>
          </w:p>
        </w:tc>
        <w:tc>
          <w:tcPr>
            <w:tcW w:w="0" w:type="auto"/>
            <w:tcBorders>
              <w:top w:val="nil"/>
              <w:left w:val="nil"/>
              <w:bottom w:val="single" w:sz="4" w:space="0" w:color="auto"/>
              <w:right w:val="single" w:sz="4" w:space="0" w:color="auto"/>
            </w:tcBorders>
            <w:shd w:val="clear" w:color="auto" w:fill="auto"/>
            <w:vAlign w:val="center"/>
            <w:hideMark/>
          </w:tcPr>
          <w:p w14:paraId="0CF4BEDA" w14:textId="77777777" w:rsidR="004077DD" w:rsidRPr="00B92499" w:rsidRDefault="004077DD">
            <w:pPr>
              <w:rPr>
                <w:rFonts w:ascii="Arial" w:hAnsi="Arial" w:cs="Arial"/>
                <w:color w:val="000000"/>
                <w:sz w:val="20"/>
                <w:szCs w:val="20"/>
              </w:rPr>
            </w:pPr>
            <w:r w:rsidRPr="00B92499">
              <w:rPr>
                <w:rFonts w:ascii="Arial" w:hAnsi="Arial" w:cs="Arial"/>
                <w:color w:val="000000"/>
                <w:sz w:val="20"/>
                <w:szCs w:val="20"/>
              </w:rPr>
              <w:t>Montos destinados a Comunicación Social y publicidad.</w:t>
            </w:r>
          </w:p>
        </w:tc>
        <w:tc>
          <w:tcPr>
            <w:tcW w:w="823" w:type="dxa"/>
            <w:tcBorders>
              <w:top w:val="nil"/>
              <w:left w:val="nil"/>
              <w:bottom w:val="single" w:sz="4" w:space="0" w:color="auto"/>
              <w:right w:val="single" w:sz="4" w:space="0" w:color="auto"/>
            </w:tcBorders>
            <w:shd w:val="clear" w:color="auto" w:fill="auto"/>
            <w:vAlign w:val="center"/>
            <w:hideMark/>
          </w:tcPr>
          <w:p w14:paraId="244A6DF7" w14:textId="77777777" w:rsidR="004077DD" w:rsidRPr="00B92499" w:rsidRDefault="004077DD">
            <w:pPr>
              <w:jc w:val="center"/>
              <w:rPr>
                <w:rFonts w:ascii="Arial" w:hAnsi="Arial" w:cs="Arial"/>
                <w:color w:val="000000"/>
                <w:sz w:val="20"/>
                <w:szCs w:val="20"/>
              </w:rPr>
            </w:pPr>
            <w:r w:rsidRPr="00B92499">
              <w:rPr>
                <w:rFonts w:ascii="Arial" w:hAnsi="Arial" w:cs="Arial"/>
                <w:color w:val="000000"/>
                <w:sz w:val="20"/>
                <w:szCs w:val="20"/>
              </w:rPr>
              <w:t>81.25</w:t>
            </w:r>
          </w:p>
        </w:tc>
      </w:tr>
      <w:tr w:rsidR="004077DD" w:rsidRPr="00B92499" w14:paraId="4299E0A3" w14:textId="77777777" w:rsidTr="004077DD">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2FFDE5D" w14:textId="77777777" w:rsidR="004077DD" w:rsidRPr="00B92499" w:rsidRDefault="004077DD">
            <w:pPr>
              <w:jc w:val="center"/>
              <w:rPr>
                <w:rFonts w:ascii="Arial" w:hAnsi="Arial" w:cs="Arial"/>
                <w:color w:val="000000"/>
                <w:sz w:val="20"/>
                <w:szCs w:val="20"/>
              </w:rPr>
            </w:pPr>
            <w:r w:rsidRPr="00B92499">
              <w:rPr>
                <w:rFonts w:ascii="Arial" w:hAnsi="Arial" w:cs="Arial"/>
                <w:color w:val="000000"/>
                <w:sz w:val="20"/>
                <w:szCs w:val="20"/>
              </w:rPr>
              <w:t>I</w:t>
            </w:r>
          </w:p>
        </w:tc>
        <w:tc>
          <w:tcPr>
            <w:tcW w:w="0" w:type="auto"/>
            <w:tcBorders>
              <w:top w:val="nil"/>
              <w:left w:val="nil"/>
              <w:bottom w:val="single" w:sz="4" w:space="0" w:color="auto"/>
              <w:right w:val="single" w:sz="4" w:space="0" w:color="auto"/>
            </w:tcBorders>
            <w:shd w:val="clear" w:color="auto" w:fill="auto"/>
            <w:vAlign w:val="center"/>
            <w:hideMark/>
          </w:tcPr>
          <w:p w14:paraId="4D026C1A" w14:textId="77777777" w:rsidR="004077DD" w:rsidRPr="00B92499" w:rsidRDefault="004077DD">
            <w:pPr>
              <w:rPr>
                <w:rFonts w:ascii="Arial" w:hAnsi="Arial" w:cs="Arial"/>
                <w:color w:val="000000"/>
                <w:sz w:val="20"/>
                <w:szCs w:val="20"/>
              </w:rPr>
            </w:pPr>
            <w:r w:rsidRPr="00B92499">
              <w:rPr>
                <w:rFonts w:ascii="Arial" w:hAnsi="Arial" w:cs="Arial"/>
                <w:color w:val="000000"/>
                <w:sz w:val="20"/>
                <w:szCs w:val="20"/>
              </w:rPr>
              <w:t>Marco Normativo.</w:t>
            </w:r>
          </w:p>
        </w:tc>
        <w:tc>
          <w:tcPr>
            <w:tcW w:w="823" w:type="dxa"/>
            <w:tcBorders>
              <w:top w:val="nil"/>
              <w:left w:val="nil"/>
              <w:bottom w:val="single" w:sz="4" w:space="0" w:color="auto"/>
              <w:right w:val="single" w:sz="4" w:space="0" w:color="auto"/>
            </w:tcBorders>
            <w:shd w:val="clear" w:color="auto" w:fill="auto"/>
            <w:vAlign w:val="center"/>
            <w:hideMark/>
          </w:tcPr>
          <w:p w14:paraId="70FA04DF" w14:textId="77777777" w:rsidR="004077DD" w:rsidRPr="00B92499" w:rsidRDefault="004077DD">
            <w:pPr>
              <w:jc w:val="center"/>
              <w:rPr>
                <w:rFonts w:ascii="Arial" w:hAnsi="Arial" w:cs="Arial"/>
                <w:color w:val="000000"/>
                <w:sz w:val="20"/>
                <w:szCs w:val="20"/>
              </w:rPr>
            </w:pPr>
            <w:r w:rsidRPr="00B92499">
              <w:rPr>
                <w:rFonts w:ascii="Arial" w:hAnsi="Arial" w:cs="Arial"/>
                <w:color w:val="000000"/>
                <w:sz w:val="20"/>
                <w:szCs w:val="20"/>
              </w:rPr>
              <w:t>73.75</w:t>
            </w:r>
          </w:p>
        </w:tc>
      </w:tr>
      <w:tr w:rsidR="004077DD" w:rsidRPr="00B92499" w14:paraId="17AB4805" w14:textId="77777777" w:rsidTr="004077DD">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44BB059" w14:textId="77777777" w:rsidR="004077DD" w:rsidRPr="00B92499" w:rsidRDefault="004077DD">
            <w:pPr>
              <w:jc w:val="center"/>
              <w:rPr>
                <w:rFonts w:ascii="Arial" w:hAnsi="Arial" w:cs="Arial"/>
                <w:color w:val="000000"/>
                <w:sz w:val="20"/>
                <w:szCs w:val="20"/>
              </w:rPr>
            </w:pPr>
            <w:r w:rsidRPr="00B92499">
              <w:rPr>
                <w:rFonts w:ascii="Arial" w:hAnsi="Arial" w:cs="Arial"/>
                <w:color w:val="000000"/>
                <w:sz w:val="20"/>
                <w:szCs w:val="20"/>
              </w:rPr>
              <w:t>XXXVI</w:t>
            </w:r>
          </w:p>
        </w:tc>
        <w:tc>
          <w:tcPr>
            <w:tcW w:w="0" w:type="auto"/>
            <w:tcBorders>
              <w:top w:val="nil"/>
              <w:left w:val="nil"/>
              <w:bottom w:val="single" w:sz="4" w:space="0" w:color="auto"/>
              <w:right w:val="single" w:sz="4" w:space="0" w:color="auto"/>
            </w:tcBorders>
            <w:shd w:val="clear" w:color="auto" w:fill="auto"/>
            <w:vAlign w:val="center"/>
            <w:hideMark/>
          </w:tcPr>
          <w:p w14:paraId="06B905BA" w14:textId="77777777" w:rsidR="004077DD" w:rsidRPr="00B92499" w:rsidRDefault="004077DD">
            <w:pPr>
              <w:rPr>
                <w:rFonts w:ascii="Arial" w:hAnsi="Arial" w:cs="Arial"/>
                <w:color w:val="000000"/>
                <w:sz w:val="20"/>
                <w:szCs w:val="20"/>
              </w:rPr>
            </w:pPr>
            <w:r w:rsidRPr="00B92499">
              <w:rPr>
                <w:rFonts w:ascii="Arial" w:hAnsi="Arial" w:cs="Arial"/>
                <w:color w:val="000000"/>
                <w:sz w:val="20"/>
                <w:szCs w:val="20"/>
              </w:rPr>
              <w:t>Inventario de bienes muebles.</w:t>
            </w:r>
          </w:p>
        </w:tc>
        <w:tc>
          <w:tcPr>
            <w:tcW w:w="823" w:type="dxa"/>
            <w:tcBorders>
              <w:top w:val="nil"/>
              <w:left w:val="nil"/>
              <w:bottom w:val="single" w:sz="4" w:space="0" w:color="auto"/>
              <w:right w:val="single" w:sz="4" w:space="0" w:color="auto"/>
            </w:tcBorders>
            <w:shd w:val="clear" w:color="auto" w:fill="auto"/>
            <w:vAlign w:val="center"/>
            <w:hideMark/>
          </w:tcPr>
          <w:p w14:paraId="031D5750" w14:textId="77777777" w:rsidR="004077DD" w:rsidRPr="00B92499" w:rsidRDefault="004077DD">
            <w:pPr>
              <w:jc w:val="center"/>
              <w:rPr>
                <w:rFonts w:ascii="Arial" w:hAnsi="Arial" w:cs="Arial"/>
                <w:color w:val="000000"/>
                <w:sz w:val="20"/>
                <w:szCs w:val="20"/>
              </w:rPr>
            </w:pPr>
            <w:r w:rsidRPr="00B92499">
              <w:rPr>
                <w:rFonts w:ascii="Arial" w:hAnsi="Arial" w:cs="Arial"/>
                <w:color w:val="000000"/>
                <w:sz w:val="20"/>
                <w:szCs w:val="20"/>
              </w:rPr>
              <w:t>66.67</w:t>
            </w:r>
          </w:p>
        </w:tc>
      </w:tr>
      <w:tr w:rsidR="004077DD" w:rsidRPr="00B92499" w14:paraId="0BBAF275" w14:textId="77777777" w:rsidTr="004077DD">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0F6A4E3" w14:textId="77777777" w:rsidR="004077DD" w:rsidRPr="00B92499" w:rsidRDefault="004077DD">
            <w:pPr>
              <w:jc w:val="center"/>
              <w:rPr>
                <w:rFonts w:ascii="Arial" w:hAnsi="Arial" w:cs="Arial"/>
                <w:color w:val="000000"/>
                <w:sz w:val="20"/>
                <w:szCs w:val="20"/>
              </w:rPr>
            </w:pPr>
            <w:r w:rsidRPr="00B92499">
              <w:rPr>
                <w:rFonts w:ascii="Arial" w:hAnsi="Arial" w:cs="Arial"/>
                <w:color w:val="000000"/>
                <w:sz w:val="20"/>
                <w:szCs w:val="20"/>
              </w:rPr>
              <w:t>XXXVIII</w:t>
            </w:r>
          </w:p>
        </w:tc>
        <w:tc>
          <w:tcPr>
            <w:tcW w:w="0" w:type="auto"/>
            <w:tcBorders>
              <w:top w:val="nil"/>
              <w:left w:val="nil"/>
              <w:bottom w:val="single" w:sz="4" w:space="0" w:color="auto"/>
              <w:right w:val="single" w:sz="4" w:space="0" w:color="auto"/>
            </w:tcBorders>
            <w:shd w:val="clear" w:color="auto" w:fill="auto"/>
            <w:vAlign w:val="center"/>
            <w:hideMark/>
          </w:tcPr>
          <w:p w14:paraId="3120645E" w14:textId="1041459E" w:rsidR="004077DD" w:rsidRPr="00B92499" w:rsidRDefault="004077DD">
            <w:pPr>
              <w:rPr>
                <w:rFonts w:ascii="Arial" w:hAnsi="Arial" w:cs="Arial"/>
                <w:color w:val="000000"/>
                <w:sz w:val="20"/>
                <w:szCs w:val="20"/>
              </w:rPr>
            </w:pPr>
            <w:r w:rsidRPr="00B92499">
              <w:rPr>
                <w:rFonts w:ascii="Arial" w:hAnsi="Arial" w:cs="Arial"/>
                <w:color w:val="000000"/>
                <w:sz w:val="20"/>
                <w:szCs w:val="20"/>
              </w:rPr>
              <w:t xml:space="preserve">Relación del número de recomendaciones emitidas por el Instituto al </w:t>
            </w:r>
            <w:r w:rsidR="008710F6" w:rsidRPr="00B92499">
              <w:rPr>
                <w:rFonts w:ascii="Arial" w:hAnsi="Arial" w:cs="Arial"/>
                <w:color w:val="000000"/>
                <w:sz w:val="20"/>
                <w:szCs w:val="20"/>
              </w:rPr>
              <w:t>sujeto obligado</w:t>
            </w:r>
            <w:r w:rsidRPr="00B92499">
              <w:rPr>
                <w:rFonts w:ascii="Arial" w:hAnsi="Arial" w:cs="Arial"/>
                <w:color w:val="000000"/>
                <w:sz w:val="20"/>
                <w:szCs w:val="20"/>
              </w:rPr>
              <w:t>.</w:t>
            </w:r>
          </w:p>
        </w:tc>
        <w:tc>
          <w:tcPr>
            <w:tcW w:w="823" w:type="dxa"/>
            <w:tcBorders>
              <w:top w:val="nil"/>
              <w:left w:val="nil"/>
              <w:bottom w:val="single" w:sz="4" w:space="0" w:color="auto"/>
              <w:right w:val="single" w:sz="4" w:space="0" w:color="auto"/>
            </w:tcBorders>
            <w:shd w:val="clear" w:color="auto" w:fill="auto"/>
            <w:vAlign w:val="center"/>
            <w:hideMark/>
          </w:tcPr>
          <w:p w14:paraId="42B74410" w14:textId="77777777" w:rsidR="004077DD" w:rsidRPr="00B92499" w:rsidRDefault="004077DD">
            <w:pPr>
              <w:jc w:val="center"/>
              <w:rPr>
                <w:rFonts w:ascii="Arial" w:hAnsi="Arial" w:cs="Arial"/>
                <w:color w:val="000000"/>
                <w:sz w:val="20"/>
                <w:szCs w:val="20"/>
              </w:rPr>
            </w:pPr>
            <w:r w:rsidRPr="00B92499">
              <w:rPr>
                <w:rFonts w:ascii="Arial" w:hAnsi="Arial" w:cs="Arial"/>
                <w:color w:val="000000"/>
                <w:sz w:val="20"/>
                <w:szCs w:val="20"/>
              </w:rPr>
              <w:t>50.00</w:t>
            </w:r>
          </w:p>
        </w:tc>
      </w:tr>
      <w:tr w:rsidR="004077DD" w:rsidRPr="00B92499" w14:paraId="724FF522" w14:textId="77777777" w:rsidTr="004077DD">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DF42169" w14:textId="77777777" w:rsidR="004077DD" w:rsidRPr="00B92499" w:rsidRDefault="004077DD">
            <w:pPr>
              <w:jc w:val="center"/>
              <w:rPr>
                <w:rFonts w:ascii="Arial" w:hAnsi="Arial" w:cs="Arial"/>
                <w:color w:val="000000"/>
                <w:sz w:val="20"/>
                <w:szCs w:val="20"/>
              </w:rPr>
            </w:pPr>
            <w:r w:rsidRPr="00B92499">
              <w:rPr>
                <w:rFonts w:ascii="Arial" w:hAnsi="Arial" w:cs="Arial"/>
                <w:color w:val="000000"/>
                <w:sz w:val="20"/>
                <w:szCs w:val="20"/>
              </w:rPr>
              <w:t>XLIII</w:t>
            </w:r>
          </w:p>
        </w:tc>
        <w:tc>
          <w:tcPr>
            <w:tcW w:w="0" w:type="auto"/>
            <w:tcBorders>
              <w:top w:val="nil"/>
              <w:left w:val="nil"/>
              <w:bottom w:val="single" w:sz="4" w:space="0" w:color="auto"/>
              <w:right w:val="single" w:sz="4" w:space="0" w:color="auto"/>
            </w:tcBorders>
            <w:shd w:val="clear" w:color="auto" w:fill="auto"/>
            <w:vAlign w:val="center"/>
            <w:hideMark/>
          </w:tcPr>
          <w:p w14:paraId="39B287BF" w14:textId="77777777" w:rsidR="004077DD" w:rsidRPr="00B92499" w:rsidRDefault="004077DD">
            <w:pPr>
              <w:rPr>
                <w:rFonts w:ascii="Arial" w:hAnsi="Arial" w:cs="Arial"/>
                <w:color w:val="000000"/>
                <w:sz w:val="20"/>
                <w:szCs w:val="20"/>
              </w:rPr>
            </w:pPr>
            <w:r w:rsidRPr="00B92499">
              <w:rPr>
                <w:rFonts w:ascii="Arial" w:hAnsi="Arial" w:cs="Arial"/>
                <w:color w:val="000000"/>
                <w:sz w:val="20"/>
                <w:szCs w:val="20"/>
              </w:rPr>
              <w:t>Actas y Resoluciones del Comité de Transparencia.</w:t>
            </w:r>
          </w:p>
        </w:tc>
        <w:tc>
          <w:tcPr>
            <w:tcW w:w="823" w:type="dxa"/>
            <w:tcBorders>
              <w:top w:val="nil"/>
              <w:left w:val="nil"/>
              <w:bottom w:val="single" w:sz="4" w:space="0" w:color="auto"/>
              <w:right w:val="single" w:sz="4" w:space="0" w:color="auto"/>
            </w:tcBorders>
            <w:shd w:val="clear" w:color="auto" w:fill="auto"/>
            <w:vAlign w:val="center"/>
            <w:hideMark/>
          </w:tcPr>
          <w:p w14:paraId="110E729F" w14:textId="77777777" w:rsidR="004077DD" w:rsidRPr="00B92499" w:rsidRDefault="004077DD">
            <w:pPr>
              <w:jc w:val="center"/>
              <w:rPr>
                <w:rFonts w:ascii="Arial" w:hAnsi="Arial" w:cs="Arial"/>
                <w:color w:val="000000"/>
                <w:sz w:val="20"/>
                <w:szCs w:val="20"/>
              </w:rPr>
            </w:pPr>
            <w:r w:rsidRPr="00B92499">
              <w:rPr>
                <w:rFonts w:ascii="Arial" w:hAnsi="Arial" w:cs="Arial"/>
                <w:color w:val="000000"/>
                <w:sz w:val="20"/>
                <w:szCs w:val="20"/>
              </w:rPr>
              <w:t>33.33</w:t>
            </w:r>
          </w:p>
        </w:tc>
      </w:tr>
    </w:tbl>
    <w:p w14:paraId="007BFC1C" w14:textId="77777777" w:rsidR="004077DD" w:rsidRPr="00B92499" w:rsidRDefault="004077DD" w:rsidP="00D118E9">
      <w:pPr>
        <w:spacing w:before="100" w:beforeAutospacing="1" w:after="100" w:afterAutospacing="1" w:line="360" w:lineRule="auto"/>
        <w:contextualSpacing/>
        <w:jc w:val="both"/>
        <w:rPr>
          <w:rFonts w:ascii="Arial" w:hAnsi="Arial" w:cs="Arial"/>
        </w:rPr>
      </w:pPr>
    </w:p>
    <w:p w14:paraId="2F83813C" w14:textId="11ECC428" w:rsidR="008D44C3" w:rsidRPr="00B92499" w:rsidRDefault="000D3657" w:rsidP="009F64B5">
      <w:pPr>
        <w:pStyle w:val="Ttulo2"/>
        <w:numPr>
          <w:ilvl w:val="1"/>
          <w:numId w:val="19"/>
        </w:numPr>
        <w:contextualSpacing/>
        <w:jc w:val="both"/>
        <w:rPr>
          <w:rFonts w:ascii="Arial" w:hAnsi="Arial" w:cs="Arial"/>
          <w:b/>
          <w:color w:val="auto"/>
          <w:sz w:val="24"/>
          <w:szCs w:val="24"/>
        </w:rPr>
      </w:pPr>
      <w:bookmarkStart w:id="53" w:name="_Toc23253009"/>
      <w:r w:rsidRPr="00B92499">
        <w:rPr>
          <w:rFonts w:ascii="Arial" w:hAnsi="Arial" w:cs="Arial"/>
          <w:b/>
          <w:color w:val="auto"/>
          <w:sz w:val="24"/>
          <w:szCs w:val="24"/>
        </w:rPr>
        <w:t xml:space="preserve">Análisis del </w:t>
      </w:r>
      <w:r w:rsidR="008F67E4" w:rsidRPr="00B92499">
        <w:rPr>
          <w:rFonts w:ascii="Arial" w:hAnsi="Arial" w:cs="Arial"/>
          <w:b/>
          <w:color w:val="auto"/>
          <w:sz w:val="24"/>
          <w:szCs w:val="24"/>
        </w:rPr>
        <w:t>artículo</w:t>
      </w:r>
      <w:r w:rsidRPr="00B92499">
        <w:rPr>
          <w:rFonts w:ascii="Arial" w:hAnsi="Arial" w:cs="Arial"/>
          <w:b/>
          <w:color w:val="auto"/>
          <w:sz w:val="24"/>
          <w:szCs w:val="24"/>
        </w:rPr>
        <w:t xml:space="preserve"> 137 y sus respectivas fracciones</w:t>
      </w:r>
      <w:bookmarkEnd w:id="53"/>
    </w:p>
    <w:p w14:paraId="6301A413" w14:textId="1F8B2F46" w:rsidR="004077DD" w:rsidRPr="00B92499" w:rsidRDefault="004077DD" w:rsidP="004077DD">
      <w:pPr>
        <w:spacing w:before="100" w:beforeAutospacing="1" w:after="100" w:afterAutospacing="1" w:line="360" w:lineRule="auto"/>
        <w:contextualSpacing/>
        <w:jc w:val="both"/>
        <w:rPr>
          <w:rFonts w:ascii="Arial" w:hAnsi="Arial" w:cs="Arial"/>
        </w:rPr>
      </w:pPr>
      <w:r w:rsidRPr="00B92499">
        <w:rPr>
          <w:rFonts w:ascii="Arial" w:hAnsi="Arial" w:cs="Arial"/>
        </w:rPr>
        <w:t>El sindicato obtuvo un ICP en este artículo de 99.60%, por lo que se encuentra dentro del área de cumplimiento parcial. Lo anterior se debió a que de las 10 fracciones que les son aplicables, en</w:t>
      </w:r>
      <w:r w:rsidR="000D67A7" w:rsidRPr="00B92499">
        <w:rPr>
          <w:rFonts w:ascii="Arial" w:hAnsi="Arial" w:cs="Arial"/>
        </w:rPr>
        <w:t xml:space="preserve"> 7 </w:t>
      </w:r>
      <w:r w:rsidRPr="00B92499">
        <w:rPr>
          <w:rFonts w:ascii="Arial" w:hAnsi="Arial" w:cs="Arial"/>
        </w:rPr>
        <w:t xml:space="preserve"> alcanzó un cumplimiento total de 100%, en </w:t>
      </w:r>
      <w:r w:rsidR="000D67A7" w:rsidRPr="00B92499">
        <w:rPr>
          <w:rFonts w:ascii="Arial" w:hAnsi="Arial" w:cs="Arial"/>
        </w:rPr>
        <w:t>2</w:t>
      </w:r>
      <w:r w:rsidRPr="00B92499">
        <w:rPr>
          <w:rFonts w:ascii="Arial" w:hAnsi="Arial" w:cs="Arial"/>
        </w:rPr>
        <w:t xml:space="preserve"> fracciones un cumplimiento parcial de 99.21% y en una fracción obtuvo un incumplimiento tota</w:t>
      </w:r>
      <w:r w:rsidR="00615A43" w:rsidRPr="00B92499">
        <w:rPr>
          <w:rFonts w:ascii="Arial" w:hAnsi="Arial" w:cs="Arial"/>
        </w:rPr>
        <w:t>l</w:t>
      </w:r>
      <w:r w:rsidRPr="00B92499">
        <w:rPr>
          <w:rFonts w:ascii="Arial" w:hAnsi="Arial" w:cs="Arial"/>
        </w:rPr>
        <w:t xml:space="preserve">. </w:t>
      </w:r>
    </w:p>
    <w:p w14:paraId="51006AF8" w14:textId="77777777" w:rsidR="004077DD" w:rsidRPr="00B92499" w:rsidRDefault="004077DD" w:rsidP="002E7D47">
      <w:pPr>
        <w:spacing w:before="100" w:beforeAutospacing="1" w:after="100" w:afterAutospacing="1" w:line="360" w:lineRule="auto"/>
        <w:contextualSpacing/>
        <w:jc w:val="both"/>
        <w:rPr>
          <w:rFonts w:ascii="Arial" w:hAnsi="Arial" w:cs="Arial"/>
        </w:rPr>
      </w:pPr>
    </w:p>
    <w:p w14:paraId="18148A35" w14:textId="16DCA9FC" w:rsidR="004077DD" w:rsidRPr="00B92499" w:rsidRDefault="004077DD" w:rsidP="00D424B6">
      <w:pPr>
        <w:spacing w:before="100" w:beforeAutospacing="1" w:after="100" w:afterAutospacing="1" w:line="360" w:lineRule="auto"/>
        <w:contextualSpacing/>
        <w:jc w:val="both"/>
        <w:rPr>
          <w:rFonts w:ascii="Arial" w:hAnsi="Arial" w:cs="Arial"/>
        </w:rPr>
      </w:pPr>
      <w:r w:rsidRPr="00B92499">
        <w:rPr>
          <w:rFonts w:ascii="Arial" w:hAnsi="Arial" w:cs="Arial"/>
        </w:rPr>
        <w:t xml:space="preserve">En esta línea, de las 10 fracciones que le son aplicables; las </w:t>
      </w:r>
      <w:r w:rsidR="000D67A7" w:rsidRPr="00B92499">
        <w:rPr>
          <w:rFonts w:ascii="Arial" w:hAnsi="Arial" w:cs="Arial"/>
        </w:rPr>
        <w:t>2</w:t>
      </w:r>
      <w:r w:rsidRPr="00B92499">
        <w:rPr>
          <w:rFonts w:ascii="Arial" w:hAnsi="Arial" w:cs="Arial"/>
        </w:rPr>
        <w:t xml:space="preserve"> que no </w:t>
      </w:r>
      <w:r w:rsidR="00615A43" w:rsidRPr="00B92499">
        <w:rPr>
          <w:rFonts w:ascii="Arial" w:hAnsi="Arial" w:cs="Arial"/>
        </w:rPr>
        <w:t>alcanzaron</w:t>
      </w:r>
      <w:r w:rsidRPr="00B92499">
        <w:rPr>
          <w:rFonts w:ascii="Arial" w:hAnsi="Arial" w:cs="Arial"/>
        </w:rPr>
        <w:t xml:space="preserve"> un cumplimiento total y, por lo tanto, presentan área de oportunidad son las siguientes: </w:t>
      </w:r>
    </w:p>
    <w:p w14:paraId="6706CC1F" w14:textId="4AC73C34" w:rsidR="004077DD" w:rsidRPr="00B92499" w:rsidRDefault="004077DD" w:rsidP="009F64B5">
      <w:pPr>
        <w:pStyle w:val="Prrafodelista"/>
        <w:numPr>
          <w:ilvl w:val="0"/>
          <w:numId w:val="28"/>
        </w:numPr>
        <w:spacing w:before="100" w:beforeAutospacing="1" w:after="100" w:afterAutospacing="1" w:line="360" w:lineRule="auto"/>
        <w:jc w:val="both"/>
        <w:rPr>
          <w:rFonts w:ascii="Arial" w:hAnsi="Arial" w:cs="Arial"/>
          <w:sz w:val="24"/>
          <w:szCs w:val="24"/>
          <w:lang w:val="es-ES_tradnl"/>
        </w:rPr>
      </w:pPr>
      <w:r w:rsidRPr="00B92499">
        <w:rPr>
          <w:rFonts w:ascii="Arial" w:hAnsi="Arial" w:cs="Arial"/>
          <w:sz w:val="24"/>
          <w:szCs w:val="24"/>
          <w:lang w:val="es-ES_tradnl"/>
        </w:rPr>
        <w:t xml:space="preserve">Fracción VI, con un ICP de </w:t>
      </w:r>
      <w:r w:rsidR="00615A43" w:rsidRPr="00B92499">
        <w:rPr>
          <w:rFonts w:ascii="Arial" w:hAnsi="Arial" w:cs="Arial"/>
          <w:sz w:val="24"/>
          <w:szCs w:val="24"/>
          <w:lang w:val="es-ES_tradnl"/>
        </w:rPr>
        <w:t>99.21</w:t>
      </w:r>
      <w:r w:rsidRPr="00B92499">
        <w:rPr>
          <w:rFonts w:ascii="Arial" w:hAnsi="Arial" w:cs="Arial"/>
          <w:sz w:val="24"/>
          <w:szCs w:val="24"/>
          <w:lang w:val="es-ES_tradnl"/>
        </w:rPr>
        <w:t xml:space="preserve">% que hace referencia a la publicación de las actas de asamblea. </w:t>
      </w:r>
      <w:r w:rsidR="001B2F09" w:rsidRPr="00B92499">
        <w:rPr>
          <w:rFonts w:ascii="Arial" w:hAnsi="Arial" w:cs="Arial"/>
          <w:sz w:val="24"/>
          <w:szCs w:val="24"/>
          <w:lang w:val="es-ES_tradnl"/>
        </w:rPr>
        <w:t xml:space="preserve">El área de oportunidad del </w:t>
      </w:r>
      <w:r w:rsidR="008710F6" w:rsidRPr="00B92499">
        <w:rPr>
          <w:rFonts w:ascii="Arial" w:hAnsi="Arial" w:cs="Arial"/>
          <w:sz w:val="24"/>
          <w:szCs w:val="24"/>
          <w:lang w:val="es-ES_tradnl"/>
        </w:rPr>
        <w:t>sujeto obligado</w:t>
      </w:r>
      <w:r w:rsidR="001B2F09" w:rsidRPr="00B92499">
        <w:rPr>
          <w:rFonts w:ascii="Arial" w:hAnsi="Arial" w:cs="Arial"/>
          <w:sz w:val="24"/>
          <w:szCs w:val="24"/>
          <w:lang w:val="es-ES_tradnl"/>
        </w:rPr>
        <w:t xml:space="preserve"> consiste en revisar el correcto funcionamiento de algunos hipervínculos que están con un funcionamiento intermitente.</w:t>
      </w:r>
    </w:p>
    <w:p w14:paraId="0AD1BC4C" w14:textId="77777777" w:rsidR="004077DD" w:rsidRPr="00B92499" w:rsidRDefault="004077DD" w:rsidP="004077DD">
      <w:pPr>
        <w:pStyle w:val="Prrafodelista"/>
        <w:spacing w:before="100" w:beforeAutospacing="1" w:after="100" w:afterAutospacing="1" w:line="360" w:lineRule="auto"/>
        <w:jc w:val="both"/>
        <w:rPr>
          <w:rFonts w:ascii="Arial" w:hAnsi="Arial" w:cs="Arial"/>
          <w:sz w:val="24"/>
          <w:szCs w:val="24"/>
          <w:lang w:val="es-ES_tradnl"/>
        </w:rPr>
      </w:pPr>
    </w:p>
    <w:p w14:paraId="2B316CD4" w14:textId="143901EB" w:rsidR="00615A43" w:rsidRPr="00B92499" w:rsidRDefault="004077DD" w:rsidP="009F64B5">
      <w:pPr>
        <w:pStyle w:val="Prrafodelista"/>
        <w:numPr>
          <w:ilvl w:val="0"/>
          <w:numId w:val="28"/>
        </w:numPr>
        <w:spacing w:before="100" w:beforeAutospacing="1" w:after="100" w:afterAutospacing="1" w:line="360" w:lineRule="auto"/>
        <w:jc w:val="both"/>
        <w:rPr>
          <w:rFonts w:ascii="Arial" w:hAnsi="Arial" w:cs="Arial"/>
          <w:sz w:val="24"/>
          <w:szCs w:val="24"/>
          <w:lang w:val="es-ES_tradnl"/>
        </w:rPr>
      </w:pPr>
      <w:r w:rsidRPr="00B92499">
        <w:rPr>
          <w:rFonts w:ascii="Arial" w:hAnsi="Arial" w:cs="Arial"/>
          <w:sz w:val="24"/>
          <w:szCs w:val="24"/>
          <w:lang w:val="es-ES_tradnl"/>
        </w:rPr>
        <w:t xml:space="preserve">Fracción </w:t>
      </w:r>
      <w:r w:rsidR="00615A43" w:rsidRPr="00B92499">
        <w:rPr>
          <w:rFonts w:ascii="Arial" w:hAnsi="Arial" w:cs="Arial"/>
          <w:sz w:val="24"/>
          <w:szCs w:val="24"/>
          <w:lang w:val="es-ES_tradnl"/>
        </w:rPr>
        <w:t>VII</w:t>
      </w:r>
      <w:r w:rsidRPr="00B92499">
        <w:rPr>
          <w:rFonts w:ascii="Arial" w:hAnsi="Arial" w:cs="Arial"/>
          <w:sz w:val="24"/>
          <w:szCs w:val="24"/>
          <w:lang w:val="es-ES_tradnl"/>
        </w:rPr>
        <w:t xml:space="preserve">, con un ICP de </w:t>
      </w:r>
      <w:r w:rsidR="00615A43" w:rsidRPr="00B92499">
        <w:rPr>
          <w:rFonts w:ascii="Arial" w:hAnsi="Arial" w:cs="Arial"/>
          <w:sz w:val="24"/>
          <w:szCs w:val="24"/>
          <w:lang w:val="es-ES_tradnl"/>
        </w:rPr>
        <w:t>99.66</w:t>
      </w:r>
      <w:r w:rsidRPr="00B92499">
        <w:rPr>
          <w:rFonts w:ascii="Arial" w:hAnsi="Arial" w:cs="Arial"/>
          <w:sz w:val="24"/>
          <w:szCs w:val="24"/>
          <w:lang w:val="es-ES_tradnl"/>
        </w:rPr>
        <w:t xml:space="preserve">%, que establece la publicación </w:t>
      </w:r>
      <w:r w:rsidR="00615A43" w:rsidRPr="00B92499">
        <w:rPr>
          <w:rFonts w:ascii="Arial" w:hAnsi="Arial" w:cs="Arial"/>
          <w:sz w:val="24"/>
          <w:szCs w:val="24"/>
          <w:lang w:val="es-ES_tradnl"/>
        </w:rPr>
        <w:t>de los reglamentos interiores de trabajo</w:t>
      </w:r>
      <w:r w:rsidRPr="00B92499">
        <w:rPr>
          <w:rFonts w:ascii="Arial" w:hAnsi="Arial" w:cs="Arial"/>
          <w:sz w:val="24"/>
          <w:szCs w:val="24"/>
          <w:lang w:val="es-ES_tradnl"/>
        </w:rPr>
        <w:t xml:space="preserve">. </w:t>
      </w:r>
      <w:r w:rsidR="001B2F09" w:rsidRPr="00B92499">
        <w:rPr>
          <w:rFonts w:ascii="Arial" w:hAnsi="Arial" w:cs="Arial"/>
          <w:sz w:val="24"/>
          <w:szCs w:val="24"/>
          <w:lang w:val="es-ES_tradnl"/>
        </w:rPr>
        <w:t xml:space="preserve">El área de oportunidad del </w:t>
      </w:r>
      <w:r w:rsidR="008710F6" w:rsidRPr="00B92499">
        <w:rPr>
          <w:rFonts w:ascii="Arial" w:hAnsi="Arial" w:cs="Arial"/>
          <w:sz w:val="24"/>
          <w:szCs w:val="24"/>
          <w:lang w:val="es-ES_tradnl"/>
        </w:rPr>
        <w:t>sujeto obligado</w:t>
      </w:r>
      <w:r w:rsidR="001B2F09" w:rsidRPr="00B92499">
        <w:rPr>
          <w:rFonts w:ascii="Arial" w:hAnsi="Arial" w:cs="Arial"/>
          <w:sz w:val="24"/>
          <w:szCs w:val="24"/>
          <w:lang w:val="es-ES_tradnl"/>
        </w:rPr>
        <w:t xml:space="preserve"> consiste en revisar el correcto funcionamiento de algunos hipervínculos que están con un funcionamiento intermitente. </w:t>
      </w:r>
    </w:p>
    <w:p w14:paraId="2228C3DB" w14:textId="32E2F233" w:rsidR="00615A43" w:rsidRPr="00B92499" w:rsidRDefault="00615A43" w:rsidP="00615A43">
      <w:pPr>
        <w:spacing w:before="100" w:beforeAutospacing="1" w:after="100" w:afterAutospacing="1" w:line="360" w:lineRule="auto"/>
        <w:jc w:val="both"/>
        <w:rPr>
          <w:rFonts w:ascii="Arial" w:hAnsi="Arial" w:cs="Arial"/>
        </w:rPr>
      </w:pPr>
      <w:r w:rsidRPr="00B92499">
        <w:rPr>
          <w:rFonts w:ascii="Arial" w:hAnsi="Arial" w:cs="Arial"/>
        </w:rPr>
        <w:t>De igual forma, en</w:t>
      </w:r>
      <w:r w:rsidR="000D67A7" w:rsidRPr="00B92499">
        <w:rPr>
          <w:rFonts w:ascii="Arial" w:hAnsi="Arial" w:cs="Arial"/>
        </w:rPr>
        <w:t xml:space="preserve"> 7 </w:t>
      </w:r>
      <w:r w:rsidRPr="00B92499">
        <w:rPr>
          <w:rFonts w:ascii="Arial" w:hAnsi="Arial" w:cs="Arial"/>
        </w:rPr>
        <w:t xml:space="preserve"> fracciones del artículo 137, este sindicato alcanzó un ICP de 100%</w:t>
      </w:r>
      <w:r w:rsidR="00490622" w:rsidRPr="00B92499">
        <w:rPr>
          <w:rFonts w:ascii="Arial" w:hAnsi="Arial" w:cs="Arial"/>
        </w:rPr>
        <w:t>.</w:t>
      </w:r>
    </w:p>
    <w:p w14:paraId="2DBC9C26" w14:textId="23DC8DA6" w:rsidR="00735992" w:rsidRPr="00B92499" w:rsidRDefault="00735992" w:rsidP="00615A43">
      <w:pPr>
        <w:spacing w:before="100" w:beforeAutospacing="1" w:after="100" w:afterAutospacing="1" w:line="360" w:lineRule="auto"/>
        <w:jc w:val="both"/>
        <w:rPr>
          <w:rFonts w:ascii="Arial" w:hAnsi="Arial" w:cs="Arial"/>
        </w:rPr>
      </w:pPr>
      <w:r w:rsidRPr="00B92499">
        <w:rPr>
          <w:rFonts w:ascii="Arial" w:hAnsi="Arial" w:cs="Arial"/>
        </w:rPr>
        <w:lastRenderedPageBreak/>
        <w:t>Con el objetivo de mostrar con mayor detalle el ICP de cada fracción del artículo 137</w:t>
      </w:r>
      <w:r w:rsidR="00490622" w:rsidRPr="00B92499">
        <w:rPr>
          <w:rFonts w:ascii="Arial" w:hAnsi="Arial" w:cs="Arial"/>
        </w:rPr>
        <w:t>,</w:t>
      </w:r>
      <w:r w:rsidRPr="00B92499">
        <w:rPr>
          <w:rFonts w:ascii="Arial" w:hAnsi="Arial" w:cs="Arial"/>
        </w:rPr>
        <w:t xml:space="preserve"> es presentada la siguiente tabla ordenada de forma descendente.</w:t>
      </w:r>
    </w:p>
    <w:tbl>
      <w:tblPr>
        <w:tblW w:w="8929" w:type="dxa"/>
        <w:tblCellMar>
          <w:left w:w="70" w:type="dxa"/>
          <w:right w:w="70" w:type="dxa"/>
        </w:tblCellMar>
        <w:tblLook w:val="04A0" w:firstRow="1" w:lastRow="0" w:firstColumn="1" w:lastColumn="0" w:noHBand="0" w:noVBand="1"/>
      </w:tblPr>
      <w:tblGrid>
        <w:gridCol w:w="974"/>
        <w:gridCol w:w="7066"/>
        <w:gridCol w:w="889"/>
      </w:tblGrid>
      <w:tr w:rsidR="00615A43" w:rsidRPr="00B92499" w14:paraId="1DF16BA1" w14:textId="77777777" w:rsidTr="00615A43">
        <w:trPr>
          <w:trHeight w:val="20"/>
          <w:tblHeader/>
        </w:trPr>
        <w:tc>
          <w:tcPr>
            <w:tcW w:w="8929" w:type="dxa"/>
            <w:gridSpan w:val="3"/>
            <w:tcBorders>
              <w:top w:val="single" w:sz="4" w:space="0" w:color="auto"/>
              <w:left w:val="single" w:sz="4" w:space="0" w:color="auto"/>
              <w:bottom w:val="single" w:sz="4" w:space="0" w:color="auto"/>
              <w:right w:val="single" w:sz="4" w:space="0" w:color="auto"/>
            </w:tcBorders>
            <w:shd w:val="clear" w:color="auto" w:fill="00B0F0"/>
            <w:noWrap/>
            <w:vAlign w:val="center"/>
            <w:hideMark/>
          </w:tcPr>
          <w:p w14:paraId="23701564" w14:textId="47C3CD34" w:rsidR="00615A43" w:rsidRPr="00B92499" w:rsidRDefault="00615A43" w:rsidP="00A027DB">
            <w:pPr>
              <w:jc w:val="center"/>
              <w:rPr>
                <w:rFonts w:ascii="Arial" w:hAnsi="Arial" w:cs="Arial"/>
                <w:b/>
                <w:bCs/>
                <w:color w:val="000000"/>
                <w:sz w:val="20"/>
                <w:szCs w:val="20"/>
              </w:rPr>
            </w:pPr>
            <w:r w:rsidRPr="00B92499">
              <w:rPr>
                <w:rFonts w:ascii="Arial" w:hAnsi="Arial" w:cs="Arial"/>
                <w:b/>
                <w:bCs/>
                <w:color w:val="000000"/>
                <w:sz w:val="20"/>
                <w:szCs w:val="20"/>
              </w:rPr>
              <w:t xml:space="preserve">Artículo 137 de las </w:t>
            </w:r>
            <w:r w:rsidR="008710F6" w:rsidRPr="00B92499">
              <w:rPr>
                <w:rFonts w:ascii="Arial" w:hAnsi="Arial" w:cs="Arial"/>
                <w:b/>
                <w:bCs/>
                <w:color w:val="000000"/>
                <w:sz w:val="20"/>
                <w:szCs w:val="20"/>
              </w:rPr>
              <w:t>obligaciones de transparencia</w:t>
            </w:r>
            <w:r w:rsidRPr="00B92499">
              <w:rPr>
                <w:rFonts w:ascii="Arial" w:hAnsi="Arial" w:cs="Arial"/>
                <w:b/>
                <w:bCs/>
                <w:color w:val="000000"/>
                <w:sz w:val="20"/>
                <w:szCs w:val="20"/>
              </w:rPr>
              <w:t xml:space="preserve"> específicas</w:t>
            </w:r>
          </w:p>
        </w:tc>
      </w:tr>
      <w:tr w:rsidR="00615A43" w:rsidRPr="00B92499" w14:paraId="3F8756FA" w14:textId="77777777" w:rsidTr="00D424B6">
        <w:trPr>
          <w:trHeight w:val="20"/>
          <w:tblHeader/>
        </w:trPr>
        <w:tc>
          <w:tcPr>
            <w:tcW w:w="0" w:type="auto"/>
            <w:tcBorders>
              <w:top w:val="nil"/>
              <w:left w:val="single" w:sz="4" w:space="0" w:color="auto"/>
              <w:bottom w:val="single" w:sz="4" w:space="0" w:color="auto"/>
              <w:right w:val="single" w:sz="4" w:space="0" w:color="auto"/>
            </w:tcBorders>
            <w:shd w:val="clear" w:color="auto" w:fill="00B0F0"/>
            <w:noWrap/>
            <w:vAlign w:val="center"/>
            <w:hideMark/>
          </w:tcPr>
          <w:p w14:paraId="51BAD235" w14:textId="77777777" w:rsidR="00615A43" w:rsidRPr="00B92499" w:rsidRDefault="00615A43" w:rsidP="00A027DB">
            <w:pPr>
              <w:jc w:val="center"/>
              <w:rPr>
                <w:rFonts w:ascii="Arial" w:hAnsi="Arial" w:cs="Arial"/>
                <w:b/>
                <w:bCs/>
                <w:color w:val="000000"/>
                <w:sz w:val="20"/>
                <w:szCs w:val="20"/>
              </w:rPr>
            </w:pPr>
            <w:r w:rsidRPr="00B92499">
              <w:rPr>
                <w:rFonts w:ascii="Arial" w:hAnsi="Arial" w:cs="Arial"/>
                <w:b/>
                <w:bCs/>
                <w:color w:val="000000"/>
                <w:sz w:val="20"/>
                <w:szCs w:val="20"/>
              </w:rPr>
              <w:t>Fracción</w:t>
            </w:r>
          </w:p>
        </w:tc>
        <w:tc>
          <w:tcPr>
            <w:tcW w:w="0" w:type="auto"/>
            <w:tcBorders>
              <w:top w:val="nil"/>
              <w:left w:val="nil"/>
              <w:bottom w:val="single" w:sz="4" w:space="0" w:color="auto"/>
              <w:right w:val="single" w:sz="4" w:space="0" w:color="auto"/>
            </w:tcBorders>
            <w:shd w:val="clear" w:color="auto" w:fill="00B0F0"/>
            <w:noWrap/>
            <w:vAlign w:val="center"/>
            <w:hideMark/>
          </w:tcPr>
          <w:p w14:paraId="071F297A" w14:textId="77777777" w:rsidR="00615A43" w:rsidRPr="00B92499" w:rsidRDefault="00615A43" w:rsidP="00A027DB">
            <w:pPr>
              <w:jc w:val="center"/>
              <w:rPr>
                <w:rFonts w:ascii="Arial" w:hAnsi="Arial" w:cs="Arial"/>
                <w:b/>
                <w:bCs/>
                <w:color w:val="000000"/>
                <w:sz w:val="20"/>
                <w:szCs w:val="20"/>
              </w:rPr>
            </w:pPr>
            <w:r w:rsidRPr="00B92499">
              <w:rPr>
                <w:rFonts w:ascii="Arial" w:hAnsi="Arial" w:cs="Arial"/>
                <w:b/>
                <w:bCs/>
                <w:color w:val="000000"/>
                <w:sz w:val="20"/>
                <w:szCs w:val="20"/>
              </w:rPr>
              <w:t>Resumen de la Fracción</w:t>
            </w:r>
          </w:p>
        </w:tc>
        <w:tc>
          <w:tcPr>
            <w:tcW w:w="1410" w:type="dxa"/>
            <w:tcBorders>
              <w:top w:val="nil"/>
              <w:left w:val="nil"/>
              <w:bottom w:val="single" w:sz="4" w:space="0" w:color="auto"/>
              <w:right w:val="single" w:sz="4" w:space="0" w:color="auto"/>
            </w:tcBorders>
            <w:shd w:val="clear" w:color="auto" w:fill="00B0F0"/>
            <w:vAlign w:val="center"/>
            <w:hideMark/>
          </w:tcPr>
          <w:p w14:paraId="5186E837" w14:textId="77777777" w:rsidR="00615A43" w:rsidRPr="00B92499" w:rsidRDefault="00615A43" w:rsidP="00A027DB">
            <w:pPr>
              <w:jc w:val="center"/>
              <w:rPr>
                <w:rFonts w:ascii="Arial" w:hAnsi="Arial" w:cs="Arial"/>
                <w:b/>
                <w:bCs/>
                <w:color w:val="000000"/>
                <w:sz w:val="20"/>
                <w:szCs w:val="20"/>
              </w:rPr>
            </w:pPr>
            <w:r w:rsidRPr="00B92499">
              <w:rPr>
                <w:rFonts w:ascii="Arial" w:hAnsi="Arial" w:cs="Arial"/>
                <w:b/>
                <w:bCs/>
                <w:color w:val="000000"/>
                <w:sz w:val="20"/>
                <w:szCs w:val="20"/>
              </w:rPr>
              <w:t>ICP</w:t>
            </w:r>
          </w:p>
        </w:tc>
      </w:tr>
      <w:tr w:rsidR="00615A43" w:rsidRPr="00B92499" w14:paraId="7A83C1C0" w14:textId="77777777" w:rsidTr="00D424B6">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6209C39" w14:textId="77777777" w:rsidR="00615A43" w:rsidRPr="00B92499" w:rsidRDefault="00615A43">
            <w:pPr>
              <w:jc w:val="center"/>
              <w:rPr>
                <w:rFonts w:ascii="Arial" w:hAnsi="Arial" w:cs="Arial"/>
                <w:color w:val="000000"/>
                <w:sz w:val="20"/>
                <w:szCs w:val="20"/>
              </w:rPr>
            </w:pPr>
            <w:r w:rsidRPr="00B92499">
              <w:rPr>
                <w:rFonts w:ascii="Arial" w:hAnsi="Arial" w:cs="Arial"/>
                <w:color w:val="000000"/>
                <w:sz w:val="20"/>
                <w:szCs w:val="20"/>
              </w:rPr>
              <w:t>I</w:t>
            </w:r>
          </w:p>
        </w:tc>
        <w:tc>
          <w:tcPr>
            <w:tcW w:w="0" w:type="auto"/>
            <w:tcBorders>
              <w:top w:val="nil"/>
              <w:left w:val="nil"/>
              <w:bottom w:val="single" w:sz="4" w:space="0" w:color="auto"/>
              <w:right w:val="single" w:sz="4" w:space="0" w:color="auto"/>
            </w:tcBorders>
            <w:shd w:val="clear" w:color="auto" w:fill="auto"/>
            <w:vAlign w:val="center"/>
            <w:hideMark/>
          </w:tcPr>
          <w:p w14:paraId="6C1603A8" w14:textId="77777777" w:rsidR="00615A43" w:rsidRPr="00B92499" w:rsidRDefault="00615A43">
            <w:pPr>
              <w:rPr>
                <w:rFonts w:ascii="Arial" w:hAnsi="Arial" w:cs="Arial"/>
                <w:color w:val="000000"/>
                <w:sz w:val="20"/>
                <w:szCs w:val="20"/>
              </w:rPr>
            </w:pPr>
            <w:r w:rsidRPr="00B92499">
              <w:rPr>
                <w:rFonts w:ascii="Arial" w:hAnsi="Arial" w:cs="Arial"/>
                <w:color w:val="000000"/>
                <w:sz w:val="20"/>
                <w:szCs w:val="20"/>
              </w:rPr>
              <w:t>Publicar la relación de los contratos colectivos de trabajo que tenga registrados, los boletines laborales, el registro de asociaciones, así como los informes mensuales que deriven de sus funciones.</w:t>
            </w:r>
          </w:p>
        </w:tc>
        <w:tc>
          <w:tcPr>
            <w:tcW w:w="1410" w:type="dxa"/>
            <w:tcBorders>
              <w:top w:val="nil"/>
              <w:left w:val="nil"/>
              <w:bottom w:val="single" w:sz="4" w:space="0" w:color="auto"/>
              <w:right w:val="single" w:sz="4" w:space="0" w:color="auto"/>
            </w:tcBorders>
            <w:shd w:val="clear" w:color="auto" w:fill="auto"/>
            <w:vAlign w:val="center"/>
            <w:hideMark/>
          </w:tcPr>
          <w:p w14:paraId="239732C7" w14:textId="77777777" w:rsidR="00615A43" w:rsidRPr="00B92499" w:rsidRDefault="00615A43">
            <w:pPr>
              <w:jc w:val="center"/>
              <w:rPr>
                <w:rFonts w:ascii="Arial" w:hAnsi="Arial" w:cs="Arial"/>
                <w:color w:val="000000"/>
                <w:sz w:val="20"/>
                <w:szCs w:val="20"/>
              </w:rPr>
            </w:pPr>
            <w:r w:rsidRPr="00B92499">
              <w:rPr>
                <w:rFonts w:ascii="Arial" w:hAnsi="Arial" w:cs="Arial"/>
                <w:color w:val="000000"/>
                <w:sz w:val="20"/>
                <w:szCs w:val="20"/>
              </w:rPr>
              <w:t>100</w:t>
            </w:r>
          </w:p>
        </w:tc>
      </w:tr>
      <w:tr w:rsidR="00D424B6" w:rsidRPr="00B92499" w14:paraId="0805CDE0" w14:textId="77777777" w:rsidTr="00D424B6">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BACCB34" w14:textId="77777777" w:rsidR="00615A43" w:rsidRPr="00B92499" w:rsidRDefault="00615A43">
            <w:pPr>
              <w:jc w:val="center"/>
              <w:rPr>
                <w:rFonts w:ascii="Arial" w:hAnsi="Arial" w:cs="Arial"/>
                <w:color w:val="000000"/>
                <w:sz w:val="20"/>
                <w:szCs w:val="20"/>
              </w:rPr>
            </w:pPr>
            <w:r w:rsidRPr="00B92499">
              <w:rPr>
                <w:rFonts w:ascii="Arial" w:hAnsi="Arial" w:cs="Arial"/>
                <w:color w:val="000000"/>
                <w:sz w:val="20"/>
                <w:szCs w:val="20"/>
              </w:rPr>
              <w:t>II</w:t>
            </w:r>
          </w:p>
        </w:tc>
        <w:tc>
          <w:tcPr>
            <w:tcW w:w="0" w:type="auto"/>
            <w:tcBorders>
              <w:top w:val="nil"/>
              <w:left w:val="nil"/>
              <w:bottom w:val="single" w:sz="4" w:space="0" w:color="auto"/>
              <w:right w:val="single" w:sz="4" w:space="0" w:color="auto"/>
            </w:tcBorders>
            <w:shd w:val="clear" w:color="auto" w:fill="auto"/>
            <w:vAlign w:val="center"/>
            <w:hideMark/>
          </w:tcPr>
          <w:p w14:paraId="1EFC4576" w14:textId="77777777" w:rsidR="00615A43" w:rsidRPr="00B92499" w:rsidRDefault="00615A43">
            <w:pPr>
              <w:rPr>
                <w:rFonts w:ascii="Arial" w:hAnsi="Arial" w:cs="Arial"/>
                <w:color w:val="000000"/>
                <w:sz w:val="20"/>
                <w:szCs w:val="20"/>
              </w:rPr>
            </w:pPr>
            <w:r w:rsidRPr="00B92499">
              <w:rPr>
                <w:rFonts w:ascii="Arial" w:hAnsi="Arial" w:cs="Arial"/>
                <w:color w:val="000000"/>
                <w:sz w:val="20"/>
                <w:szCs w:val="20"/>
              </w:rPr>
              <w:t>Los documentos del registro de los sindicatos, que deberán contener.</w:t>
            </w:r>
          </w:p>
        </w:tc>
        <w:tc>
          <w:tcPr>
            <w:tcW w:w="1410" w:type="dxa"/>
            <w:tcBorders>
              <w:top w:val="nil"/>
              <w:left w:val="nil"/>
              <w:bottom w:val="single" w:sz="4" w:space="0" w:color="auto"/>
              <w:right w:val="single" w:sz="4" w:space="0" w:color="auto"/>
            </w:tcBorders>
            <w:shd w:val="clear" w:color="auto" w:fill="auto"/>
            <w:vAlign w:val="center"/>
            <w:hideMark/>
          </w:tcPr>
          <w:p w14:paraId="4F0182DA" w14:textId="77777777" w:rsidR="00615A43" w:rsidRPr="00B92499" w:rsidRDefault="00615A43">
            <w:pPr>
              <w:jc w:val="center"/>
              <w:rPr>
                <w:rFonts w:ascii="Arial" w:hAnsi="Arial" w:cs="Arial"/>
                <w:color w:val="000000"/>
                <w:sz w:val="20"/>
                <w:szCs w:val="20"/>
              </w:rPr>
            </w:pPr>
            <w:r w:rsidRPr="00B92499">
              <w:rPr>
                <w:rFonts w:ascii="Arial" w:hAnsi="Arial" w:cs="Arial"/>
                <w:color w:val="000000"/>
                <w:sz w:val="20"/>
                <w:szCs w:val="20"/>
              </w:rPr>
              <w:t>100</w:t>
            </w:r>
          </w:p>
        </w:tc>
      </w:tr>
      <w:tr w:rsidR="00D424B6" w:rsidRPr="00B92499" w14:paraId="5AE8771B" w14:textId="77777777" w:rsidTr="00D424B6">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1B7B455" w14:textId="77777777" w:rsidR="00615A43" w:rsidRPr="00B92499" w:rsidRDefault="00615A43">
            <w:pPr>
              <w:jc w:val="center"/>
              <w:rPr>
                <w:rFonts w:ascii="Arial" w:hAnsi="Arial" w:cs="Arial"/>
                <w:color w:val="000000"/>
                <w:sz w:val="20"/>
                <w:szCs w:val="20"/>
              </w:rPr>
            </w:pPr>
            <w:r w:rsidRPr="00B92499">
              <w:rPr>
                <w:rFonts w:ascii="Arial" w:hAnsi="Arial" w:cs="Arial"/>
                <w:color w:val="000000"/>
                <w:sz w:val="20"/>
                <w:szCs w:val="20"/>
              </w:rPr>
              <w:t>III</w:t>
            </w:r>
          </w:p>
        </w:tc>
        <w:tc>
          <w:tcPr>
            <w:tcW w:w="0" w:type="auto"/>
            <w:tcBorders>
              <w:top w:val="nil"/>
              <w:left w:val="nil"/>
              <w:bottom w:val="single" w:sz="4" w:space="0" w:color="auto"/>
              <w:right w:val="single" w:sz="4" w:space="0" w:color="auto"/>
            </w:tcBorders>
            <w:shd w:val="clear" w:color="auto" w:fill="auto"/>
            <w:vAlign w:val="center"/>
            <w:hideMark/>
          </w:tcPr>
          <w:p w14:paraId="5F8E164A" w14:textId="77777777" w:rsidR="00615A43" w:rsidRPr="00B92499" w:rsidRDefault="00615A43">
            <w:pPr>
              <w:rPr>
                <w:rFonts w:ascii="Arial" w:hAnsi="Arial" w:cs="Arial"/>
                <w:color w:val="000000"/>
                <w:sz w:val="20"/>
                <w:szCs w:val="20"/>
              </w:rPr>
            </w:pPr>
            <w:r w:rsidRPr="00B92499">
              <w:rPr>
                <w:rFonts w:ascii="Arial" w:hAnsi="Arial" w:cs="Arial"/>
                <w:color w:val="000000"/>
                <w:sz w:val="20"/>
                <w:szCs w:val="20"/>
              </w:rPr>
              <w:t>Las tomas de nota.</w:t>
            </w:r>
          </w:p>
        </w:tc>
        <w:tc>
          <w:tcPr>
            <w:tcW w:w="1410" w:type="dxa"/>
            <w:tcBorders>
              <w:top w:val="nil"/>
              <w:left w:val="nil"/>
              <w:bottom w:val="single" w:sz="4" w:space="0" w:color="auto"/>
              <w:right w:val="single" w:sz="4" w:space="0" w:color="auto"/>
            </w:tcBorders>
            <w:shd w:val="clear" w:color="auto" w:fill="auto"/>
            <w:vAlign w:val="center"/>
            <w:hideMark/>
          </w:tcPr>
          <w:p w14:paraId="68FA06EC" w14:textId="77777777" w:rsidR="00615A43" w:rsidRPr="00B92499" w:rsidRDefault="00615A43">
            <w:pPr>
              <w:jc w:val="center"/>
              <w:rPr>
                <w:rFonts w:ascii="Arial" w:hAnsi="Arial" w:cs="Arial"/>
                <w:color w:val="000000"/>
                <w:sz w:val="20"/>
                <w:szCs w:val="20"/>
              </w:rPr>
            </w:pPr>
            <w:r w:rsidRPr="00B92499">
              <w:rPr>
                <w:rFonts w:ascii="Arial" w:hAnsi="Arial" w:cs="Arial"/>
                <w:color w:val="000000"/>
                <w:sz w:val="20"/>
                <w:szCs w:val="20"/>
              </w:rPr>
              <w:t>100</w:t>
            </w:r>
          </w:p>
        </w:tc>
      </w:tr>
      <w:tr w:rsidR="00D424B6" w:rsidRPr="00B92499" w14:paraId="2BD23D0E" w14:textId="77777777" w:rsidTr="00D424B6">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32E2BD0" w14:textId="77777777" w:rsidR="00615A43" w:rsidRPr="00B92499" w:rsidRDefault="00615A43">
            <w:pPr>
              <w:jc w:val="center"/>
              <w:rPr>
                <w:rFonts w:ascii="Arial" w:hAnsi="Arial" w:cs="Arial"/>
                <w:color w:val="000000"/>
                <w:sz w:val="20"/>
                <w:szCs w:val="20"/>
              </w:rPr>
            </w:pPr>
            <w:r w:rsidRPr="00B92499">
              <w:rPr>
                <w:rFonts w:ascii="Arial" w:hAnsi="Arial" w:cs="Arial"/>
                <w:color w:val="000000"/>
                <w:sz w:val="20"/>
                <w:szCs w:val="20"/>
              </w:rPr>
              <w:t>IV</w:t>
            </w:r>
          </w:p>
        </w:tc>
        <w:tc>
          <w:tcPr>
            <w:tcW w:w="0" w:type="auto"/>
            <w:tcBorders>
              <w:top w:val="nil"/>
              <w:left w:val="nil"/>
              <w:bottom w:val="single" w:sz="4" w:space="0" w:color="auto"/>
              <w:right w:val="single" w:sz="4" w:space="0" w:color="auto"/>
            </w:tcBorders>
            <w:shd w:val="clear" w:color="auto" w:fill="auto"/>
            <w:vAlign w:val="center"/>
            <w:hideMark/>
          </w:tcPr>
          <w:p w14:paraId="3D539EB5" w14:textId="77777777" w:rsidR="00615A43" w:rsidRPr="00B92499" w:rsidRDefault="00615A43">
            <w:pPr>
              <w:rPr>
                <w:rFonts w:ascii="Arial" w:hAnsi="Arial" w:cs="Arial"/>
                <w:color w:val="000000"/>
                <w:sz w:val="20"/>
                <w:szCs w:val="20"/>
              </w:rPr>
            </w:pPr>
            <w:r w:rsidRPr="00B92499">
              <w:rPr>
                <w:rFonts w:ascii="Arial" w:hAnsi="Arial" w:cs="Arial"/>
                <w:color w:val="000000"/>
                <w:sz w:val="20"/>
                <w:szCs w:val="20"/>
              </w:rPr>
              <w:t>El estatuto.</w:t>
            </w:r>
          </w:p>
        </w:tc>
        <w:tc>
          <w:tcPr>
            <w:tcW w:w="1410" w:type="dxa"/>
            <w:tcBorders>
              <w:top w:val="nil"/>
              <w:left w:val="nil"/>
              <w:bottom w:val="single" w:sz="4" w:space="0" w:color="auto"/>
              <w:right w:val="single" w:sz="4" w:space="0" w:color="auto"/>
            </w:tcBorders>
            <w:shd w:val="clear" w:color="auto" w:fill="auto"/>
            <w:vAlign w:val="center"/>
            <w:hideMark/>
          </w:tcPr>
          <w:p w14:paraId="4BFC5EEB" w14:textId="77777777" w:rsidR="00615A43" w:rsidRPr="00B92499" w:rsidRDefault="00615A43">
            <w:pPr>
              <w:jc w:val="center"/>
              <w:rPr>
                <w:rFonts w:ascii="Arial" w:hAnsi="Arial" w:cs="Arial"/>
                <w:color w:val="000000"/>
                <w:sz w:val="20"/>
                <w:szCs w:val="20"/>
              </w:rPr>
            </w:pPr>
            <w:r w:rsidRPr="00B92499">
              <w:rPr>
                <w:rFonts w:ascii="Arial" w:hAnsi="Arial" w:cs="Arial"/>
                <w:color w:val="000000"/>
                <w:sz w:val="20"/>
                <w:szCs w:val="20"/>
              </w:rPr>
              <w:t>100</w:t>
            </w:r>
          </w:p>
        </w:tc>
      </w:tr>
      <w:tr w:rsidR="00D424B6" w:rsidRPr="00B92499" w14:paraId="11EBBA92" w14:textId="77777777" w:rsidTr="00D424B6">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B7D1A34" w14:textId="77777777" w:rsidR="00615A43" w:rsidRPr="00B92499" w:rsidRDefault="00615A43">
            <w:pPr>
              <w:jc w:val="center"/>
              <w:rPr>
                <w:rFonts w:ascii="Arial" w:hAnsi="Arial" w:cs="Arial"/>
                <w:color w:val="000000"/>
                <w:sz w:val="20"/>
                <w:szCs w:val="20"/>
              </w:rPr>
            </w:pPr>
            <w:r w:rsidRPr="00B92499">
              <w:rPr>
                <w:rFonts w:ascii="Arial" w:hAnsi="Arial" w:cs="Arial"/>
                <w:color w:val="000000"/>
                <w:sz w:val="20"/>
                <w:szCs w:val="20"/>
              </w:rPr>
              <w:t>V</w:t>
            </w:r>
          </w:p>
        </w:tc>
        <w:tc>
          <w:tcPr>
            <w:tcW w:w="0" w:type="auto"/>
            <w:tcBorders>
              <w:top w:val="nil"/>
              <w:left w:val="nil"/>
              <w:bottom w:val="single" w:sz="4" w:space="0" w:color="auto"/>
              <w:right w:val="single" w:sz="4" w:space="0" w:color="auto"/>
            </w:tcBorders>
            <w:shd w:val="clear" w:color="auto" w:fill="auto"/>
            <w:vAlign w:val="center"/>
            <w:hideMark/>
          </w:tcPr>
          <w:p w14:paraId="496307BE" w14:textId="77777777" w:rsidR="00615A43" w:rsidRPr="00B92499" w:rsidRDefault="00615A43">
            <w:pPr>
              <w:rPr>
                <w:rFonts w:ascii="Arial" w:hAnsi="Arial" w:cs="Arial"/>
                <w:color w:val="000000"/>
                <w:sz w:val="20"/>
                <w:szCs w:val="20"/>
              </w:rPr>
            </w:pPr>
            <w:r w:rsidRPr="00B92499">
              <w:rPr>
                <w:rFonts w:ascii="Arial" w:hAnsi="Arial" w:cs="Arial"/>
                <w:color w:val="000000"/>
                <w:sz w:val="20"/>
                <w:szCs w:val="20"/>
              </w:rPr>
              <w:t>El padrón de socios.</w:t>
            </w:r>
          </w:p>
        </w:tc>
        <w:tc>
          <w:tcPr>
            <w:tcW w:w="1410" w:type="dxa"/>
            <w:tcBorders>
              <w:top w:val="nil"/>
              <w:left w:val="nil"/>
              <w:bottom w:val="single" w:sz="4" w:space="0" w:color="auto"/>
              <w:right w:val="single" w:sz="4" w:space="0" w:color="auto"/>
            </w:tcBorders>
            <w:shd w:val="clear" w:color="auto" w:fill="auto"/>
            <w:vAlign w:val="center"/>
            <w:hideMark/>
          </w:tcPr>
          <w:p w14:paraId="772CEF78" w14:textId="77777777" w:rsidR="00615A43" w:rsidRPr="00B92499" w:rsidRDefault="00615A43">
            <w:pPr>
              <w:jc w:val="center"/>
              <w:rPr>
                <w:rFonts w:ascii="Arial" w:hAnsi="Arial" w:cs="Arial"/>
                <w:color w:val="000000"/>
                <w:sz w:val="20"/>
                <w:szCs w:val="20"/>
              </w:rPr>
            </w:pPr>
            <w:r w:rsidRPr="00B92499">
              <w:rPr>
                <w:rFonts w:ascii="Arial" w:hAnsi="Arial" w:cs="Arial"/>
                <w:color w:val="000000"/>
                <w:sz w:val="20"/>
                <w:szCs w:val="20"/>
              </w:rPr>
              <w:t>100</w:t>
            </w:r>
          </w:p>
        </w:tc>
      </w:tr>
      <w:tr w:rsidR="00D424B6" w:rsidRPr="00B92499" w14:paraId="073561E6" w14:textId="77777777" w:rsidTr="00D424B6">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B611CC7" w14:textId="77777777" w:rsidR="00615A43" w:rsidRPr="00B92499" w:rsidRDefault="00615A43">
            <w:pPr>
              <w:jc w:val="center"/>
              <w:rPr>
                <w:rFonts w:ascii="Arial" w:hAnsi="Arial" w:cs="Arial"/>
                <w:color w:val="000000"/>
                <w:sz w:val="20"/>
                <w:szCs w:val="20"/>
              </w:rPr>
            </w:pPr>
            <w:r w:rsidRPr="00B92499">
              <w:rPr>
                <w:rFonts w:ascii="Arial" w:hAnsi="Arial" w:cs="Arial"/>
                <w:color w:val="000000"/>
                <w:sz w:val="20"/>
                <w:szCs w:val="20"/>
              </w:rPr>
              <w:t>VIII</w:t>
            </w:r>
          </w:p>
        </w:tc>
        <w:tc>
          <w:tcPr>
            <w:tcW w:w="0" w:type="auto"/>
            <w:tcBorders>
              <w:top w:val="nil"/>
              <w:left w:val="nil"/>
              <w:bottom w:val="single" w:sz="4" w:space="0" w:color="auto"/>
              <w:right w:val="single" w:sz="4" w:space="0" w:color="auto"/>
            </w:tcBorders>
            <w:shd w:val="clear" w:color="auto" w:fill="auto"/>
            <w:vAlign w:val="center"/>
            <w:hideMark/>
          </w:tcPr>
          <w:p w14:paraId="7799B86F" w14:textId="28A5FFF2" w:rsidR="00615A43" w:rsidRPr="00B92499" w:rsidRDefault="00615A43">
            <w:pPr>
              <w:rPr>
                <w:rFonts w:ascii="Arial" w:hAnsi="Arial" w:cs="Arial"/>
                <w:color w:val="000000"/>
                <w:sz w:val="20"/>
                <w:szCs w:val="20"/>
              </w:rPr>
            </w:pPr>
            <w:r w:rsidRPr="00B92499">
              <w:rPr>
                <w:rFonts w:ascii="Arial" w:hAnsi="Arial" w:cs="Arial"/>
                <w:color w:val="000000"/>
                <w:sz w:val="20"/>
                <w:szCs w:val="20"/>
              </w:rPr>
              <w:t>Los contratos colectivos, incluyendo el tabulador, convenios y las</w:t>
            </w:r>
            <w:r w:rsidR="00735992" w:rsidRPr="00B92499">
              <w:rPr>
                <w:rFonts w:ascii="Arial" w:hAnsi="Arial" w:cs="Arial"/>
                <w:color w:val="000000"/>
                <w:sz w:val="20"/>
                <w:szCs w:val="20"/>
              </w:rPr>
              <w:t xml:space="preserve"> </w:t>
            </w:r>
            <w:r w:rsidRPr="00B92499">
              <w:rPr>
                <w:rFonts w:ascii="Arial" w:hAnsi="Arial" w:cs="Arial"/>
                <w:color w:val="000000"/>
                <w:sz w:val="20"/>
                <w:szCs w:val="20"/>
              </w:rPr>
              <w:t>condiciones</w:t>
            </w:r>
            <w:r w:rsidR="00735992" w:rsidRPr="00B92499">
              <w:rPr>
                <w:rFonts w:ascii="Arial" w:hAnsi="Arial" w:cs="Arial"/>
                <w:color w:val="000000"/>
                <w:sz w:val="20"/>
                <w:szCs w:val="20"/>
              </w:rPr>
              <w:t xml:space="preserve"> </w:t>
            </w:r>
            <w:r w:rsidRPr="00B92499">
              <w:rPr>
                <w:rFonts w:ascii="Arial" w:hAnsi="Arial" w:cs="Arial"/>
                <w:color w:val="000000"/>
                <w:sz w:val="20"/>
                <w:szCs w:val="20"/>
              </w:rPr>
              <w:t>generales de trabajo.</w:t>
            </w:r>
          </w:p>
        </w:tc>
        <w:tc>
          <w:tcPr>
            <w:tcW w:w="1410" w:type="dxa"/>
            <w:tcBorders>
              <w:top w:val="nil"/>
              <w:left w:val="nil"/>
              <w:bottom w:val="single" w:sz="4" w:space="0" w:color="auto"/>
              <w:right w:val="single" w:sz="4" w:space="0" w:color="auto"/>
            </w:tcBorders>
            <w:shd w:val="clear" w:color="auto" w:fill="auto"/>
            <w:vAlign w:val="center"/>
            <w:hideMark/>
          </w:tcPr>
          <w:p w14:paraId="5F4578BA" w14:textId="77777777" w:rsidR="00615A43" w:rsidRPr="00B92499" w:rsidRDefault="00615A43">
            <w:pPr>
              <w:jc w:val="center"/>
              <w:rPr>
                <w:rFonts w:ascii="Arial" w:hAnsi="Arial" w:cs="Arial"/>
                <w:color w:val="000000"/>
                <w:sz w:val="20"/>
                <w:szCs w:val="20"/>
              </w:rPr>
            </w:pPr>
            <w:r w:rsidRPr="00B92499">
              <w:rPr>
                <w:rFonts w:ascii="Arial" w:hAnsi="Arial" w:cs="Arial"/>
                <w:color w:val="000000"/>
                <w:sz w:val="20"/>
                <w:szCs w:val="20"/>
              </w:rPr>
              <w:t>100</w:t>
            </w:r>
          </w:p>
        </w:tc>
      </w:tr>
      <w:tr w:rsidR="00D424B6" w:rsidRPr="00B92499" w14:paraId="62761999" w14:textId="77777777" w:rsidTr="00D424B6">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5F95E5E" w14:textId="77777777" w:rsidR="00615A43" w:rsidRPr="00B92499" w:rsidRDefault="00615A43">
            <w:pPr>
              <w:jc w:val="center"/>
              <w:rPr>
                <w:rFonts w:ascii="Arial" w:hAnsi="Arial" w:cs="Arial"/>
                <w:color w:val="000000"/>
                <w:sz w:val="20"/>
                <w:szCs w:val="20"/>
              </w:rPr>
            </w:pPr>
            <w:r w:rsidRPr="00B92499">
              <w:rPr>
                <w:rFonts w:ascii="Arial" w:hAnsi="Arial" w:cs="Arial"/>
                <w:color w:val="000000"/>
                <w:sz w:val="20"/>
                <w:szCs w:val="20"/>
              </w:rPr>
              <w:t>IX</w:t>
            </w:r>
          </w:p>
        </w:tc>
        <w:tc>
          <w:tcPr>
            <w:tcW w:w="0" w:type="auto"/>
            <w:tcBorders>
              <w:top w:val="nil"/>
              <w:left w:val="nil"/>
              <w:bottom w:val="single" w:sz="4" w:space="0" w:color="auto"/>
              <w:right w:val="single" w:sz="4" w:space="0" w:color="auto"/>
            </w:tcBorders>
            <w:shd w:val="clear" w:color="auto" w:fill="auto"/>
            <w:vAlign w:val="center"/>
            <w:hideMark/>
          </w:tcPr>
          <w:p w14:paraId="6AA5FD42" w14:textId="77777777" w:rsidR="00615A43" w:rsidRPr="00B92499" w:rsidRDefault="00615A43">
            <w:pPr>
              <w:rPr>
                <w:rFonts w:ascii="Arial" w:hAnsi="Arial" w:cs="Arial"/>
                <w:color w:val="000000"/>
                <w:sz w:val="20"/>
                <w:szCs w:val="20"/>
              </w:rPr>
            </w:pPr>
            <w:r w:rsidRPr="00B92499">
              <w:rPr>
                <w:rFonts w:ascii="Arial" w:hAnsi="Arial" w:cs="Arial"/>
                <w:color w:val="000000"/>
                <w:sz w:val="20"/>
                <w:szCs w:val="20"/>
              </w:rPr>
              <w:t>Todos los documentos contenidos en el Expediente de registro sindical y de contratos colectivos de trabajo; y</w:t>
            </w:r>
          </w:p>
        </w:tc>
        <w:tc>
          <w:tcPr>
            <w:tcW w:w="1410" w:type="dxa"/>
            <w:tcBorders>
              <w:top w:val="nil"/>
              <w:left w:val="nil"/>
              <w:bottom w:val="single" w:sz="4" w:space="0" w:color="auto"/>
              <w:right w:val="single" w:sz="4" w:space="0" w:color="auto"/>
            </w:tcBorders>
            <w:shd w:val="clear" w:color="auto" w:fill="auto"/>
            <w:vAlign w:val="center"/>
            <w:hideMark/>
          </w:tcPr>
          <w:p w14:paraId="7CF1C742" w14:textId="77777777" w:rsidR="00615A43" w:rsidRPr="00B92499" w:rsidRDefault="00615A43">
            <w:pPr>
              <w:jc w:val="center"/>
              <w:rPr>
                <w:rFonts w:ascii="Arial" w:hAnsi="Arial" w:cs="Arial"/>
                <w:color w:val="000000"/>
                <w:sz w:val="20"/>
                <w:szCs w:val="20"/>
              </w:rPr>
            </w:pPr>
            <w:r w:rsidRPr="00B92499">
              <w:rPr>
                <w:rFonts w:ascii="Arial" w:hAnsi="Arial" w:cs="Arial"/>
                <w:color w:val="000000"/>
                <w:sz w:val="20"/>
                <w:szCs w:val="20"/>
              </w:rPr>
              <w:t>100</w:t>
            </w:r>
          </w:p>
        </w:tc>
      </w:tr>
      <w:tr w:rsidR="00D424B6" w:rsidRPr="00B92499" w14:paraId="6AE65B42" w14:textId="77777777" w:rsidTr="00D424B6">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7C0EEB4" w14:textId="77777777" w:rsidR="00615A43" w:rsidRPr="00B92499" w:rsidRDefault="00615A43">
            <w:pPr>
              <w:jc w:val="center"/>
              <w:rPr>
                <w:rFonts w:ascii="Arial" w:hAnsi="Arial" w:cs="Arial"/>
                <w:color w:val="000000"/>
                <w:sz w:val="20"/>
                <w:szCs w:val="20"/>
              </w:rPr>
            </w:pPr>
            <w:r w:rsidRPr="00B92499">
              <w:rPr>
                <w:rFonts w:ascii="Arial" w:hAnsi="Arial" w:cs="Arial"/>
                <w:color w:val="000000"/>
                <w:sz w:val="20"/>
                <w:szCs w:val="20"/>
              </w:rPr>
              <w:t>X</w:t>
            </w:r>
          </w:p>
        </w:tc>
        <w:tc>
          <w:tcPr>
            <w:tcW w:w="0" w:type="auto"/>
            <w:tcBorders>
              <w:top w:val="nil"/>
              <w:left w:val="nil"/>
              <w:bottom w:val="single" w:sz="4" w:space="0" w:color="auto"/>
              <w:right w:val="single" w:sz="4" w:space="0" w:color="auto"/>
            </w:tcBorders>
            <w:shd w:val="clear" w:color="auto" w:fill="auto"/>
            <w:vAlign w:val="center"/>
            <w:hideMark/>
          </w:tcPr>
          <w:p w14:paraId="6F924D59" w14:textId="77777777" w:rsidR="00615A43" w:rsidRPr="00B92499" w:rsidRDefault="00615A43">
            <w:pPr>
              <w:rPr>
                <w:rFonts w:ascii="Arial" w:hAnsi="Arial" w:cs="Arial"/>
                <w:color w:val="000000"/>
                <w:sz w:val="20"/>
                <w:szCs w:val="20"/>
              </w:rPr>
            </w:pPr>
            <w:r w:rsidRPr="00B92499">
              <w:rPr>
                <w:rFonts w:ascii="Arial" w:hAnsi="Arial" w:cs="Arial"/>
                <w:color w:val="000000"/>
                <w:sz w:val="20"/>
                <w:szCs w:val="20"/>
              </w:rPr>
              <w:t>Una lista con el nombre de los patrones, empresas o establecimientos en los que se prestan los servicios.</w:t>
            </w:r>
          </w:p>
        </w:tc>
        <w:tc>
          <w:tcPr>
            <w:tcW w:w="1410" w:type="dxa"/>
            <w:tcBorders>
              <w:top w:val="nil"/>
              <w:left w:val="nil"/>
              <w:bottom w:val="single" w:sz="4" w:space="0" w:color="auto"/>
              <w:right w:val="single" w:sz="4" w:space="0" w:color="auto"/>
            </w:tcBorders>
            <w:shd w:val="clear" w:color="auto" w:fill="auto"/>
            <w:vAlign w:val="center"/>
            <w:hideMark/>
          </w:tcPr>
          <w:p w14:paraId="5AAE46FE" w14:textId="77777777" w:rsidR="00615A43" w:rsidRPr="00B92499" w:rsidRDefault="00D424B6">
            <w:pPr>
              <w:jc w:val="center"/>
              <w:rPr>
                <w:rFonts w:ascii="Arial" w:hAnsi="Arial" w:cs="Arial"/>
                <w:color w:val="000000"/>
                <w:sz w:val="20"/>
                <w:szCs w:val="20"/>
              </w:rPr>
            </w:pPr>
            <w:r w:rsidRPr="00B92499">
              <w:rPr>
                <w:rFonts w:ascii="Arial" w:hAnsi="Arial" w:cs="Arial"/>
                <w:color w:val="000000"/>
                <w:sz w:val="20"/>
                <w:szCs w:val="20"/>
              </w:rPr>
              <w:t>10</w:t>
            </w:r>
            <w:r w:rsidR="00615A43" w:rsidRPr="00B92499">
              <w:rPr>
                <w:rFonts w:ascii="Arial" w:hAnsi="Arial" w:cs="Arial"/>
                <w:color w:val="000000"/>
                <w:sz w:val="20"/>
                <w:szCs w:val="20"/>
              </w:rPr>
              <w:t>0</w:t>
            </w:r>
          </w:p>
        </w:tc>
      </w:tr>
      <w:tr w:rsidR="00D424B6" w:rsidRPr="00B92499" w14:paraId="74593EDE" w14:textId="77777777" w:rsidTr="00D424B6">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247DCC7" w14:textId="77777777" w:rsidR="00D424B6" w:rsidRPr="00B92499" w:rsidRDefault="00D424B6" w:rsidP="00A027DB">
            <w:pPr>
              <w:jc w:val="center"/>
              <w:rPr>
                <w:rFonts w:ascii="Arial" w:hAnsi="Arial" w:cs="Arial"/>
                <w:color w:val="000000"/>
                <w:sz w:val="20"/>
                <w:szCs w:val="20"/>
              </w:rPr>
            </w:pPr>
            <w:r w:rsidRPr="00B92499">
              <w:rPr>
                <w:rFonts w:ascii="Arial" w:hAnsi="Arial" w:cs="Arial"/>
                <w:color w:val="000000"/>
                <w:sz w:val="20"/>
                <w:szCs w:val="20"/>
              </w:rPr>
              <w:t>VII</w:t>
            </w:r>
          </w:p>
        </w:tc>
        <w:tc>
          <w:tcPr>
            <w:tcW w:w="0" w:type="auto"/>
            <w:tcBorders>
              <w:top w:val="nil"/>
              <w:left w:val="nil"/>
              <w:bottom w:val="single" w:sz="4" w:space="0" w:color="auto"/>
              <w:right w:val="single" w:sz="4" w:space="0" w:color="auto"/>
            </w:tcBorders>
            <w:shd w:val="clear" w:color="auto" w:fill="auto"/>
            <w:vAlign w:val="center"/>
            <w:hideMark/>
          </w:tcPr>
          <w:p w14:paraId="39ED840D" w14:textId="77777777" w:rsidR="00D424B6" w:rsidRPr="00B92499" w:rsidRDefault="00D424B6" w:rsidP="00A027DB">
            <w:pPr>
              <w:rPr>
                <w:rFonts w:ascii="Arial" w:hAnsi="Arial" w:cs="Arial"/>
                <w:color w:val="000000"/>
                <w:sz w:val="20"/>
                <w:szCs w:val="20"/>
              </w:rPr>
            </w:pPr>
            <w:r w:rsidRPr="00B92499">
              <w:rPr>
                <w:rFonts w:ascii="Arial" w:hAnsi="Arial" w:cs="Arial"/>
                <w:color w:val="000000"/>
                <w:sz w:val="20"/>
                <w:szCs w:val="20"/>
              </w:rPr>
              <w:t>Los reglamentos interiores de trabajo.</w:t>
            </w:r>
          </w:p>
        </w:tc>
        <w:tc>
          <w:tcPr>
            <w:tcW w:w="1410" w:type="dxa"/>
            <w:tcBorders>
              <w:top w:val="nil"/>
              <w:left w:val="nil"/>
              <w:bottom w:val="single" w:sz="4" w:space="0" w:color="auto"/>
              <w:right w:val="single" w:sz="4" w:space="0" w:color="auto"/>
            </w:tcBorders>
            <w:shd w:val="clear" w:color="auto" w:fill="auto"/>
            <w:vAlign w:val="center"/>
            <w:hideMark/>
          </w:tcPr>
          <w:p w14:paraId="67EFC4AE" w14:textId="5B3F40F4" w:rsidR="00D424B6" w:rsidRPr="00B92499" w:rsidRDefault="00D424B6" w:rsidP="00B254C5">
            <w:pPr>
              <w:jc w:val="center"/>
              <w:rPr>
                <w:rFonts w:ascii="Arial" w:hAnsi="Arial" w:cs="Arial"/>
                <w:color w:val="000000"/>
                <w:sz w:val="20"/>
                <w:szCs w:val="20"/>
              </w:rPr>
            </w:pPr>
            <w:r w:rsidRPr="00B92499">
              <w:rPr>
                <w:rFonts w:ascii="Arial" w:hAnsi="Arial" w:cs="Arial"/>
                <w:color w:val="000000"/>
                <w:sz w:val="20"/>
                <w:szCs w:val="20"/>
              </w:rPr>
              <w:t>99.66</w:t>
            </w:r>
          </w:p>
        </w:tc>
      </w:tr>
      <w:tr w:rsidR="00D424B6" w:rsidRPr="00B92499" w14:paraId="27935A2C" w14:textId="77777777" w:rsidTr="00D424B6">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ECDCDED" w14:textId="77777777" w:rsidR="00D424B6" w:rsidRPr="00B92499" w:rsidRDefault="00D424B6" w:rsidP="00A027DB">
            <w:pPr>
              <w:jc w:val="center"/>
              <w:rPr>
                <w:rFonts w:ascii="Arial" w:hAnsi="Arial" w:cs="Arial"/>
                <w:color w:val="000000"/>
                <w:sz w:val="20"/>
                <w:szCs w:val="20"/>
              </w:rPr>
            </w:pPr>
            <w:r w:rsidRPr="00B92499">
              <w:rPr>
                <w:rFonts w:ascii="Arial" w:hAnsi="Arial" w:cs="Arial"/>
                <w:color w:val="000000"/>
                <w:sz w:val="20"/>
                <w:szCs w:val="20"/>
              </w:rPr>
              <w:t>VI</w:t>
            </w:r>
          </w:p>
        </w:tc>
        <w:tc>
          <w:tcPr>
            <w:tcW w:w="0" w:type="auto"/>
            <w:tcBorders>
              <w:top w:val="nil"/>
              <w:left w:val="nil"/>
              <w:bottom w:val="single" w:sz="4" w:space="0" w:color="auto"/>
              <w:right w:val="single" w:sz="4" w:space="0" w:color="auto"/>
            </w:tcBorders>
            <w:shd w:val="clear" w:color="auto" w:fill="auto"/>
            <w:vAlign w:val="center"/>
            <w:hideMark/>
          </w:tcPr>
          <w:p w14:paraId="5861B990" w14:textId="77777777" w:rsidR="00D424B6" w:rsidRPr="00B92499" w:rsidRDefault="00D424B6" w:rsidP="00A027DB">
            <w:pPr>
              <w:rPr>
                <w:rFonts w:ascii="Arial" w:hAnsi="Arial" w:cs="Arial"/>
                <w:color w:val="000000"/>
                <w:sz w:val="20"/>
                <w:szCs w:val="20"/>
              </w:rPr>
            </w:pPr>
            <w:r w:rsidRPr="00B92499">
              <w:rPr>
                <w:rFonts w:ascii="Arial" w:hAnsi="Arial" w:cs="Arial"/>
                <w:color w:val="000000"/>
                <w:sz w:val="20"/>
                <w:szCs w:val="20"/>
              </w:rPr>
              <w:t>Las actas de asamblea.</w:t>
            </w:r>
          </w:p>
        </w:tc>
        <w:tc>
          <w:tcPr>
            <w:tcW w:w="1410" w:type="dxa"/>
            <w:tcBorders>
              <w:top w:val="nil"/>
              <w:left w:val="nil"/>
              <w:bottom w:val="single" w:sz="4" w:space="0" w:color="auto"/>
              <w:right w:val="single" w:sz="4" w:space="0" w:color="auto"/>
            </w:tcBorders>
            <w:shd w:val="clear" w:color="auto" w:fill="auto"/>
            <w:vAlign w:val="center"/>
            <w:hideMark/>
          </w:tcPr>
          <w:p w14:paraId="3818B98E" w14:textId="6913FE37" w:rsidR="00D424B6" w:rsidRPr="00B92499" w:rsidRDefault="00D424B6" w:rsidP="00B254C5">
            <w:pPr>
              <w:jc w:val="center"/>
              <w:rPr>
                <w:rFonts w:ascii="Arial" w:hAnsi="Arial" w:cs="Arial"/>
                <w:color w:val="000000"/>
                <w:sz w:val="20"/>
                <w:szCs w:val="20"/>
              </w:rPr>
            </w:pPr>
            <w:r w:rsidRPr="00B92499">
              <w:rPr>
                <w:rFonts w:ascii="Arial" w:hAnsi="Arial" w:cs="Arial"/>
                <w:color w:val="000000"/>
                <w:sz w:val="20"/>
                <w:szCs w:val="20"/>
              </w:rPr>
              <w:t>99.2</w:t>
            </w:r>
            <w:r w:rsidR="00B254C5" w:rsidRPr="00B92499">
              <w:rPr>
                <w:rFonts w:ascii="Arial" w:hAnsi="Arial" w:cs="Arial"/>
                <w:color w:val="000000"/>
                <w:sz w:val="20"/>
                <w:szCs w:val="20"/>
              </w:rPr>
              <w:t>2</w:t>
            </w:r>
          </w:p>
        </w:tc>
      </w:tr>
    </w:tbl>
    <w:p w14:paraId="5AF71ECD" w14:textId="77777777" w:rsidR="00615A43" w:rsidRPr="00B92499" w:rsidRDefault="00615A43" w:rsidP="00615A43">
      <w:pPr>
        <w:spacing w:before="100" w:beforeAutospacing="1" w:after="100" w:afterAutospacing="1" w:line="360" w:lineRule="auto"/>
        <w:jc w:val="both"/>
        <w:rPr>
          <w:rFonts w:ascii="Arial" w:hAnsi="Arial" w:cs="Arial"/>
        </w:rPr>
      </w:pPr>
    </w:p>
    <w:p w14:paraId="55658FFD" w14:textId="432DF4D8" w:rsidR="000D3657" w:rsidRPr="00B92499" w:rsidRDefault="000D3657" w:rsidP="009F64B5">
      <w:pPr>
        <w:pStyle w:val="Ttulo2"/>
        <w:numPr>
          <w:ilvl w:val="1"/>
          <w:numId w:val="20"/>
        </w:numPr>
        <w:contextualSpacing/>
        <w:jc w:val="both"/>
        <w:rPr>
          <w:rFonts w:ascii="Arial" w:hAnsi="Arial" w:cs="Arial"/>
          <w:b/>
          <w:color w:val="auto"/>
          <w:sz w:val="24"/>
          <w:szCs w:val="24"/>
        </w:rPr>
      </w:pPr>
      <w:bookmarkStart w:id="54" w:name="_Toc23253010"/>
      <w:r w:rsidRPr="00B92499">
        <w:rPr>
          <w:rFonts w:ascii="Arial" w:hAnsi="Arial" w:cs="Arial"/>
          <w:b/>
          <w:color w:val="auto"/>
          <w:sz w:val="24"/>
          <w:szCs w:val="24"/>
        </w:rPr>
        <w:t xml:space="preserve">Análisis del </w:t>
      </w:r>
      <w:r w:rsidR="008F67E4" w:rsidRPr="00B92499">
        <w:rPr>
          <w:rFonts w:ascii="Arial" w:hAnsi="Arial" w:cs="Arial"/>
          <w:b/>
          <w:color w:val="auto"/>
          <w:sz w:val="24"/>
          <w:szCs w:val="24"/>
        </w:rPr>
        <w:t>artículo</w:t>
      </w:r>
      <w:r w:rsidRPr="00B92499">
        <w:rPr>
          <w:rFonts w:ascii="Arial" w:hAnsi="Arial" w:cs="Arial"/>
          <w:b/>
          <w:color w:val="auto"/>
          <w:sz w:val="24"/>
          <w:szCs w:val="24"/>
        </w:rPr>
        <w:t xml:space="preserve"> 138 y sus respectivas fracciones</w:t>
      </w:r>
      <w:bookmarkEnd w:id="54"/>
    </w:p>
    <w:p w14:paraId="3451BDDE" w14:textId="2E918A2B" w:rsidR="00615A43" w:rsidRPr="00B92499" w:rsidRDefault="00615A43" w:rsidP="00615A43">
      <w:pPr>
        <w:spacing w:before="100" w:beforeAutospacing="1" w:after="100" w:afterAutospacing="1" w:line="360" w:lineRule="auto"/>
        <w:contextualSpacing/>
        <w:jc w:val="both"/>
        <w:rPr>
          <w:rFonts w:ascii="Arial" w:hAnsi="Arial" w:cs="Arial"/>
        </w:rPr>
      </w:pPr>
      <w:r w:rsidRPr="00B92499">
        <w:rPr>
          <w:rFonts w:ascii="Arial" w:hAnsi="Arial" w:cs="Arial"/>
        </w:rPr>
        <w:t>El sindicato obtuvo un ICP en este artículo de 79.57%, por lo que se encuentra dentro del área de cumplimiento parcial. Lo anterior se debió a que de las</w:t>
      </w:r>
      <w:r w:rsidR="000D67A7" w:rsidRPr="00B92499">
        <w:rPr>
          <w:rFonts w:ascii="Arial" w:hAnsi="Arial" w:cs="Arial"/>
        </w:rPr>
        <w:t xml:space="preserve"> 4 </w:t>
      </w:r>
      <w:r w:rsidRPr="00B92499">
        <w:rPr>
          <w:rFonts w:ascii="Arial" w:hAnsi="Arial" w:cs="Arial"/>
        </w:rPr>
        <w:t>fracciones que les son aplicables, en</w:t>
      </w:r>
      <w:r w:rsidR="000D67A7" w:rsidRPr="00B92499">
        <w:rPr>
          <w:rFonts w:ascii="Arial" w:hAnsi="Arial" w:cs="Arial"/>
        </w:rPr>
        <w:t xml:space="preserve"> 3 </w:t>
      </w:r>
      <w:r w:rsidRPr="00B92499">
        <w:rPr>
          <w:rFonts w:ascii="Arial" w:hAnsi="Arial" w:cs="Arial"/>
        </w:rPr>
        <w:t xml:space="preserve">alcanzó un cumplimiento total de 100%, y en una fracción obtuvo un incumplimiento total. </w:t>
      </w:r>
    </w:p>
    <w:p w14:paraId="3EEDC923" w14:textId="77777777" w:rsidR="00615A43" w:rsidRPr="00B92499" w:rsidRDefault="00615A43" w:rsidP="00615A43">
      <w:pPr>
        <w:spacing w:before="100" w:beforeAutospacing="1" w:after="100" w:afterAutospacing="1" w:line="360" w:lineRule="auto"/>
        <w:contextualSpacing/>
        <w:jc w:val="both"/>
        <w:rPr>
          <w:rFonts w:ascii="Arial" w:hAnsi="Arial" w:cs="Arial"/>
        </w:rPr>
      </w:pPr>
    </w:p>
    <w:p w14:paraId="434A153D" w14:textId="30CBB7F0" w:rsidR="00F55D12" w:rsidRPr="00B92499" w:rsidRDefault="00615A43" w:rsidP="00615A43">
      <w:pPr>
        <w:spacing w:before="100" w:beforeAutospacing="1" w:after="100" w:afterAutospacing="1" w:line="360" w:lineRule="auto"/>
        <w:contextualSpacing/>
        <w:jc w:val="both"/>
        <w:rPr>
          <w:rFonts w:ascii="Arial" w:hAnsi="Arial" w:cs="Arial"/>
        </w:rPr>
      </w:pPr>
      <w:r w:rsidRPr="00B92499">
        <w:rPr>
          <w:rFonts w:ascii="Arial" w:hAnsi="Arial" w:cs="Arial"/>
        </w:rPr>
        <w:t xml:space="preserve">En esta línea, </w:t>
      </w:r>
      <w:r w:rsidR="00F55D12" w:rsidRPr="00B92499">
        <w:rPr>
          <w:rFonts w:ascii="Arial" w:hAnsi="Arial" w:cs="Arial"/>
        </w:rPr>
        <w:t xml:space="preserve">la fracción IV obtuvo un ICP de 28.37%, en la cual se mandata la publicación de la relación detallada de los recursos públicos económicos, en especie, bienes o donativos que reciban y el informe detallado del ejercicio y destino final de los recursos públicos que ejerzan. El área de oportunidad del </w:t>
      </w:r>
      <w:r w:rsidR="008710F6" w:rsidRPr="00B92499">
        <w:rPr>
          <w:rFonts w:ascii="Arial" w:hAnsi="Arial" w:cs="Arial"/>
        </w:rPr>
        <w:t>sujeto obligado</w:t>
      </w:r>
      <w:r w:rsidR="00F55D12" w:rsidRPr="00B92499">
        <w:rPr>
          <w:rFonts w:ascii="Arial" w:hAnsi="Arial" w:cs="Arial"/>
        </w:rPr>
        <w:t xml:space="preserve"> consta</w:t>
      </w:r>
      <w:r w:rsidR="00D424B6" w:rsidRPr="00B92499">
        <w:rPr>
          <w:rFonts w:ascii="Arial" w:hAnsi="Arial" w:cs="Arial"/>
        </w:rPr>
        <w:t xml:space="preserve"> en realizar la publicación y actualización de información correspondiente al primer semestre del año 2019. </w:t>
      </w:r>
    </w:p>
    <w:p w14:paraId="0C1D909E" w14:textId="77777777" w:rsidR="00F55D12" w:rsidRPr="00B92499" w:rsidRDefault="00F55D12" w:rsidP="00615A43">
      <w:pPr>
        <w:spacing w:before="100" w:beforeAutospacing="1" w:after="100" w:afterAutospacing="1" w:line="360" w:lineRule="auto"/>
        <w:contextualSpacing/>
        <w:jc w:val="both"/>
        <w:rPr>
          <w:rFonts w:ascii="Arial" w:hAnsi="Arial" w:cs="Arial"/>
        </w:rPr>
      </w:pPr>
    </w:p>
    <w:p w14:paraId="130B6065" w14:textId="20F14611" w:rsidR="00735992" w:rsidRPr="00B92499" w:rsidRDefault="00735992" w:rsidP="00615A43">
      <w:pPr>
        <w:spacing w:before="100" w:beforeAutospacing="1" w:after="100" w:afterAutospacing="1" w:line="360" w:lineRule="auto"/>
        <w:jc w:val="both"/>
        <w:rPr>
          <w:rFonts w:ascii="Arial" w:hAnsi="Arial" w:cs="Arial"/>
        </w:rPr>
      </w:pPr>
      <w:r w:rsidRPr="00B92499">
        <w:rPr>
          <w:rFonts w:ascii="Arial" w:hAnsi="Arial" w:cs="Arial"/>
        </w:rPr>
        <w:t>Con el objetivo de mostrar con mayor detalle el ICP de cada fracción del artículo 138 es presentada la siguiente tabla ordenada de forma descendente.</w:t>
      </w:r>
    </w:p>
    <w:tbl>
      <w:tblPr>
        <w:tblW w:w="8930" w:type="dxa"/>
        <w:tblCellMar>
          <w:left w:w="70" w:type="dxa"/>
          <w:right w:w="70" w:type="dxa"/>
        </w:tblCellMar>
        <w:tblLook w:val="04A0" w:firstRow="1" w:lastRow="0" w:firstColumn="1" w:lastColumn="0" w:noHBand="0" w:noVBand="1"/>
      </w:tblPr>
      <w:tblGrid>
        <w:gridCol w:w="974"/>
        <w:gridCol w:w="7072"/>
        <w:gridCol w:w="884"/>
      </w:tblGrid>
      <w:tr w:rsidR="00615A43" w:rsidRPr="00B92499" w14:paraId="4ABD2FAB" w14:textId="77777777" w:rsidTr="00F55D12">
        <w:trPr>
          <w:trHeight w:val="20"/>
          <w:tblHeader/>
        </w:trPr>
        <w:tc>
          <w:tcPr>
            <w:tcW w:w="8930" w:type="dxa"/>
            <w:gridSpan w:val="3"/>
            <w:tcBorders>
              <w:top w:val="single" w:sz="4" w:space="0" w:color="auto"/>
              <w:left w:val="single" w:sz="4" w:space="0" w:color="auto"/>
              <w:bottom w:val="single" w:sz="4" w:space="0" w:color="auto"/>
              <w:right w:val="single" w:sz="4" w:space="0" w:color="auto"/>
            </w:tcBorders>
            <w:shd w:val="clear" w:color="auto" w:fill="00B0F0"/>
            <w:noWrap/>
            <w:vAlign w:val="center"/>
            <w:hideMark/>
          </w:tcPr>
          <w:p w14:paraId="23A9F8DE" w14:textId="3DA41EDB" w:rsidR="00615A43" w:rsidRPr="00B92499" w:rsidRDefault="00615A43" w:rsidP="00A027DB">
            <w:pPr>
              <w:jc w:val="center"/>
              <w:rPr>
                <w:rFonts w:ascii="Arial" w:hAnsi="Arial" w:cs="Arial"/>
                <w:b/>
                <w:bCs/>
                <w:color w:val="000000"/>
                <w:sz w:val="20"/>
                <w:szCs w:val="20"/>
              </w:rPr>
            </w:pPr>
            <w:r w:rsidRPr="00B92499">
              <w:rPr>
                <w:rFonts w:ascii="Arial" w:hAnsi="Arial" w:cs="Arial"/>
                <w:b/>
                <w:bCs/>
                <w:color w:val="000000"/>
                <w:sz w:val="20"/>
                <w:szCs w:val="20"/>
              </w:rPr>
              <w:lastRenderedPageBreak/>
              <w:t>Artículo 13</w:t>
            </w:r>
            <w:r w:rsidR="00F55D12" w:rsidRPr="00B92499">
              <w:rPr>
                <w:rFonts w:ascii="Arial" w:hAnsi="Arial" w:cs="Arial"/>
                <w:b/>
                <w:bCs/>
                <w:color w:val="000000"/>
                <w:sz w:val="20"/>
                <w:szCs w:val="20"/>
              </w:rPr>
              <w:t>8</w:t>
            </w:r>
            <w:r w:rsidRPr="00B92499">
              <w:rPr>
                <w:rFonts w:ascii="Arial" w:hAnsi="Arial" w:cs="Arial"/>
                <w:b/>
                <w:bCs/>
                <w:color w:val="000000"/>
                <w:sz w:val="20"/>
                <w:szCs w:val="20"/>
              </w:rPr>
              <w:t xml:space="preserve"> de las </w:t>
            </w:r>
            <w:r w:rsidR="008710F6" w:rsidRPr="00B92499">
              <w:rPr>
                <w:rFonts w:ascii="Arial" w:hAnsi="Arial" w:cs="Arial"/>
                <w:b/>
                <w:bCs/>
                <w:color w:val="000000"/>
                <w:sz w:val="20"/>
                <w:szCs w:val="20"/>
              </w:rPr>
              <w:t>obligaciones de transparencia</w:t>
            </w:r>
            <w:r w:rsidRPr="00B92499">
              <w:rPr>
                <w:rFonts w:ascii="Arial" w:hAnsi="Arial" w:cs="Arial"/>
                <w:b/>
                <w:bCs/>
                <w:color w:val="000000"/>
                <w:sz w:val="20"/>
                <w:szCs w:val="20"/>
              </w:rPr>
              <w:t xml:space="preserve"> específicas</w:t>
            </w:r>
          </w:p>
        </w:tc>
      </w:tr>
      <w:tr w:rsidR="00615A43" w:rsidRPr="00B92499" w14:paraId="30AD872C" w14:textId="77777777" w:rsidTr="00F55D12">
        <w:trPr>
          <w:trHeight w:val="20"/>
          <w:tblHeader/>
        </w:trPr>
        <w:tc>
          <w:tcPr>
            <w:tcW w:w="0" w:type="auto"/>
            <w:tcBorders>
              <w:top w:val="nil"/>
              <w:left w:val="single" w:sz="4" w:space="0" w:color="auto"/>
              <w:bottom w:val="single" w:sz="4" w:space="0" w:color="auto"/>
              <w:right w:val="single" w:sz="4" w:space="0" w:color="auto"/>
            </w:tcBorders>
            <w:shd w:val="clear" w:color="auto" w:fill="00B0F0"/>
            <w:noWrap/>
            <w:vAlign w:val="center"/>
            <w:hideMark/>
          </w:tcPr>
          <w:p w14:paraId="56DA96D9" w14:textId="77777777" w:rsidR="00615A43" w:rsidRPr="00B92499" w:rsidRDefault="00615A43" w:rsidP="00A027DB">
            <w:pPr>
              <w:jc w:val="center"/>
              <w:rPr>
                <w:rFonts w:ascii="Arial" w:hAnsi="Arial" w:cs="Arial"/>
                <w:b/>
                <w:bCs/>
                <w:color w:val="000000"/>
                <w:sz w:val="20"/>
                <w:szCs w:val="20"/>
              </w:rPr>
            </w:pPr>
            <w:r w:rsidRPr="00B92499">
              <w:rPr>
                <w:rFonts w:ascii="Arial" w:hAnsi="Arial" w:cs="Arial"/>
                <w:b/>
                <w:bCs/>
                <w:color w:val="000000"/>
                <w:sz w:val="20"/>
                <w:szCs w:val="20"/>
              </w:rPr>
              <w:t>Fracción</w:t>
            </w:r>
          </w:p>
        </w:tc>
        <w:tc>
          <w:tcPr>
            <w:tcW w:w="0" w:type="auto"/>
            <w:tcBorders>
              <w:top w:val="nil"/>
              <w:left w:val="nil"/>
              <w:bottom w:val="single" w:sz="4" w:space="0" w:color="auto"/>
              <w:right w:val="single" w:sz="4" w:space="0" w:color="auto"/>
            </w:tcBorders>
            <w:shd w:val="clear" w:color="auto" w:fill="00B0F0"/>
            <w:noWrap/>
            <w:vAlign w:val="center"/>
            <w:hideMark/>
          </w:tcPr>
          <w:p w14:paraId="1AD9F9F8" w14:textId="77777777" w:rsidR="00615A43" w:rsidRPr="00B92499" w:rsidRDefault="00615A43" w:rsidP="00A027DB">
            <w:pPr>
              <w:jc w:val="center"/>
              <w:rPr>
                <w:rFonts w:ascii="Arial" w:hAnsi="Arial" w:cs="Arial"/>
                <w:b/>
                <w:bCs/>
                <w:color w:val="000000"/>
                <w:sz w:val="20"/>
                <w:szCs w:val="20"/>
              </w:rPr>
            </w:pPr>
            <w:r w:rsidRPr="00B92499">
              <w:rPr>
                <w:rFonts w:ascii="Arial" w:hAnsi="Arial" w:cs="Arial"/>
                <w:b/>
                <w:bCs/>
                <w:color w:val="000000"/>
                <w:sz w:val="20"/>
                <w:szCs w:val="20"/>
              </w:rPr>
              <w:t>Resumen de la Fracción</w:t>
            </w:r>
          </w:p>
        </w:tc>
        <w:tc>
          <w:tcPr>
            <w:tcW w:w="1308" w:type="dxa"/>
            <w:tcBorders>
              <w:top w:val="nil"/>
              <w:left w:val="nil"/>
              <w:bottom w:val="single" w:sz="4" w:space="0" w:color="auto"/>
              <w:right w:val="single" w:sz="4" w:space="0" w:color="auto"/>
            </w:tcBorders>
            <w:shd w:val="clear" w:color="auto" w:fill="00B0F0"/>
            <w:vAlign w:val="center"/>
            <w:hideMark/>
          </w:tcPr>
          <w:p w14:paraId="37577197" w14:textId="77777777" w:rsidR="00615A43" w:rsidRPr="00B92499" w:rsidRDefault="00615A43" w:rsidP="00A027DB">
            <w:pPr>
              <w:jc w:val="center"/>
              <w:rPr>
                <w:rFonts w:ascii="Arial" w:hAnsi="Arial" w:cs="Arial"/>
                <w:b/>
                <w:bCs/>
                <w:color w:val="000000"/>
                <w:sz w:val="20"/>
                <w:szCs w:val="20"/>
              </w:rPr>
            </w:pPr>
            <w:r w:rsidRPr="00B92499">
              <w:rPr>
                <w:rFonts w:ascii="Arial" w:hAnsi="Arial" w:cs="Arial"/>
                <w:b/>
                <w:bCs/>
                <w:color w:val="000000"/>
                <w:sz w:val="20"/>
                <w:szCs w:val="20"/>
              </w:rPr>
              <w:t>ICP</w:t>
            </w:r>
          </w:p>
        </w:tc>
      </w:tr>
      <w:tr w:rsidR="00D424B6" w:rsidRPr="00B92499" w14:paraId="0072D170" w14:textId="77777777" w:rsidTr="00F55D1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C276A3F" w14:textId="77777777" w:rsidR="00F55D12" w:rsidRPr="00B92499" w:rsidRDefault="00F55D12">
            <w:pPr>
              <w:jc w:val="center"/>
              <w:rPr>
                <w:rFonts w:ascii="Arial" w:hAnsi="Arial" w:cs="Arial"/>
                <w:color w:val="000000"/>
                <w:sz w:val="20"/>
                <w:szCs w:val="20"/>
              </w:rPr>
            </w:pPr>
            <w:r w:rsidRPr="00B92499">
              <w:rPr>
                <w:rFonts w:ascii="Arial" w:hAnsi="Arial" w:cs="Arial"/>
                <w:color w:val="000000"/>
                <w:sz w:val="20"/>
                <w:szCs w:val="20"/>
              </w:rPr>
              <w:t>I</w:t>
            </w:r>
          </w:p>
        </w:tc>
        <w:tc>
          <w:tcPr>
            <w:tcW w:w="0" w:type="auto"/>
            <w:tcBorders>
              <w:top w:val="nil"/>
              <w:left w:val="nil"/>
              <w:bottom w:val="single" w:sz="4" w:space="0" w:color="auto"/>
              <w:right w:val="single" w:sz="4" w:space="0" w:color="auto"/>
            </w:tcBorders>
            <w:shd w:val="clear" w:color="auto" w:fill="auto"/>
            <w:vAlign w:val="center"/>
            <w:hideMark/>
          </w:tcPr>
          <w:p w14:paraId="5F239C65" w14:textId="77777777" w:rsidR="00F55D12" w:rsidRPr="00B92499" w:rsidRDefault="00F55D12">
            <w:pPr>
              <w:rPr>
                <w:rFonts w:ascii="Arial" w:hAnsi="Arial" w:cs="Arial"/>
                <w:color w:val="000000"/>
                <w:sz w:val="20"/>
                <w:szCs w:val="20"/>
              </w:rPr>
            </w:pPr>
            <w:r w:rsidRPr="00B92499">
              <w:rPr>
                <w:rFonts w:ascii="Arial" w:hAnsi="Arial" w:cs="Arial"/>
                <w:color w:val="000000"/>
                <w:sz w:val="20"/>
                <w:szCs w:val="20"/>
              </w:rPr>
              <w:t>Contratos y convenios entre sindicatos y autoridades</w:t>
            </w:r>
          </w:p>
        </w:tc>
        <w:tc>
          <w:tcPr>
            <w:tcW w:w="1308" w:type="dxa"/>
            <w:tcBorders>
              <w:top w:val="nil"/>
              <w:left w:val="nil"/>
              <w:bottom w:val="single" w:sz="4" w:space="0" w:color="auto"/>
              <w:right w:val="single" w:sz="4" w:space="0" w:color="auto"/>
            </w:tcBorders>
            <w:shd w:val="clear" w:color="auto" w:fill="auto"/>
            <w:vAlign w:val="center"/>
            <w:hideMark/>
          </w:tcPr>
          <w:p w14:paraId="7433C0A8" w14:textId="77777777" w:rsidR="00F55D12" w:rsidRPr="00B92499" w:rsidRDefault="00F55D12">
            <w:pPr>
              <w:jc w:val="center"/>
              <w:rPr>
                <w:rFonts w:ascii="Arial" w:hAnsi="Arial" w:cs="Arial"/>
                <w:color w:val="000000"/>
                <w:sz w:val="20"/>
                <w:szCs w:val="20"/>
              </w:rPr>
            </w:pPr>
            <w:r w:rsidRPr="00B92499">
              <w:rPr>
                <w:rFonts w:ascii="Arial" w:hAnsi="Arial" w:cs="Arial"/>
                <w:color w:val="000000"/>
                <w:sz w:val="20"/>
                <w:szCs w:val="20"/>
              </w:rPr>
              <w:t>100</w:t>
            </w:r>
          </w:p>
        </w:tc>
      </w:tr>
      <w:tr w:rsidR="00F55D12" w:rsidRPr="00B92499" w14:paraId="07BACF00" w14:textId="77777777" w:rsidTr="00F55D1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FD97873" w14:textId="77777777" w:rsidR="00F55D12" w:rsidRPr="00B92499" w:rsidRDefault="00F55D12">
            <w:pPr>
              <w:jc w:val="center"/>
              <w:rPr>
                <w:rFonts w:ascii="Arial" w:hAnsi="Arial" w:cs="Arial"/>
                <w:color w:val="000000"/>
                <w:sz w:val="20"/>
                <w:szCs w:val="20"/>
              </w:rPr>
            </w:pPr>
            <w:r w:rsidRPr="00B92499">
              <w:rPr>
                <w:rFonts w:ascii="Arial" w:hAnsi="Arial" w:cs="Arial"/>
                <w:color w:val="000000"/>
                <w:sz w:val="20"/>
                <w:szCs w:val="20"/>
              </w:rPr>
              <w:t>II</w:t>
            </w:r>
          </w:p>
        </w:tc>
        <w:tc>
          <w:tcPr>
            <w:tcW w:w="0" w:type="auto"/>
            <w:tcBorders>
              <w:top w:val="nil"/>
              <w:left w:val="nil"/>
              <w:bottom w:val="single" w:sz="4" w:space="0" w:color="auto"/>
              <w:right w:val="single" w:sz="4" w:space="0" w:color="auto"/>
            </w:tcBorders>
            <w:shd w:val="clear" w:color="auto" w:fill="auto"/>
            <w:vAlign w:val="center"/>
            <w:hideMark/>
          </w:tcPr>
          <w:p w14:paraId="64EEA78C" w14:textId="77777777" w:rsidR="00F55D12" w:rsidRPr="00B92499" w:rsidRDefault="00F55D12">
            <w:pPr>
              <w:rPr>
                <w:rFonts w:ascii="Arial" w:hAnsi="Arial" w:cs="Arial"/>
                <w:color w:val="000000"/>
                <w:sz w:val="20"/>
                <w:szCs w:val="20"/>
              </w:rPr>
            </w:pPr>
            <w:r w:rsidRPr="00B92499">
              <w:rPr>
                <w:rFonts w:ascii="Arial" w:hAnsi="Arial" w:cs="Arial"/>
                <w:color w:val="000000"/>
                <w:sz w:val="20"/>
                <w:szCs w:val="20"/>
              </w:rPr>
              <w:t>El directorio del Comité Ejecutivo; estatal, seccional o local</w:t>
            </w:r>
          </w:p>
        </w:tc>
        <w:tc>
          <w:tcPr>
            <w:tcW w:w="1308" w:type="dxa"/>
            <w:tcBorders>
              <w:top w:val="nil"/>
              <w:left w:val="nil"/>
              <w:bottom w:val="single" w:sz="4" w:space="0" w:color="auto"/>
              <w:right w:val="single" w:sz="4" w:space="0" w:color="auto"/>
            </w:tcBorders>
            <w:shd w:val="clear" w:color="auto" w:fill="auto"/>
            <w:vAlign w:val="center"/>
            <w:hideMark/>
          </w:tcPr>
          <w:p w14:paraId="329E8E03" w14:textId="77777777" w:rsidR="00F55D12" w:rsidRPr="00B92499" w:rsidRDefault="00F55D12">
            <w:pPr>
              <w:jc w:val="center"/>
              <w:rPr>
                <w:rFonts w:ascii="Arial" w:hAnsi="Arial" w:cs="Arial"/>
                <w:color w:val="000000"/>
                <w:sz w:val="20"/>
                <w:szCs w:val="20"/>
              </w:rPr>
            </w:pPr>
            <w:r w:rsidRPr="00B92499">
              <w:rPr>
                <w:rFonts w:ascii="Arial" w:hAnsi="Arial" w:cs="Arial"/>
                <w:color w:val="000000"/>
                <w:sz w:val="20"/>
                <w:szCs w:val="20"/>
              </w:rPr>
              <w:t>100</w:t>
            </w:r>
          </w:p>
        </w:tc>
      </w:tr>
      <w:tr w:rsidR="00F55D12" w:rsidRPr="00B92499" w14:paraId="62D58CD9" w14:textId="77777777" w:rsidTr="00F55D1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4A3F889" w14:textId="77777777" w:rsidR="00F55D12" w:rsidRPr="00B92499" w:rsidRDefault="00F55D12">
            <w:pPr>
              <w:jc w:val="center"/>
              <w:rPr>
                <w:rFonts w:ascii="Arial" w:hAnsi="Arial" w:cs="Arial"/>
                <w:color w:val="000000"/>
                <w:sz w:val="20"/>
                <w:szCs w:val="20"/>
              </w:rPr>
            </w:pPr>
            <w:r w:rsidRPr="00B92499">
              <w:rPr>
                <w:rFonts w:ascii="Arial" w:hAnsi="Arial" w:cs="Arial"/>
                <w:color w:val="000000"/>
                <w:sz w:val="20"/>
                <w:szCs w:val="20"/>
              </w:rPr>
              <w:t>III</w:t>
            </w:r>
          </w:p>
        </w:tc>
        <w:tc>
          <w:tcPr>
            <w:tcW w:w="0" w:type="auto"/>
            <w:tcBorders>
              <w:top w:val="nil"/>
              <w:left w:val="nil"/>
              <w:bottom w:val="single" w:sz="4" w:space="0" w:color="auto"/>
              <w:right w:val="single" w:sz="4" w:space="0" w:color="auto"/>
            </w:tcBorders>
            <w:shd w:val="clear" w:color="auto" w:fill="auto"/>
            <w:vAlign w:val="center"/>
            <w:hideMark/>
          </w:tcPr>
          <w:p w14:paraId="418268D3" w14:textId="77777777" w:rsidR="00F55D12" w:rsidRPr="00B92499" w:rsidRDefault="00F55D12">
            <w:pPr>
              <w:rPr>
                <w:rFonts w:ascii="Arial" w:hAnsi="Arial" w:cs="Arial"/>
                <w:color w:val="000000"/>
                <w:sz w:val="20"/>
                <w:szCs w:val="20"/>
              </w:rPr>
            </w:pPr>
            <w:r w:rsidRPr="00B92499">
              <w:rPr>
                <w:rFonts w:ascii="Arial" w:hAnsi="Arial" w:cs="Arial"/>
                <w:color w:val="000000"/>
                <w:sz w:val="20"/>
                <w:szCs w:val="20"/>
              </w:rPr>
              <w:t>El padrón de socios, o agremiados; y</w:t>
            </w:r>
          </w:p>
        </w:tc>
        <w:tc>
          <w:tcPr>
            <w:tcW w:w="1308" w:type="dxa"/>
            <w:tcBorders>
              <w:top w:val="nil"/>
              <w:left w:val="nil"/>
              <w:bottom w:val="single" w:sz="4" w:space="0" w:color="auto"/>
              <w:right w:val="single" w:sz="4" w:space="0" w:color="auto"/>
            </w:tcBorders>
            <w:shd w:val="clear" w:color="auto" w:fill="auto"/>
            <w:vAlign w:val="center"/>
            <w:hideMark/>
          </w:tcPr>
          <w:p w14:paraId="42FC4450" w14:textId="77777777" w:rsidR="00F55D12" w:rsidRPr="00B92499" w:rsidRDefault="00F55D12">
            <w:pPr>
              <w:jc w:val="center"/>
              <w:rPr>
                <w:rFonts w:ascii="Arial" w:hAnsi="Arial" w:cs="Arial"/>
                <w:color w:val="000000"/>
                <w:sz w:val="20"/>
                <w:szCs w:val="20"/>
              </w:rPr>
            </w:pPr>
            <w:r w:rsidRPr="00B92499">
              <w:rPr>
                <w:rFonts w:ascii="Arial" w:hAnsi="Arial" w:cs="Arial"/>
                <w:color w:val="000000"/>
                <w:sz w:val="20"/>
                <w:szCs w:val="20"/>
              </w:rPr>
              <w:t>100</w:t>
            </w:r>
          </w:p>
        </w:tc>
      </w:tr>
      <w:tr w:rsidR="00F55D12" w:rsidRPr="00B92499" w14:paraId="60438608" w14:textId="77777777" w:rsidTr="00F55D12">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5894E3A" w14:textId="77777777" w:rsidR="00F55D12" w:rsidRPr="00B92499" w:rsidRDefault="00F55D12">
            <w:pPr>
              <w:jc w:val="center"/>
              <w:rPr>
                <w:rFonts w:ascii="Arial" w:hAnsi="Arial" w:cs="Arial"/>
                <w:color w:val="000000"/>
                <w:sz w:val="20"/>
                <w:szCs w:val="20"/>
              </w:rPr>
            </w:pPr>
            <w:r w:rsidRPr="00B92499">
              <w:rPr>
                <w:rFonts w:ascii="Arial" w:hAnsi="Arial" w:cs="Arial"/>
                <w:color w:val="000000"/>
                <w:sz w:val="20"/>
                <w:szCs w:val="20"/>
              </w:rPr>
              <w:t>IV</w:t>
            </w:r>
          </w:p>
        </w:tc>
        <w:tc>
          <w:tcPr>
            <w:tcW w:w="0" w:type="auto"/>
            <w:tcBorders>
              <w:top w:val="nil"/>
              <w:left w:val="nil"/>
              <w:bottom w:val="single" w:sz="4" w:space="0" w:color="auto"/>
              <w:right w:val="single" w:sz="4" w:space="0" w:color="auto"/>
            </w:tcBorders>
            <w:shd w:val="clear" w:color="auto" w:fill="auto"/>
            <w:vAlign w:val="center"/>
            <w:hideMark/>
          </w:tcPr>
          <w:p w14:paraId="6F8AE866" w14:textId="77777777" w:rsidR="00F55D12" w:rsidRPr="00B92499" w:rsidRDefault="00F55D12">
            <w:pPr>
              <w:rPr>
                <w:rFonts w:ascii="Arial" w:hAnsi="Arial" w:cs="Arial"/>
                <w:color w:val="000000"/>
                <w:sz w:val="20"/>
                <w:szCs w:val="20"/>
              </w:rPr>
            </w:pPr>
            <w:r w:rsidRPr="00B92499">
              <w:rPr>
                <w:rFonts w:ascii="Arial" w:hAnsi="Arial" w:cs="Arial"/>
                <w:color w:val="000000"/>
                <w:sz w:val="20"/>
                <w:szCs w:val="20"/>
              </w:rPr>
              <w:t>La relación detallada de los recursos públicos económicos, en especie, bienes o donativos que reciban y el informe detallado del ejercicio y destino final de los recursos públicos que ejerzan</w:t>
            </w:r>
          </w:p>
        </w:tc>
        <w:tc>
          <w:tcPr>
            <w:tcW w:w="1308" w:type="dxa"/>
            <w:tcBorders>
              <w:top w:val="nil"/>
              <w:left w:val="nil"/>
              <w:bottom w:val="single" w:sz="4" w:space="0" w:color="auto"/>
              <w:right w:val="single" w:sz="4" w:space="0" w:color="auto"/>
            </w:tcBorders>
            <w:shd w:val="clear" w:color="auto" w:fill="auto"/>
            <w:vAlign w:val="center"/>
            <w:hideMark/>
          </w:tcPr>
          <w:p w14:paraId="3F028F62" w14:textId="5BA2AE7D" w:rsidR="00F55D12" w:rsidRPr="00B92499" w:rsidRDefault="00F55D12" w:rsidP="00B254C5">
            <w:pPr>
              <w:jc w:val="center"/>
              <w:rPr>
                <w:rFonts w:ascii="Arial" w:hAnsi="Arial" w:cs="Arial"/>
                <w:color w:val="000000"/>
                <w:sz w:val="20"/>
                <w:szCs w:val="20"/>
              </w:rPr>
            </w:pPr>
            <w:r w:rsidRPr="00B92499">
              <w:rPr>
                <w:rFonts w:ascii="Arial" w:hAnsi="Arial" w:cs="Arial"/>
                <w:color w:val="000000"/>
                <w:sz w:val="20"/>
                <w:szCs w:val="20"/>
              </w:rPr>
              <w:t>28.3</w:t>
            </w:r>
            <w:r w:rsidR="00B254C5" w:rsidRPr="00B92499">
              <w:rPr>
                <w:rFonts w:ascii="Arial" w:hAnsi="Arial" w:cs="Arial"/>
                <w:color w:val="000000"/>
                <w:sz w:val="20"/>
                <w:szCs w:val="20"/>
              </w:rPr>
              <w:t>8</w:t>
            </w:r>
          </w:p>
        </w:tc>
      </w:tr>
    </w:tbl>
    <w:p w14:paraId="7C079EE4" w14:textId="4B677D66" w:rsidR="00735992" w:rsidRPr="00B92499" w:rsidRDefault="00735992" w:rsidP="00D424B6">
      <w:pPr>
        <w:rPr>
          <w:lang w:eastAsia="en-US"/>
        </w:rPr>
      </w:pPr>
    </w:p>
    <w:p w14:paraId="5C429389" w14:textId="77777777" w:rsidR="00735992" w:rsidRPr="00B92499" w:rsidRDefault="00735992" w:rsidP="00D424B6">
      <w:pPr>
        <w:rPr>
          <w:lang w:eastAsia="en-US"/>
        </w:rPr>
      </w:pPr>
    </w:p>
    <w:p w14:paraId="6E34A099" w14:textId="5516D2CA" w:rsidR="000D3657" w:rsidRPr="00B92499" w:rsidRDefault="000D3657" w:rsidP="009F64B5">
      <w:pPr>
        <w:pStyle w:val="Ttulo2"/>
        <w:numPr>
          <w:ilvl w:val="1"/>
          <w:numId w:val="20"/>
        </w:numPr>
        <w:contextualSpacing/>
        <w:jc w:val="both"/>
        <w:rPr>
          <w:rFonts w:ascii="Arial" w:hAnsi="Arial" w:cs="Arial"/>
          <w:b/>
          <w:color w:val="auto"/>
          <w:sz w:val="24"/>
          <w:szCs w:val="24"/>
        </w:rPr>
      </w:pPr>
      <w:bookmarkStart w:id="55" w:name="_Toc23253011"/>
      <w:r w:rsidRPr="00B92499">
        <w:rPr>
          <w:rFonts w:ascii="Arial" w:hAnsi="Arial" w:cs="Arial"/>
          <w:b/>
          <w:color w:val="auto"/>
          <w:sz w:val="24"/>
          <w:szCs w:val="24"/>
        </w:rPr>
        <w:t xml:space="preserve">Análisis del </w:t>
      </w:r>
      <w:r w:rsidR="008F67E4" w:rsidRPr="00B92499">
        <w:rPr>
          <w:rFonts w:ascii="Arial" w:hAnsi="Arial" w:cs="Arial"/>
          <w:b/>
          <w:color w:val="auto"/>
          <w:sz w:val="24"/>
          <w:szCs w:val="24"/>
        </w:rPr>
        <w:t>artículo</w:t>
      </w:r>
      <w:r w:rsidRPr="00B92499">
        <w:rPr>
          <w:rFonts w:ascii="Arial" w:hAnsi="Arial" w:cs="Arial"/>
          <w:b/>
          <w:color w:val="auto"/>
          <w:sz w:val="24"/>
          <w:szCs w:val="24"/>
        </w:rPr>
        <w:t xml:space="preserve"> 145</w:t>
      </w:r>
      <w:bookmarkEnd w:id="55"/>
    </w:p>
    <w:p w14:paraId="74020BC2" w14:textId="761A8589" w:rsidR="008D44C3" w:rsidRPr="00B92499" w:rsidRDefault="00D139A1" w:rsidP="002E7D47">
      <w:pPr>
        <w:spacing w:before="100" w:beforeAutospacing="1" w:after="100" w:afterAutospacing="1" w:line="360" w:lineRule="auto"/>
        <w:contextualSpacing/>
        <w:jc w:val="both"/>
        <w:rPr>
          <w:rFonts w:ascii="Arial" w:hAnsi="Arial" w:cs="Arial"/>
        </w:rPr>
      </w:pPr>
      <w:r w:rsidRPr="00B92499">
        <w:rPr>
          <w:rFonts w:ascii="Arial" w:hAnsi="Arial" w:cs="Arial"/>
        </w:rPr>
        <w:t xml:space="preserve">El sindicato obtuvo un ICP en este artículo de </w:t>
      </w:r>
      <w:r w:rsidR="00F55D12" w:rsidRPr="00B92499">
        <w:rPr>
          <w:rFonts w:ascii="Arial" w:hAnsi="Arial" w:cs="Arial"/>
        </w:rPr>
        <w:t>93.75</w:t>
      </w:r>
      <w:r w:rsidR="000D3657" w:rsidRPr="00B92499">
        <w:rPr>
          <w:rFonts w:ascii="Arial" w:hAnsi="Arial" w:cs="Arial"/>
        </w:rPr>
        <w:t>%; por lo que se encuentra dentro del área de cumplimiento parcial. Lo anterior se debió a que</w:t>
      </w:r>
      <w:r w:rsidRPr="00B92499">
        <w:rPr>
          <w:rFonts w:ascii="Arial" w:hAnsi="Arial" w:cs="Arial"/>
        </w:rPr>
        <w:t xml:space="preserve"> algunos de los accesos directos que llevan a la información dentro del portal de internet del </w:t>
      </w:r>
      <w:r w:rsidR="008710F6" w:rsidRPr="00B92499">
        <w:rPr>
          <w:rFonts w:ascii="Arial" w:hAnsi="Arial" w:cs="Arial"/>
        </w:rPr>
        <w:t>sujeto obligado</w:t>
      </w:r>
      <w:r w:rsidRPr="00B92499">
        <w:rPr>
          <w:rFonts w:ascii="Arial" w:hAnsi="Arial" w:cs="Arial"/>
        </w:rPr>
        <w:t xml:space="preserve"> están rotos o no se encuentran activos. </w:t>
      </w:r>
    </w:p>
    <w:p w14:paraId="0D8A0D30" w14:textId="67A184CB" w:rsidR="008D44C3" w:rsidRPr="00B92499" w:rsidRDefault="000D3657" w:rsidP="009F64B5">
      <w:pPr>
        <w:pStyle w:val="Ttulo2"/>
        <w:numPr>
          <w:ilvl w:val="1"/>
          <w:numId w:val="20"/>
        </w:numPr>
        <w:contextualSpacing/>
        <w:jc w:val="both"/>
        <w:rPr>
          <w:rFonts w:ascii="Arial" w:hAnsi="Arial" w:cs="Arial"/>
          <w:b/>
          <w:color w:val="auto"/>
          <w:sz w:val="24"/>
          <w:szCs w:val="24"/>
        </w:rPr>
      </w:pPr>
      <w:bookmarkStart w:id="56" w:name="_Toc23253012"/>
      <w:r w:rsidRPr="00B92499">
        <w:rPr>
          <w:rFonts w:ascii="Arial" w:hAnsi="Arial" w:cs="Arial"/>
          <w:b/>
          <w:color w:val="auto"/>
          <w:sz w:val="24"/>
          <w:szCs w:val="24"/>
        </w:rPr>
        <w:t xml:space="preserve">Análisis del </w:t>
      </w:r>
      <w:r w:rsidR="008F67E4" w:rsidRPr="00B92499">
        <w:rPr>
          <w:rFonts w:ascii="Arial" w:hAnsi="Arial" w:cs="Arial"/>
          <w:b/>
          <w:color w:val="auto"/>
          <w:sz w:val="24"/>
          <w:szCs w:val="24"/>
        </w:rPr>
        <w:t>artículo</w:t>
      </w:r>
      <w:r w:rsidRPr="00B92499">
        <w:rPr>
          <w:rFonts w:ascii="Arial" w:hAnsi="Arial" w:cs="Arial"/>
          <w:b/>
          <w:color w:val="auto"/>
          <w:sz w:val="24"/>
          <w:szCs w:val="24"/>
        </w:rPr>
        <w:t xml:space="preserve"> 146</w:t>
      </w:r>
      <w:bookmarkEnd w:id="56"/>
    </w:p>
    <w:p w14:paraId="042899B9" w14:textId="77777777" w:rsidR="00D139A1" w:rsidRPr="00B92499" w:rsidRDefault="00D139A1" w:rsidP="002E7D47">
      <w:pPr>
        <w:spacing w:before="100" w:beforeAutospacing="1" w:after="100" w:afterAutospacing="1" w:line="360" w:lineRule="auto"/>
        <w:contextualSpacing/>
        <w:jc w:val="both"/>
        <w:rPr>
          <w:rFonts w:ascii="Arial" w:hAnsi="Arial" w:cs="Arial"/>
        </w:rPr>
      </w:pPr>
      <w:r w:rsidRPr="00B92499">
        <w:rPr>
          <w:rFonts w:ascii="Arial" w:hAnsi="Arial" w:cs="Arial"/>
        </w:rPr>
        <w:t>El sindicato obtuvo un ICP en este artículo de 100%; por lo que se encuentra dentro del área de cumplimiento total en lo que respecta a la publicación del calendario de actualización de las obligaciones de transparencia.</w:t>
      </w:r>
    </w:p>
    <w:p w14:paraId="249DF2ED" w14:textId="3A7051CA" w:rsidR="008D44C3" w:rsidRPr="00B92499" w:rsidRDefault="000D3657" w:rsidP="009F64B5">
      <w:pPr>
        <w:pStyle w:val="Ttulo2"/>
        <w:numPr>
          <w:ilvl w:val="1"/>
          <w:numId w:val="20"/>
        </w:numPr>
        <w:contextualSpacing/>
        <w:jc w:val="both"/>
        <w:rPr>
          <w:rFonts w:ascii="Arial" w:hAnsi="Arial" w:cs="Arial"/>
          <w:b/>
          <w:color w:val="auto"/>
          <w:sz w:val="24"/>
          <w:szCs w:val="24"/>
        </w:rPr>
      </w:pPr>
      <w:bookmarkStart w:id="57" w:name="_Toc23253013"/>
      <w:r w:rsidRPr="00B92499">
        <w:rPr>
          <w:rFonts w:ascii="Arial" w:hAnsi="Arial" w:cs="Arial"/>
          <w:b/>
          <w:color w:val="auto"/>
          <w:sz w:val="24"/>
          <w:szCs w:val="24"/>
        </w:rPr>
        <w:t xml:space="preserve">Análisis del </w:t>
      </w:r>
      <w:r w:rsidR="008F67E4" w:rsidRPr="00B92499">
        <w:rPr>
          <w:rFonts w:ascii="Arial" w:hAnsi="Arial" w:cs="Arial"/>
          <w:b/>
          <w:color w:val="auto"/>
          <w:sz w:val="24"/>
          <w:szCs w:val="24"/>
        </w:rPr>
        <w:t>artículo</w:t>
      </w:r>
      <w:r w:rsidRPr="00B92499">
        <w:rPr>
          <w:rFonts w:ascii="Arial" w:hAnsi="Arial" w:cs="Arial"/>
          <w:b/>
          <w:color w:val="auto"/>
          <w:sz w:val="24"/>
          <w:szCs w:val="24"/>
        </w:rPr>
        <w:t xml:space="preserve"> 147</w:t>
      </w:r>
      <w:bookmarkEnd w:id="57"/>
      <w:r w:rsidRPr="00B92499">
        <w:rPr>
          <w:rFonts w:ascii="Arial" w:hAnsi="Arial" w:cs="Arial"/>
          <w:b/>
          <w:color w:val="auto"/>
          <w:sz w:val="24"/>
          <w:szCs w:val="24"/>
        </w:rPr>
        <w:t xml:space="preserve"> </w:t>
      </w:r>
    </w:p>
    <w:p w14:paraId="5A7D21B9" w14:textId="77777777" w:rsidR="001B2F09" w:rsidRPr="00B92499" w:rsidRDefault="00D139A1" w:rsidP="001B2F09">
      <w:pPr>
        <w:spacing w:before="100" w:beforeAutospacing="1" w:after="100" w:afterAutospacing="1" w:line="360" w:lineRule="auto"/>
        <w:contextualSpacing/>
        <w:jc w:val="both"/>
        <w:rPr>
          <w:rFonts w:ascii="Arial" w:hAnsi="Arial" w:cs="Arial"/>
        </w:rPr>
      </w:pPr>
      <w:r w:rsidRPr="00B92499">
        <w:rPr>
          <w:rFonts w:ascii="Arial" w:hAnsi="Arial" w:cs="Arial"/>
        </w:rPr>
        <w:t xml:space="preserve">El sindicato obtuvo un ICP en este artículo de 100%; por lo que se encuentra dentro del área de cumplimiento total en lo que respecta a la publicación </w:t>
      </w:r>
      <w:r w:rsidR="001B2F09" w:rsidRPr="00B92499">
        <w:rPr>
          <w:rFonts w:ascii="Arial" w:hAnsi="Arial" w:cs="Arial"/>
        </w:rPr>
        <w:t xml:space="preserve">de los informes de las personas morales, organizaciones de la sociedad civil o cualquier otro análogo que recibían recursos por cualquier concepto. </w:t>
      </w:r>
    </w:p>
    <w:p w14:paraId="0D8395D2" w14:textId="77777777" w:rsidR="001B2F09" w:rsidRPr="00B92499" w:rsidRDefault="001B2F09">
      <w:pPr>
        <w:spacing w:after="160" w:line="259" w:lineRule="auto"/>
        <w:rPr>
          <w:rFonts w:ascii="Arial" w:eastAsiaTheme="majorEastAsia" w:hAnsi="Arial" w:cs="Arial"/>
          <w:b/>
          <w:lang w:eastAsia="en-US"/>
        </w:rPr>
      </w:pPr>
      <w:r w:rsidRPr="00B92499">
        <w:rPr>
          <w:rFonts w:ascii="Arial" w:hAnsi="Arial" w:cs="Arial"/>
          <w:b/>
        </w:rPr>
        <w:br w:type="page"/>
      </w:r>
    </w:p>
    <w:p w14:paraId="0C174414" w14:textId="77777777" w:rsidR="008D44C3" w:rsidRPr="00B92499" w:rsidRDefault="008D44C3" w:rsidP="001226FE">
      <w:pPr>
        <w:pStyle w:val="Ttulo1"/>
        <w:rPr>
          <w:rFonts w:ascii="Arial" w:hAnsi="Arial" w:cs="Arial"/>
          <w:b/>
          <w:color w:val="auto"/>
          <w:sz w:val="24"/>
          <w:szCs w:val="24"/>
        </w:rPr>
      </w:pPr>
      <w:bookmarkStart w:id="58" w:name="_Toc23253014"/>
      <w:r w:rsidRPr="00B92499">
        <w:rPr>
          <w:rFonts w:ascii="Arial" w:hAnsi="Arial" w:cs="Arial"/>
          <w:b/>
          <w:color w:val="auto"/>
          <w:sz w:val="24"/>
          <w:szCs w:val="24"/>
        </w:rPr>
        <w:lastRenderedPageBreak/>
        <w:t>CONCLUSIONES</w:t>
      </w:r>
      <w:bookmarkEnd w:id="58"/>
      <w:r w:rsidRPr="00B92499">
        <w:rPr>
          <w:rFonts w:ascii="Arial" w:hAnsi="Arial" w:cs="Arial"/>
          <w:b/>
          <w:color w:val="auto"/>
          <w:sz w:val="24"/>
          <w:szCs w:val="24"/>
        </w:rPr>
        <w:t xml:space="preserve"> </w:t>
      </w:r>
    </w:p>
    <w:p w14:paraId="29D4D376" w14:textId="77777777" w:rsidR="00C9398D" w:rsidRPr="00B92499" w:rsidRDefault="00C9398D" w:rsidP="00C9398D"/>
    <w:p w14:paraId="64C11F4C" w14:textId="5CE3257A" w:rsidR="00C9398D" w:rsidRPr="00B92499" w:rsidRDefault="00C9398D" w:rsidP="009F64B5">
      <w:pPr>
        <w:pStyle w:val="Prrafodelista"/>
        <w:numPr>
          <w:ilvl w:val="0"/>
          <w:numId w:val="14"/>
        </w:numPr>
        <w:spacing w:line="360" w:lineRule="auto"/>
        <w:jc w:val="both"/>
        <w:rPr>
          <w:rFonts w:ascii="Arial" w:hAnsi="Arial" w:cs="Arial"/>
          <w:sz w:val="24"/>
          <w:szCs w:val="24"/>
        </w:rPr>
      </w:pPr>
      <w:r w:rsidRPr="00B92499">
        <w:rPr>
          <w:rFonts w:ascii="Arial" w:hAnsi="Arial" w:cs="Arial"/>
          <w:sz w:val="24"/>
          <w:szCs w:val="24"/>
        </w:rPr>
        <w:t>Los sujetos obligados</w:t>
      </w:r>
      <w:r w:rsidR="00114E33" w:rsidRPr="00B92499">
        <w:rPr>
          <w:rFonts w:ascii="Arial" w:hAnsi="Arial" w:cs="Arial"/>
          <w:sz w:val="24"/>
          <w:szCs w:val="24"/>
        </w:rPr>
        <w:t xml:space="preserve"> no publican y actualizan la información, </w:t>
      </w:r>
      <w:r w:rsidRPr="00B92499">
        <w:rPr>
          <w:rFonts w:ascii="Arial" w:hAnsi="Arial" w:cs="Arial"/>
          <w:sz w:val="24"/>
          <w:szCs w:val="24"/>
        </w:rPr>
        <w:t xml:space="preserve">por lo menos, de manera trimestral en atención al artículo 62 de la Ley General de Transparencia y Acceso a la Información Pública y el 116 de la Ley de Transparencia Local. </w:t>
      </w:r>
    </w:p>
    <w:p w14:paraId="5FDA80BF" w14:textId="77777777" w:rsidR="00C9398D" w:rsidRPr="00B92499" w:rsidRDefault="00C9398D" w:rsidP="009F64B5">
      <w:pPr>
        <w:pStyle w:val="Prrafodelista"/>
        <w:numPr>
          <w:ilvl w:val="0"/>
          <w:numId w:val="14"/>
        </w:numPr>
        <w:spacing w:line="360" w:lineRule="auto"/>
        <w:jc w:val="both"/>
        <w:rPr>
          <w:rFonts w:ascii="Arial" w:hAnsi="Arial" w:cs="Arial"/>
          <w:sz w:val="24"/>
          <w:szCs w:val="24"/>
        </w:rPr>
      </w:pPr>
      <w:r w:rsidRPr="00B92499">
        <w:rPr>
          <w:rFonts w:ascii="Arial" w:hAnsi="Arial" w:cs="Arial"/>
          <w:sz w:val="24"/>
          <w:szCs w:val="24"/>
        </w:rPr>
        <w:t>Los sujetos obligados deben publicar el calendario de actualización a través del cual se explica a la sociedad cuál es la información que por sus facultades, competencias y funciones generan, utilizan, poseen o administran y en qué periodos deben publicarla y actualizarla.</w:t>
      </w:r>
    </w:p>
    <w:p w14:paraId="5C8A0CEE" w14:textId="2F5CF0E7" w:rsidR="00C9398D" w:rsidRPr="00B92499" w:rsidRDefault="00C9398D" w:rsidP="009F64B5">
      <w:pPr>
        <w:pStyle w:val="Prrafodelista"/>
        <w:numPr>
          <w:ilvl w:val="0"/>
          <w:numId w:val="14"/>
        </w:numPr>
        <w:spacing w:line="360" w:lineRule="auto"/>
        <w:jc w:val="both"/>
        <w:rPr>
          <w:rFonts w:ascii="Arial" w:hAnsi="Arial" w:cs="Arial"/>
          <w:sz w:val="24"/>
          <w:szCs w:val="24"/>
        </w:rPr>
      </w:pPr>
      <w:r w:rsidRPr="00B92499">
        <w:rPr>
          <w:rFonts w:ascii="Arial" w:hAnsi="Arial" w:cs="Arial"/>
          <w:sz w:val="24"/>
          <w:szCs w:val="24"/>
        </w:rPr>
        <w:t>La información provista en</w:t>
      </w:r>
      <w:r w:rsidR="00114E33" w:rsidRPr="00B92499">
        <w:rPr>
          <w:rFonts w:ascii="Arial" w:hAnsi="Arial" w:cs="Arial"/>
          <w:sz w:val="24"/>
          <w:szCs w:val="24"/>
        </w:rPr>
        <w:t xml:space="preserve"> algunos</w:t>
      </w:r>
      <w:r w:rsidRPr="00B92499">
        <w:rPr>
          <w:rFonts w:ascii="Arial" w:hAnsi="Arial" w:cs="Arial"/>
          <w:sz w:val="24"/>
          <w:szCs w:val="24"/>
        </w:rPr>
        <w:t xml:space="preserve"> portales de transparencia no cuenta con los criterios mínimos dispuestos en lo que se refiere a formatos accesibles y datos abiertos, tales como que sean integrales, legibles, no discriminatorios, oportunos, permanentes y primarios. </w:t>
      </w:r>
    </w:p>
    <w:p w14:paraId="371EF5BB" w14:textId="77777777" w:rsidR="00C9398D" w:rsidRPr="00B92499" w:rsidRDefault="00C9398D" w:rsidP="009F64B5">
      <w:pPr>
        <w:pStyle w:val="Prrafodelista"/>
        <w:numPr>
          <w:ilvl w:val="0"/>
          <w:numId w:val="14"/>
        </w:numPr>
        <w:spacing w:line="360" w:lineRule="auto"/>
        <w:jc w:val="both"/>
        <w:rPr>
          <w:rFonts w:ascii="Arial" w:hAnsi="Arial" w:cs="Arial"/>
          <w:sz w:val="24"/>
          <w:szCs w:val="24"/>
        </w:rPr>
      </w:pPr>
      <w:r w:rsidRPr="00B92499">
        <w:rPr>
          <w:rFonts w:ascii="Arial" w:hAnsi="Arial" w:cs="Arial"/>
          <w:sz w:val="24"/>
          <w:szCs w:val="24"/>
        </w:rPr>
        <w:t>Los sujetos obligados deben publicar la información en un lenguaje sencillo y con perspectiva de género, haciendo uso de formatos accesibles y abiertos.</w:t>
      </w:r>
    </w:p>
    <w:p w14:paraId="39C5D6A8" w14:textId="77777777" w:rsidR="00C9398D" w:rsidRPr="00B92499" w:rsidRDefault="00C9398D" w:rsidP="009F64B5">
      <w:pPr>
        <w:pStyle w:val="Prrafodelista"/>
        <w:numPr>
          <w:ilvl w:val="0"/>
          <w:numId w:val="14"/>
        </w:numPr>
        <w:spacing w:line="360" w:lineRule="auto"/>
        <w:jc w:val="both"/>
        <w:rPr>
          <w:rFonts w:ascii="Arial" w:hAnsi="Arial" w:cs="Arial"/>
          <w:sz w:val="24"/>
          <w:szCs w:val="24"/>
        </w:rPr>
      </w:pPr>
      <w:r w:rsidRPr="00B92499">
        <w:rPr>
          <w:rFonts w:ascii="Arial" w:hAnsi="Arial" w:cs="Arial"/>
          <w:sz w:val="24"/>
          <w:szCs w:val="24"/>
        </w:rPr>
        <w:t xml:space="preserve">Las ligas electrónicas no siempre otorgan acceso específico a la información mencionada o simplemente no están en funcionamiento. </w:t>
      </w:r>
    </w:p>
    <w:p w14:paraId="75C8CF0F" w14:textId="77777777" w:rsidR="00C9398D" w:rsidRPr="00B92499" w:rsidRDefault="00C9398D" w:rsidP="00C9398D">
      <w:pPr>
        <w:spacing w:line="360" w:lineRule="auto"/>
        <w:contextualSpacing/>
        <w:jc w:val="both"/>
        <w:rPr>
          <w:rFonts w:ascii="Arial" w:hAnsi="Arial" w:cs="Arial"/>
          <w:b/>
          <w:bCs/>
        </w:rPr>
      </w:pPr>
      <w:r w:rsidRPr="00B92499">
        <w:rPr>
          <w:rFonts w:ascii="Arial" w:hAnsi="Arial" w:cs="Arial"/>
          <w:b/>
          <w:bCs/>
        </w:rPr>
        <w:t>LÍNEAS DE ACCIÓN</w:t>
      </w:r>
    </w:p>
    <w:p w14:paraId="33BC5F19" w14:textId="77777777" w:rsidR="00C9398D" w:rsidRPr="00B92499" w:rsidRDefault="00C9398D" w:rsidP="009F64B5">
      <w:pPr>
        <w:pStyle w:val="Prrafodelista"/>
        <w:numPr>
          <w:ilvl w:val="0"/>
          <w:numId w:val="15"/>
        </w:numPr>
        <w:spacing w:line="360" w:lineRule="auto"/>
        <w:jc w:val="both"/>
        <w:rPr>
          <w:rFonts w:ascii="Arial" w:hAnsi="Arial" w:cs="Arial"/>
          <w:sz w:val="24"/>
          <w:szCs w:val="24"/>
        </w:rPr>
      </w:pPr>
      <w:r w:rsidRPr="00B92499">
        <w:rPr>
          <w:rFonts w:ascii="Arial" w:hAnsi="Arial" w:cs="Arial"/>
          <w:sz w:val="24"/>
          <w:szCs w:val="24"/>
        </w:rPr>
        <w:t>Se realizará la evaluación del cumplimiento de lo mandatado en la Segunda Evaluación 2019, respecto del primer semestre del ejercicio 2019 durante el cuarto trimestre del año 2019.</w:t>
      </w:r>
    </w:p>
    <w:p w14:paraId="5C99043E" w14:textId="4BE890AF" w:rsidR="00C9398D" w:rsidRPr="00B92499" w:rsidRDefault="00C9398D" w:rsidP="009F64B5">
      <w:pPr>
        <w:pStyle w:val="Prrafodelista"/>
        <w:numPr>
          <w:ilvl w:val="0"/>
          <w:numId w:val="15"/>
        </w:numPr>
        <w:spacing w:line="360" w:lineRule="auto"/>
        <w:jc w:val="both"/>
        <w:rPr>
          <w:rFonts w:ascii="Arial" w:hAnsi="Arial" w:cs="Arial"/>
          <w:sz w:val="24"/>
          <w:szCs w:val="24"/>
        </w:rPr>
      </w:pPr>
      <w:r w:rsidRPr="00B92499">
        <w:rPr>
          <w:rFonts w:ascii="Arial" w:hAnsi="Arial" w:cs="Arial"/>
          <w:sz w:val="24"/>
          <w:szCs w:val="24"/>
        </w:rPr>
        <w:t>Se continuará brindando a los sujetos obligados Asesorías Técnicas Especializadas respecto de la publicación y actualización de las obligaciones de transparencia. En noviembre se realizará una con todos los sujetos obligado</w:t>
      </w:r>
      <w:r w:rsidR="005D21D2" w:rsidRPr="00B92499">
        <w:rPr>
          <w:rFonts w:ascii="Arial" w:hAnsi="Arial" w:cs="Arial"/>
          <w:sz w:val="24"/>
          <w:szCs w:val="24"/>
        </w:rPr>
        <w:t>s</w:t>
      </w:r>
      <w:r w:rsidRPr="00B92499">
        <w:rPr>
          <w:rFonts w:ascii="Arial" w:hAnsi="Arial" w:cs="Arial"/>
          <w:sz w:val="24"/>
          <w:szCs w:val="24"/>
        </w:rPr>
        <w:t xml:space="preserve"> que integran el Padrón vigente.</w:t>
      </w:r>
    </w:p>
    <w:p w14:paraId="7544A745" w14:textId="77777777" w:rsidR="00C9398D" w:rsidRPr="00B92499" w:rsidRDefault="00C9398D" w:rsidP="009F64B5">
      <w:pPr>
        <w:pStyle w:val="Prrafodelista"/>
        <w:numPr>
          <w:ilvl w:val="0"/>
          <w:numId w:val="15"/>
        </w:numPr>
        <w:spacing w:line="360" w:lineRule="auto"/>
        <w:jc w:val="both"/>
        <w:rPr>
          <w:rFonts w:ascii="Arial" w:hAnsi="Arial" w:cs="Arial"/>
          <w:sz w:val="24"/>
          <w:szCs w:val="24"/>
        </w:rPr>
      </w:pPr>
      <w:r w:rsidRPr="00B92499">
        <w:rPr>
          <w:rFonts w:ascii="Arial" w:hAnsi="Arial" w:cs="Arial"/>
          <w:sz w:val="24"/>
          <w:szCs w:val="24"/>
        </w:rPr>
        <w:t>Se buscará aprovechar las lecciones de esta evaluación para subsanar, en el corto plazo, las omisiones detectadas, consistentes en:</w:t>
      </w:r>
    </w:p>
    <w:p w14:paraId="65D1FFB8" w14:textId="77777777" w:rsidR="00C9398D" w:rsidRPr="00B92499" w:rsidRDefault="00C9398D" w:rsidP="00C9398D">
      <w:pPr>
        <w:pStyle w:val="Prrafodelista"/>
        <w:rPr>
          <w:rFonts w:ascii="Arial" w:hAnsi="Arial" w:cs="Arial"/>
          <w:sz w:val="24"/>
          <w:szCs w:val="24"/>
        </w:rPr>
      </w:pPr>
    </w:p>
    <w:p w14:paraId="444C2736" w14:textId="77777777" w:rsidR="00C9398D" w:rsidRPr="00B92499" w:rsidRDefault="00C9398D" w:rsidP="009F64B5">
      <w:pPr>
        <w:pStyle w:val="Prrafodelista"/>
        <w:numPr>
          <w:ilvl w:val="1"/>
          <w:numId w:val="15"/>
        </w:numPr>
        <w:spacing w:line="360" w:lineRule="auto"/>
        <w:jc w:val="both"/>
        <w:rPr>
          <w:rFonts w:ascii="Arial" w:hAnsi="Arial" w:cs="Arial"/>
          <w:sz w:val="24"/>
          <w:szCs w:val="24"/>
        </w:rPr>
      </w:pPr>
      <w:r w:rsidRPr="00B92499">
        <w:rPr>
          <w:rFonts w:ascii="Arial" w:hAnsi="Arial" w:cs="Arial"/>
          <w:sz w:val="24"/>
          <w:szCs w:val="24"/>
        </w:rPr>
        <w:t xml:space="preserve">La importancia de que los sujetos obligados participen en las asesorías técnicas especializadas, con el objetivo de que éstos </w:t>
      </w:r>
      <w:r w:rsidRPr="00B92499">
        <w:rPr>
          <w:rFonts w:ascii="Arial" w:hAnsi="Arial" w:cs="Arial"/>
          <w:sz w:val="24"/>
          <w:szCs w:val="24"/>
        </w:rPr>
        <w:lastRenderedPageBreak/>
        <w:t>puedan subsanar sus dudas respecto de la publicación y actualización de la información.</w:t>
      </w:r>
    </w:p>
    <w:p w14:paraId="388915A3" w14:textId="77777777" w:rsidR="00C9398D" w:rsidRPr="00B92499" w:rsidRDefault="00C9398D" w:rsidP="009F64B5">
      <w:pPr>
        <w:pStyle w:val="Prrafodelista"/>
        <w:numPr>
          <w:ilvl w:val="1"/>
          <w:numId w:val="15"/>
        </w:numPr>
        <w:spacing w:line="360" w:lineRule="auto"/>
        <w:jc w:val="both"/>
        <w:rPr>
          <w:rFonts w:ascii="Arial" w:hAnsi="Arial" w:cs="Arial"/>
          <w:sz w:val="24"/>
          <w:szCs w:val="24"/>
        </w:rPr>
      </w:pPr>
      <w:r w:rsidRPr="00B92499">
        <w:rPr>
          <w:rFonts w:ascii="Arial" w:hAnsi="Arial" w:cs="Arial"/>
          <w:sz w:val="24"/>
          <w:szCs w:val="24"/>
        </w:rPr>
        <w:t>Concientizar a los sujetos obligados respecto de la importancia de utilizar un lenguaje sencillo, con perspectiva de género y plasmar la información en formatos accesibles y abiertos.</w:t>
      </w:r>
    </w:p>
    <w:p w14:paraId="7E0FF1F1" w14:textId="77777777" w:rsidR="00C9398D" w:rsidRPr="00B92499" w:rsidRDefault="00C9398D" w:rsidP="009F64B5">
      <w:pPr>
        <w:pStyle w:val="Prrafodelista"/>
        <w:numPr>
          <w:ilvl w:val="1"/>
          <w:numId w:val="15"/>
        </w:numPr>
        <w:spacing w:line="360" w:lineRule="auto"/>
        <w:jc w:val="both"/>
        <w:rPr>
          <w:rFonts w:ascii="Arial" w:hAnsi="Arial" w:cs="Arial"/>
          <w:sz w:val="24"/>
          <w:szCs w:val="24"/>
        </w:rPr>
      </w:pPr>
      <w:r w:rsidRPr="00B92499">
        <w:rPr>
          <w:rFonts w:ascii="Arial" w:hAnsi="Arial" w:cs="Arial"/>
          <w:sz w:val="24"/>
          <w:szCs w:val="24"/>
        </w:rPr>
        <w:t xml:space="preserve">Crear portales web fáciles de usar y accesibles para los grupos que se encuentren en situación de vulnerabilidad, implementar lectores de página, contrastes de color, temporizador dentro de las ventanas emergentes, entre otras herramientas. </w:t>
      </w:r>
    </w:p>
    <w:p w14:paraId="44C1A1B0" w14:textId="4E896C5E" w:rsidR="00C9398D" w:rsidRPr="00B92499" w:rsidRDefault="00C9398D" w:rsidP="00C9398D">
      <w:pPr>
        <w:spacing w:line="360" w:lineRule="auto"/>
        <w:ind w:left="1080"/>
        <w:jc w:val="both"/>
        <w:rPr>
          <w:rFonts w:ascii="Arial" w:hAnsi="Arial" w:cs="Arial"/>
        </w:rPr>
      </w:pPr>
      <w:r w:rsidRPr="00B92499">
        <w:rPr>
          <w:rFonts w:ascii="Arial" w:hAnsi="Arial" w:cs="Arial"/>
        </w:rPr>
        <w:t>Lo anterior, con el objetivo de asegurar el cumplimiento total de las obligaciones</w:t>
      </w:r>
      <w:r w:rsidR="0046015E" w:rsidRPr="00B92499">
        <w:rPr>
          <w:rFonts w:ascii="Arial" w:hAnsi="Arial" w:cs="Arial"/>
        </w:rPr>
        <w:t xml:space="preserve"> de los sujetos obligados y asegurar que la ciudadanía pueda</w:t>
      </w:r>
      <w:r w:rsidRPr="00B92499">
        <w:rPr>
          <w:rFonts w:ascii="Arial" w:hAnsi="Arial" w:cs="Arial"/>
        </w:rPr>
        <w:t xml:space="preserve"> para que las personas puedan aprovechar la información correspondiente.</w:t>
      </w:r>
    </w:p>
    <w:p w14:paraId="5364AF95" w14:textId="77777777" w:rsidR="00C9398D" w:rsidRPr="00B92499" w:rsidRDefault="00C9398D" w:rsidP="009F64B5">
      <w:pPr>
        <w:pStyle w:val="Prrafodelista"/>
        <w:numPr>
          <w:ilvl w:val="0"/>
          <w:numId w:val="15"/>
        </w:numPr>
        <w:spacing w:line="360" w:lineRule="auto"/>
        <w:jc w:val="both"/>
        <w:rPr>
          <w:rFonts w:ascii="Arial" w:hAnsi="Arial" w:cs="Arial"/>
          <w:sz w:val="24"/>
          <w:szCs w:val="24"/>
        </w:rPr>
      </w:pPr>
      <w:r w:rsidRPr="00B92499">
        <w:rPr>
          <w:rFonts w:ascii="Arial" w:hAnsi="Arial" w:cs="Arial"/>
          <w:sz w:val="24"/>
          <w:szCs w:val="24"/>
        </w:rPr>
        <w:t xml:space="preserve">Se buscará promover la transparencia proactiva y la difusión de información de interés público. </w:t>
      </w:r>
    </w:p>
    <w:p w14:paraId="58B0CE61" w14:textId="77777777" w:rsidR="00C9398D" w:rsidRPr="00B92499" w:rsidRDefault="00C9398D" w:rsidP="009F64B5">
      <w:pPr>
        <w:pStyle w:val="Prrafodelista"/>
        <w:numPr>
          <w:ilvl w:val="0"/>
          <w:numId w:val="15"/>
        </w:numPr>
        <w:spacing w:line="360" w:lineRule="auto"/>
        <w:jc w:val="both"/>
        <w:rPr>
          <w:rFonts w:ascii="Arial" w:hAnsi="Arial" w:cs="Arial"/>
          <w:sz w:val="24"/>
          <w:szCs w:val="24"/>
        </w:rPr>
      </w:pPr>
      <w:r w:rsidRPr="00B92499">
        <w:rPr>
          <w:rFonts w:ascii="Arial" w:hAnsi="Arial" w:cs="Arial"/>
          <w:sz w:val="24"/>
          <w:szCs w:val="24"/>
        </w:rPr>
        <w:t xml:space="preserve">Como órgano garante, el Instituto promoverá un análisis más detenido de los factores que hicieron posible este resultado, para identificar las buenas prácticas que existen en su trabajo, generar guías, manuales y documentos de buenas prácticas y socializarlas a fin de facilitar que otros sujetos obligados puedan alcanzar el mismo resultado en las próximas evaluaciones. </w:t>
      </w:r>
    </w:p>
    <w:p w14:paraId="11EA449F" w14:textId="77777777" w:rsidR="00C9398D" w:rsidRPr="00B92499" w:rsidRDefault="00C9398D" w:rsidP="009F64B5">
      <w:pPr>
        <w:pStyle w:val="Prrafodelista"/>
        <w:numPr>
          <w:ilvl w:val="0"/>
          <w:numId w:val="15"/>
        </w:numPr>
        <w:spacing w:line="360" w:lineRule="auto"/>
        <w:jc w:val="both"/>
        <w:rPr>
          <w:rFonts w:ascii="Arial" w:hAnsi="Arial" w:cs="Arial"/>
          <w:sz w:val="24"/>
          <w:szCs w:val="24"/>
        </w:rPr>
      </w:pPr>
      <w:r w:rsidRPr="00B92499">
        <w:rPr>
          <w:rFonts w:ascii="Arial" w:hAnsi="Arial" w:cs="Arial"/>
          <w:sz w:val="24"/>
          <w:szCs w:val="24"/>
        </w:rPr>
        <w:t xml:space="preserve">Las áreas de oportunidad que fueron identificadas durante la primera y segunda evaluación serán impactadas en la armonización de los Lineamientos y Metodología de Evaluación que emitirá el Instituto durante el cuarto trimestre del año. </w:t>
      </w:r>
    </w:p>
    <w:p w14:paraId="7615825B" w14:textId="0DDDF435" w:rsidR="006C3FD4" w:rsidRPr="00571554" w:rsidRDefault="006C3FD4" w:rsidP="00571554">
      <w:pPr>
        <w:spacing w:line="360" w:lineRule="auto"/>
        <w:contextualSpacing/>
        <w:jc w:val="both"/>
        <w:rPr>
          <w:rFonts w:ascii="Arial" w:hAnsi="Arial" w:cs="Arial"/>
          <w:lang w:val="es-ES"/>
        </w:rPr>
      </w:pPr>
      <w:bookmarkStart w:id="59" w:name="_GoBack"/>
      <w:bookmarkEnd w:id="59"/>
    </w:p>
    <w:sectPr w:rsidR="006C3FD4" w:rsidRPr="00571554" w:rsidSect="00661F74">
      <w:headerReference w:type="default" r:id="rId9"/>
      <w:footerReference w:type="even" r:id="rId10"/>
      <w:footerReference w:type="default" r:id="rId11"/>
      <w:type w:val="continuous"/>
      <w:pgSz w:w="12240" w:h="15840"/>
      <w:pgMar w:top="1417" w:right="1701" w:bottom="1417" w:left="1701"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5B1415" w14:textId="77777777" w:rsidR="003B5C22" w:rsidRDefault="003B5C22" w:rsidP="00F0452A">
      <w:r>
        <w:separator/>
      </w:r>
    </w:p>
  </w:endnote>
  <w:endnote w:type="continuationSeparator" w:id="0">
    <w:p w14:paraId="11B7E32A" w14:textId="77777777" w:rsidR="003B5C22" w:rsidRDefault="003B5C22" w:rsidP="00F04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Sylfaen"/>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1889914408"/>
      <w:docPartObj>
        <w:docPartGallery w:val="Page Numbers (Bottom of Page)"/>
        <w:docPartUnique/>
      </w:docPartObj>
    </w:sdtPr>
    <w:sdtEndPr>
      <w:rPr>
        <w:rStyle w:val="Nmerodepgina"/>
      </w:rPr>
    </w:sdtEndPr>
    <w:sdtContent>
      <w:p w14:paraId="151F73F3" w14:textId="1A5B4FC0" w:rsidR="003938D4" w:rsidRDefault="003938D4" w:rsidP="003938D4">
        <w:pPr>
          <w:pStyle w:val="Piedepgina"/>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2</w:t>
        </w:r>
        <w:r>
          <w:rPr>
            <w:rStyle w:val="Nmerodepgina"/>
          </w:rPr>
          <w:fldChar w:fldCharType="end"/>
        </w:r>
      </w:p>
    </w:sdtContent>
  </w:sdt>
  <w:p w14:paraId="47EAC8A0" w14:textId="77777777" w:rsidR="003938D4" w:rsidRDefault="003938D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1759863721"/>
      <w:docPartObj>
        <w:docPartGallery w:val="Page Numbers (Bottom of Page)"/>
        <w:docPartUnique/>
      </w:docPartObj>
    </w:sdtPr>
    <w:sdtEndPr>
      <w:rPr>
        <w:rStyle w:val="Nmerodepgina"/>
      </w:rPr>
    </w:sdtEndPr>
    <w:sdtContent>
      <w:p w14:paraId="6757B1B2" w14:textId="1D010177" w:rsidR="003938D4" w:rsidRDefault="003938D4" w:rsidP="003938D4">
        <w:pPr>
          <w:pStyle w:val="Piedepgina"/>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81</w:t>
        </w:r>
        <w:r>
          <w:rPr>
            <w:rStyle w:val="Nmerodepgina"/>
          </w:rPr>
          <w:fldChar w:fldCharType="end"/>
        </w:r>
      </w:p>
    </w:sdtContent>
  </w:sdt>
  <w:p w14:paraId="462FE276" w14:textId="5A9B29FB" w:rsidR="003938D4" w:rsidRPr="00661F74" w:rsidRDefault="003938D4" w:rsidP="00661F74">
    <w:pPr>
      <w:pStyle w:val="Piedepgina"/>
      <w:jc w:val="center"/>
      <w:rPr>
        <w:rFonts w:ascii="Arial" w:hAnsi="Arial" w:cs="Arial"/>
        <w:color w:val="385623" w:themeColor="accent6" w:themeShade="80"/>
        <w:sz w:val="24"/>
        <w:szCs w:val="24"/>
      </w:rPr>
    </w:pPr>
  </w:p>
  <w:p w14:paraId="360FA5EE" w14:textId="77777777" w:rsidR="003938D4" w:rsidRPr="00E724ED" w:rsidRDefault="003938D4" w:rsidP="00E724ED">
    <w:pPr>
      <w:pStyle w:val="Piedepgina"/>
      <w:jc w:val="center"/>
      <w:rPr>
        <w:caps/>
        <w:color w:val="5B9BD5" w:themeColor="accent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C2C084" w14:textId="77777777" w:rsidR="003B5C22" w:rsidRDefault="003B5C22" w:rsidP="00F0452A">
      <w:r>
        <w:separator/>
      </w:r>
    </w:p>
  </w:footnote>
  <w:footnote w:type="continuationSeparator" w:id="0">
    <w:p w14:paraId="2FE1EB6B" w14:textId="77777777" w:rsidR="003B5C22" w:rsidRDefault="003B5C22" w:rsidP="00F0452A">
      <w:r>
        <w:continuationSeparator/>
      </w:r>
    </w:p>
  </w:footnote>
  <w:footnote w:id="1">
    <w:p w14:paraId="1CAFA38E" w14:textId="17B699EF" w:rsidR="003938D4" w:rsidRPr="00114E33" w:rsidRDefault="003938D4">
      <w:pPr>
        <w:pStyle w:val="Textonotapie"/>
        <w:rPr>
          <w:lang w:val="es-ES"/>
        </w:rPr>
      </w:pPr>
      <w:r w:rsidRPr="00114E33">
        <w:rPr>
          <w:rStyle w:val="Refdenotaalpie"/>
          <w:highlight w:val="yellow"/>
        </w:rPr>
        <w:footnoteRef/>
      </w:r>
      <w:r w:rsidRPr="00114E33">
        <w:rPr>
          <w:highlight w:val="yellow"/>
        </w:rPr>
        <w:t xml:space="preserve"> </w:t>
      </w:r>
      <w:r w:rsidRPr="00114E33">
        <w:rPr>
          <w:highlight w:val="yellow"/>
          <w:lang w:val="es-MX"/>
        </w:rPr>
        <w:t>Los preceptos que no se advierta a qué ley se hace referencia, se entenderá que es a la Ley de Transparencia de esta Ciudad de México</w:t>
      </w:r>
    </w:p>
  </w:footnote>
  <w:footnote w:id="2">
    <w:p w14:paraId="349552F7" w14:textId="77777777" w:rsidR="003938D4" w:rsidRPr="00750DF4" w:rsidRDefault="003938D4" w:rsidP="00C9398D">
      <w:pPr>
        <w:pStyle w:val="Textonotapie"/>
      </w:pPr>
      <w:r>
        <w:rPr>
          <w:rStyle w:val="Refdenotaalpie"/>
        </w:rPr>
        <w:footnoteRef/>
      </w:r>
      <w:r>
        <w:t xml:space="preserve"> </w:t>
      </w:r>
      <w:r w:rsidRPr="0024281D">
        <w:rPr>
          <w:rFonts w:ascii="Arial" w:hAnsi="Arial" w:cs="Arial"/>
          <w:sz w:val="15"/>
          <w:szCs w:val="15"/>
        </w:rPr>
        <w:t>Secretaría de Administración y Finanzas, Secretaría de Gestión Integral de Riesgos y Protección Civil, Secretaría de la Contraloría General, Secretaría de Seguridad Ciudadana, Secretaría de Educación, Ciencia, Tecnología e Innovación, Secretaría de Inclusión y Bienestar Social, Secretaría de las Mujeres, Secretaría de Pueblos y Barrios Originarios y Comunidades Indígenas Residentes.</w:t>
      </w:r>
    </w:p>
  </w:footnote>
  <w:footnote w:id="3">
    <w:p w14:paraId="5F9CA70B" w14:textId="77777777" w:rsidR="003938D4" w:rsidRPr="00750DF4" w:rsidRDefault="003938D4" w:rsidP="00C9398D">
      <w:pPr>
        <w:pStyle w:val="Textonotapie"/>
      </w:pPr>
      <w:r>
        <w:rPr>
          <w:rStyle w:val="Refdenotaalpie"/>
        </w:rPr>
        <w:footnoteRef/>
      </w:r>
      <w:r>
        <w:t xml:space="preserve"> </w:t>
      </w:r>
      <w:r w:rsidRPr="0024281D">
        <w:rPr>
          <w:rFonts w:ascii="Arial" w:hAnsi="Arial" w:cs="Arial"/>
          <w:sz w:val="15"/>
          <w:szCs w:val="15"/>
        </w:rPr>
        <w:t>Agencia de Atención Animal, Agencia Digital de Innovación Pública de la Ciudad de México, Órgano Regulador de Transporte, Planta Productora de Mezclas Asfálticas, Régimen de Protección Social en Salud de la Ciudad de México, Red de Transporte Público de Pasajeros de la Ciudad de México, Sistema Público de Radiodifusión de la Ciudad de México, Fondo Público de Atención al Ciclista y al Peatón.</w:t>
      </w:r>
    </w:p>
  </w:footnote>
  <w:footnote w:id="4">
    <w:p w14:paraId="17C13E9E" w14:textId="77777777" w:rsidR="003938D4" w:rsidRPr="00750DF4" w:rsidRDefault="003938D4" w:rsidP="00C9398D">
      <w:pPr>
        <w:pStyle w:val="Textonotapie"/>
      </w:pPr>
      <w:r>
        <w:rPr>
          <w:rStyle w:val="Refdenotaalpie"/>
        </w:rPr>
        <w:footnoteRef/>
      </w:r>
      <w:r>
        <w:t xml:space="preserve"> </w:t>
      </w:r>
      <w:r w:rsidRPr="0024281D">
        <w:rPr>
          <w:rFonts w:ascii="Arial" w:hAnsi="Arial" w:cs="Arial"/>
          <w:sz w:val="15"/>
          <w:szCs w:val="15"/>
        </w:rPr>
        <w:t>Alcaldía Álvaro Obregón, Alcaldía Azcapotzalco, Alcaldía Benito Juárez, Alcaldía Coyoacán, Alcaldía Cuajimalpa de Morelos, Alcaldía Cuauhtémoc, Alcaldía Gustavo A Madero, Alcaldía Iztacalco, Alcaldía Iztapalapa, Alcaldía La Magdalena Contreras, Alcaldía Miguel Hidalgo, Alcaldía Milpa Alta, Alcaldía Tláhuac, Alcaldía Tlalpan, Alcaldía Venustiano Carranza, Alcaldía Xochimilco.</w:t>
      </w:r>
    </w:p>
  </w:footnote>
  <w:footnote w:id="5">
    <w:p w14:paraId="6B8C0345" w14:textId="77777777" w:rsidR="003938D4" w:rsidRPr="00750DF4" w:rsidRDefault="003938D4" w:rsidP="00C9398D">
      <w:pPr>
        <w:pStyle w:val="Textonotapie"/>
      </w:pPr>
      <w:r>
        <w:rPr>
          <w:rStyle w:val="Refdenotaalpie"/>
        </w:rPr>
        <w:footnoteRef/>
      </w:r>
      <w:r>
        <w:t xml:space="preserve"> </w:t>
      </w:r>
      <w:r w:rsidRPr="0024281D">
        <w:rPr>
          <w:rFonts w:ascii="Arial" w:hAnsi="Arial" w:cs="Arial"/>
          <w:sz w:val="15"/>
          <w:szCs w:val="15"/>
        </w:rPr>
        <w:t>Congreso de la Ciudad de México.</w:t>
      </w:r>
    </w:p>
  </w:footnote>
  <w:footnote w:id="6">
    <w:p w14:paraId="75666008" w14:textId="77777777" w:rsidR="003938D4" w:rsidRPr="00750DF4" w:rsidRDefault="003938D4" w:rsidP="00C9398D">
      <w:pPr>
        <w:pStyle w:val="Textonotapie"/>
      </w:pPr>
      <w:r>
        <w:rPr>
          <w:rStyle w:val="Refdenotaalpie"/>
        </w:rPr>
        <w:footnoteRef/>
      </w:r>
      <w:r>
        <w:t xml:space="preserve"> </w:t>
      </w:r>
      <w:r w:rsidRPr="0024281D">
        <w:rPr>
          <w:rFonts w:ascii="Arial" w:hAnsi="Arial" w:cs="Arial"/>
          <w:sz w:val="15"/>
          <w:szCs w:val="15"/>
        </w:rPr>
        <w:t>Instituto de Transparencia, Acceso a la Información Pública, Protección de Datos Personales y Rendición de Cuentas de la Ciudad de México.</w:t>
      </w:r>
    </w:p>
  </w:footnote>
  <w:footnote w:id="7">
    <w:p w14:paraId="737EF762" w14:textId="77777777" w:rsidR="003938D4" w:rsidRPr="00750DF4" w:rsidRDefault="003938D4" w:rsidP="00C9398D">
      <w:pPr>
        <w:pStyle w:val="Textonotapie"/>
      </w:pPr>
      <w:r>
        <w:rPr>
          <w:rStyle w:val="Refdenotaalpie"/>
        </w:rPr>
        <w:footnoteRef/>
      </w:r>
      <w:r>
        <w:t xml:space="preserve"> </w:t>
      </w:r>
      <w:r w:rsidRPr="0024281D">
        <w:rPr>
          <w:rFonts w:ascii="Arial" w:hAnsi="Arial" w:cs="Arial"/>
          <w:sz w:val="15"/>
          <w:szCs w:val="15"/>
        </w:rPr>
        <w:t>Sindicato de Trabajadores del Tribunal de Justicia Administrativa de la Ciudad de México.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4D2558" w14:textId="3CF64F6E" w:rsidR="003938D4" w:rsidRDefault="003938D4" w:rsidP="00E724ED">
    <w:pPr>
      <w:pStyle w:val="Encabezado"/>
      <w:ind w:firstLine="708"/>
    </w:pPr>
    <w:r w:rsidRPr="00614C23">
      <w:rPr>
        <w:rFonts w:ascii="Arial Black" w:hAnsi="Arial Black" w:cs="Arial"/>
        <w:noProof/>
        <w:color w:val="4597A1"/>
        <w:sz w:val="18"/>
        <w:szCs w:val="19"/>
        <w:lang w:val="es-MX"/>
      </w:rPr>
      <w:drawing>
        <wp:anchor distT="0" distB="0" distL="114300" distR="114300" simplePos="0" relativeHeight="251663360" behindDoc="1" locked="0" layoutInCell="1" allowOverlap="1" wp14:anchorId="5051FEAF" wp14:editId="2E54D122">
          <wp:simplePos x="0" y="0"/>
          <wp:positionH relativeFrom="column">
            <wp:posOffset>-1076235</wp:posOffset>
          </wp:positionH>
          <wp:positionV relativeFrom="paragraph">
            <wp:posOffset>-443695</wp:posOffset>
          </wp:positionV>
          <wp:extent cx="7761605" cy="903111"/>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761605" cy="90311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145DD"/>
    <w:multiLevelType w:val="hybridMultilevel"/>
    <w:tmpl w:val="E4CABF90"/>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07F45559"/>
    <w:multiLevelType w:val="hybridMultilevel"/>
    <w:tmpl w:val="12828A90"/>
    <w:lvl w:ilvl="0" w:tplc="080A000F">
      <w:start w:val="1"/>
      <w:numFmt w:val="decimal"/>
      <w:lvlText w:val="%1."/>
      <w:lvlJc w:val="left"/>
      <w:pPr>
        <w:ind w:left="770" w:hanging="360"/>
      </w:pPr>
    </w:lvl>
    <w:lvl w:ilvl="1" w:tplc="080A0019" w:tentative="1">
      <w:start w:val="1"/>
      <w:numFmt w:val="lowerLetter"/>
      <w:lvlText w:val="%2."/>
      <w:lvlJc w:val="left"/>
      <w:pPr>
        <w:ind w:left="1490" w:hanging="360"/>
      </w:pPr>
    </w:lvl>
    <w:lvl w:ilvl="2" w:tplc="080A001B" w:tentative="1">
      <w:start w:val="1"/>
      <w:numFmt w:val="lowerRoman"/>
      <w:lvlText w:val="%3."/>
      <w:lvlJc w:val="right"/>
      <w:pPr>
        <w:ind w:left="2210" w:hanging="180"/>
      </w:pPr>
    </w:lvl>
    <w:lvl w:ilvl="3" w:tplc="080A000F" w:tentative="1">
      <w:start w:val="1"/>
      <w:numFmt w:val="decimal"/>
      <w:lvlText w:val="%4."/>
      <w:lvlJc w:val="left"/>
      <w:pPr>
        <w:ind w:left="2930" w:hanging="360"/>
      </w:pPr>
    </w:lvl>
    <w:lvl w:ilvl="4" w:tplc="080A0019" w:tentative="1">
      <w:start w:val="1"/>
      <w:numFmt w:val="lowerLetter"/>
      <w:lvlText w:val="%5."/>
      <w:lvlJc w:val="left"/>
      <w:pPr>
        <w:ind w:left="3650" w:hanging="360"/>
      </w:pPr>
    </w:lvl>
    <w:lvl w:ilvl="5" w:tplc="080A001B" w:tentative="1">
      <w:start w:val="1"/>
      <w:numFmt w:val="lowerRoman"/>
      <w:lvlText w:val="%6."/>
      <w:lvlJc w:val="right"/>
      <w:pPr>
        <w:ind w:left="4370" w:hanging="180"/>
      </w:pPr>
    </w:lvl>
    <w:lvl w:ilvl="6" w:tplc="080A000F" w:tentative="1">
      <w:start w:val="1"/>
      <w:numFmt w:val="decimal"/>
      <w:lvlText w:val="%7."/>
      <w:lvlJc w:val="left"/>
      <w:pPr>
        <w:ind w:left="5090" w:hanging="360"/>
      </w:pPr>
    </w:lvl>
    <w:lvl w:ilvl="7" w:tplc="080A0019" w:tentative="1">
      <w:start w:val="1"/>
      <w:numFmt w:val="lowerLetter"/>
      <w:lvlText w:val="%8."/>
      <w:lvlJc w:val="left"/>
      <w:pPr>
        <w:ind w:left="5810" w:hanging="360"/>
      </w:pPr>
    </w:lvl>
    <w:lvl w:ilvl="8" w:tplc="080A001B" w:tentative="1">
      <w:start w:val="1"/>
      <w:numFmt w:val="lowerRoman"/>
      <w:lvlText w:val="%9."/>
      <w:lvlJc w:val="right"/>
      <w:pPr>
        <w:ind w:left="6530" w:hanging="180"/>
      </w:pPr>
    </w:lvl>
  </w:abstractNum>
  <w:abstractNum w:abstractNumId="2" w15:restartNumberingAfterBreak="0">
    <w:nsid w:val="0B835488"/>
    <w:multiLevelType w:val="multilevel"/>
    <w:tmpl w:val="F3A481E4"/>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E2436B4"/>
    <w:multiLevelType w:val="multilevel"/>
    <w:tmpl w:val="F198E7E0"/>
    <w:lvl w:ilvl="0">
      <w:start w:val="1"/>
      <w:numFmt w:val="decimal"/>
      <w:lvlText w:val="%1."/>
      <w:lvlJc w:val="left"/>
      <w:pPr>
        <w:ind w:left="360" w:hanging="360"/>
      </w:pPr>
      <w:rPr>
        <w:rFonts w:hint="default"/>
      </w:rPr>
    </w:lvl>
    <w:lvl w:ilvl="1">
      <w:start w:val="4"/>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EB55778"/>
    <w:multiLevelType w:val="hybridMultilevel"/>
    <w:tmpl w:val="D200F8D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174E34CB"/>
    <w:multiLevelType w:val="hybridMultilevel"/>
    <w:tmpl w:val="12828A90"/>
    <w:lvl w:ilvl="0" w:tplc="080A000F">
      <w:start w:val="1"/>
      <w:numFmt w:val="decimal"/>
      <w:lvlText w:val="%1."/>
      <w:lvlJc w:val="left"/>
      <w:pPr>
        <w:ind w:left="770" w:hanging="360"/>
      </w:pPr>
    </w:lvl>
    <w:lvl w:ilvl="1" w:tplc="080A0019" w:tentative="1">
      <w:start w:val="1"/>
      <w:numFmt w:val="lowerLetter"/>
      <w:lvlText w:val="%2."/>
      <w:lvlJc w:val="left"/>
      <w:pPr>
        <w:ind w:left="1490" w:hanging="360"/>
      </w:pPr>
    </w:lvl>
    <w:lvl w:ilvl="2" w:tplc="080A001B" w:tentative="1">
      <w:start w:val="1"/>
      <w:numFmt w:val="lowerRoman"/>
      <w:lvlText w:val="%3."/>
      <w:lvlJc w:val="right"/>
      <w:pPr>
        <w:ind w:left="2210" w:hanging="180"/>
      </w:pPr>
    </w:lvl>
    <w:lvl w:ilvl="3" w:tplc="080A000F" w:tentative="1">
      <w:start w:val="1"/>
      <w:numFmt w:val="decimal"/>
      <w:lvlText w:val="%4."/>
      <w:lvlJc w:val="left"/>
      <w:pPr>
        <w:ind w:left="2930" w:hanging="360"/>
      </w:pPr>
    </w:lvl>
    <w:lvl w:ilvl="4" w:tplc="080A0019" w:tentative="1">
      <w:start w:val="1"/>
      <w:numFmt w:val="lowerLetter"/>
      <w:lvlText w:val="%5."/>
      <w:lvlJc w:val="left"/>
      <w:pPr>
        <w:ind w:left="3650" w:hanging="360"/>
      </w:pPr>
    </w:lvl>
    <w:lvl w:ilvl="5" w:tplc="080A001B" w:tentative="1">
      <w:start w:val="1"/>
      <w:numFmt w:val="lowerRoman"/>
      <w:lvlText w:val="%6."/>
      <w:lvlJc w:val="right"/>
      <w:pPr>
        <w:ind w:left="4370" w:hanging="180"/>
      </w:pPr>
    </w:lvl>
    <w:lvl w:ilvl="6" w:tplc="080A000F" w:tentative="1">
      <w:start w:val="1"/>
      <w:numFmt w:val="decimal"/>
      <w:lvlText w:val="%7."/>
      <w:lvlJc w:val="left"/>
      <w:pPr>
        <w:ind w:left="5090" w:hanging="360"/>
      </w:pPr>
    </w:lvl>
    <w:lvl w:ilvl="7" w:tplc="080A0019" w:tentative="1">
      <w:start w:val="1"/>
      <w:numFmt w:val="lowerLetter"/>
      <w:lvlText w:val="%8."/>
      <w:lvlJc w:val="left"/>
      <w:pPr>
        <w:ind w:left="5810" w:hanging="360"/>
      </w:pPr>
    </w:lvl>
    <w:lvl w:ilvl="8" w:tplc="080A001B" w:tentative="1">
      <w:start w:val="1"/>
      <w:numFmt w:val="lowerRoman"/>
      <w:lvlText w:val="%9."/>
      <w:lvlJc w:val="right"/>
      <w:pPr>
        <w:ind w:left="6530" w:hanging="180"/>
      </w:pPr>
    </w:lvl>
  </w:abstractNum>
  <w:abstractNum w:abstractNumId="6" w15:restartNumberingAfterBreak="0">
    <w:nsid w:val="1DA876CA"/>
    <w:multiLevelType w:val="hybridMultilevel"/>
    <w:tmpl w:val="CED6864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1DCA135D"/>
    <w:multiLevelType w:val="multilevel"/>
    <w:tmpl w:val="04D80F5A"/>
    <w:lvl w:ilvl="0">
      <w:start w:val="1"/>
      <w:numFmt w:val="decimal"/>
      <w:lvlText w:val="%1."/>
      <w:lvlJc w:val="left"/>
      <w:pPr>
        <w:ind w:left="360" w:hanging="360"/>
      </w:pPr>
    </w:lvl>
    <w:lvl w:ilvl="1">
      <w:start w:val="1"/>
      <w:numFmt w:val="decimal"/>
      <w:lvlText w:val="%2.4"/>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65C46E8"/>
    <w:multiLevelType w:val="hybridMultilevel"/>
    <w:tmpl w:val="EEE08D0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15:restartNumberingAfterBreak="0">
    <w:nsid w:val="2B6B590C"/>
    <w:multiLevelType w:val="hybridMultilevel"/>
    <w:tmpl w:val="4AB0D7E8"/>
    <w:lvl w:ilvl="0" w:tplc="080A000F">
      <w:start w:val="1"/>
      <w:numFmt w:val="decimal"/>
      <w:lvlText w:val="%1."/>
      <w:lvlJc w:val="left"/>
      <w:pPr>
        <w:ind w:left="720" w:hanging="360"/>
      </w:pPr>
      <w:rPr>
        <w:rFonts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15:restartNumberingAfterBreak="0">
    <w:nsid w:val="2F0F184E"/>
    <w:multiLevelType w:val="hybridMultilevel"/>
    <w:tmpl w:val="4AB0D7E8"/>
    <w:lvl w:ilvl="0" w:tplc="080A000F">
      <w:start w:val="1"/>
      <w:numFmt w:val="decimal"/>
      <w:lvlText w:val="%1."/>
      <w:lvlJc w:val="left"/>
      <w:pPr>
        <w:ind w:left="720" w:hanging="360"/>
      </w:pPr>
      <w:rPr>
        <w:rFonts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15:restartNumberingAfterBreak="0">
    <w:nsid w:val="37F87193"/>
    <w:multiLevelType w:val="multilevel"/>
    <w:tmpl w:val="368E36A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4.%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A081656"/>
    <w:multiLevelType w:val="hybridMultilevel"/>
    <w:tmpl w:val="12828A90"/>
    <w:lvl w:ilvl="0" w:tplc="080A000F">
      <w:start w:val="1"/>
      <w:numFmt w:val="decimal"/>
      <w:lvlText w:val="%1."/>
      <w:lvlJc w:val="left"/>
      <w:pPr>
        <w:ind w:left="770" w:hanging="360"/>
      </w:pPr>
    </w:lvl>
    <w:lvl w:ilvl="1" w:tplc="080A0019" w:tentative="1">
      <w:start w:val="1"/>
      <w:numFmt w:val="lowerLetter"/>
      <w:lvlText w:val="%2."/>
      <w:lvlJc w:val="left"/>
      <w:pPr>
        <w:ind w:left="1490" w:hanging="360"/>
      </w:pPr>
    </w:lvl>
    <w:lvl w:ilvl="2" w:tplc="080A001B" w:tentative="1">
      <w:start w:val="1"/>
      <w:numFmt w:val="lowerRoman"/>
      <w:lvlText w:val="%3."/>
      <w:lvlJc w:val="right"/>
      <w:pPr>
        <w:ind w:left="2210" w:hanging="180"/>
      </w:pPr>
    </w:lvl>
    <w:lvl w:ilvl="3" w:tplc="080A000F" w:tentative="1">
      <w:start w:val="1"/>
      <w:numFmt w:val="decimal"/>
      <w:lvlText w:val="%4."/>
      <w:lvlJc w:val="left"/>
      <w:pPr>
        <w:ind w:left="2930" w:hanging="360"/>
      </w:pPr>
    </w:lvl>
    <w:lvl w:ilvl="4" w:tplc="080A0019" w:tentative="1">
      <w:start w:val="1"/>
      <w:numFmt w:val="lowerLetter"/>
      <w:lvlText w:val="%5."/>
      <w:lvlJc w:val="left"/>
      <w:pPr>
        <w:ind w:left="3650" w:hanging="360"/>
      </w:pPr>
    </w:lvl>
    <w:lvl w:ilvl="5" w:tplc="080A001B" w:tentative="1">
      <w:start w:val="1"/>
      <w:numFmt w:val="lowerRoman"/>
      <w:lvlText w:val="%6."/>
      <w:lvlJc w:val="right"/>
      <w:pPr>
        <w:ind w:left="4370" w:hanging="180"/>
      </w:pPr>
    </w:lvl>
    <w:lvl w:ilvl="6" w:tplc="080A000F" w:tentative="1">
      <w:start w:val="1"/>
      <w:numFmt w:val="decimal"/>
      <w:lvlText w:val="%7."/>
      <w:lvlJc w:val="left"/>
      <w:pPr>
        <w:ind w:left="5090" w:hanging="360"/>
      </w:pPr>
    </w:lvl>
    <w:lvl w:ilvl="7" w:tplc="080A0019" w:tentative="1">
      <w:start w:val="1"/>
      <w:numFmt w:val="lowerLetter"/>
      <w:lvlText w:val="%8."/>
      <w:lvlJc w:val="left"/>
      <w:pPr>
        <w:ind w:left="5810" w:hanging="360"/>
      </w:pPr>
    </w:lvl>
    <w:lvl w:ilvl="8" w:tplc="080A001B" w:tentative="1">
      <w:start w:val="1"/>
      <w:numFmt w:val="lowerRoman"/>
      <w:lvlText w:val="%9."/>
      <w:lvlJc w:val="right"/>
      <w:pPr>
        <w:ind w:left="6530" w:hanging="180"/>
      </w:pPr>
    </w:lvl>
  </w:abstractNum>
  <w:abstractNum w:abstractNumId="13" w15:restartNumberingAfterBreak="0">
    <w:nsid w:val="427D6C11"/>
    <w:multiLevelType w:val="hybridMultilevel"/>
    <w:tmpl w:val="1416D042"/>
    <w:lvl w:ilvl="0" w:tplc="040A000F">
      <w:start w:val="1"/>
      <w:numFmt w:val="decimal"/>
      <w:lvlText w:val="%1."/>
      <w:lvlJc w:val="left"/>
      <w:pPr>
        <w:ind w:left="720" w:hanging="360"/>
      </w:pPr>
      <w:rPr>
        <w:rFont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4" w15:restartNumberingAfterBreak="0">
    <w:nsid w:val="4DF21554"/>
    <w:multiLevelType w:val="hybridMultilevel"/>
    <w:tmpl w:val="E1E25E0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5" w15:restartNumberingAfterBreak="0">
    <w:nsid w:val="513D45E4"/>
    <w:multiLevelType w:val="multilevel"/>
    <w:tmpl w:val="51C69026"/>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56BD545D"/>
    <w:multiLevelType w:val="multilevel"/>
    <w:tmpl w:val="37981D74"/>
    <w:lvl w:ilvl="0">
      <w:start w:val="1"/>
      <w:numFmt w:val="decimal"/>
      <w:lvlText w:val="%1."/>
      <w:lvlJc w:val="left"/>
      <w:pPr>
        <w:ind w:left="360" w:hanging="360"/>
      </w:pPr>
      <w:rPr>
        <w:rFonts w:hint="default"/>
      </w:rPr>
    </w:lvl>
    <w:lvl w:ilvl="1">
      <w:start w:val="4"/>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82600ED"/>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BC31518"/>
    <w:multiLevelType w:val="multilevel"/>
    <w:tmpl w:val="49DC06F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D3507CF"/>
    <w:multiLevelType w:val="hybridMultilevel"/>
    <w:tmpl w:val="9E8C119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0" w15:restartNumberingAfterBreak="0">
    <w:nsid w:val="5D666CF7"/>
    <w:multiLevelType w:val="multilevel"/>
    <w:tmpl w:val="09A2FB4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E8C5D6B"/>
    <w:multiLevelType w:val="multilevel"/>
    <w:tmpl w:val="F198E7E0"/>
    <w:lvl w:ilvl="0">
      <w:start w:val="1"/>
      <w:numFmt w:val="decimal"/>
      <w:lvlText w:val="%1."/>
      <w:lvlJc w:val="left"/>
      <w:pPr>
        <w:ind w:left="360" w:hanging="360"/>
      </w:pPr>
      <w:rPr>
        <w:rFonts w:hint="default"/>
      </w:rPr>
    </w:lvl>
    <w:lvl w:ilvl="1">
      <w:start w:val="4"/>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62151A41"/>
    <w:multiLevelType w:val="hybridMultilevel"/>
    <w:tmpl w:val="12828A90"/>
    <w:lvl w:ilvl="0" w:tplc="080A000F">
      <w:start w:val="1"/>
      <w:numFmt w:val="decimal"/>
      <w:lvlText w:val="%1."/>
      <w:lvlJc w:val="left"/>
      <w:pPr>
        <w:ind w:left="770" w:hanging="360"/>
      </w:pPr>
    </w:lvl>
    <w:lvl w:ilvl="1" w:tplc="080A0019" w:tentative="1">
      <w:start w:val="1"/>
      <w:numFmt w:val="lowerLetter"/>
      <w:lvlText w:val="%2."/>
      <w:lvlJc w:val="left"/>
      <w:pPr>
        <w:ind w:left="1490" w:hanging="360"/>
      </w:pPr>
    </w:lvl>
    <w:lvl w:ilvl="2" w:tplc="080A001B" w:tentative="1">
      <w:start w:val="1"/>
      <w:numFmt w:val="lowerRoman"/>
      <w:lvlText w:val="%3."/>
      <w:lvlJc w:val="right"/>
      <w:pPr>
        <w:ind w:left="2210" w:hanging="180"/>
      </w:pPr>
    </w:lvl>
    <w:lvl w:ilvl="3" w:tplc="080A000F" w:tentative="1">
      <w:start w:val="1"/>
      <w:numFmt w:val="decimal"/>
      <w:lvlText w:val="%4."/>
      <w:lvlJc w:val="left"/>
      <w:pPr>
        <w:ind w:left="2930" w:hanging="360"/>
      </w:pPr>
    </w:lvl>
    <w:lvl w:ilvl="4" w:tplc="080A0019" w:tentative="1">
      <w:start w:val="1"/>
      <w:numFmt w:val="lowerLetter"/>
      <w:lvlText w:val="%5."/>
      <w:lvlJc w:val="left"/>
      <w:pPr>
        <w:ind w:left="3650" w:hanging="360"/>
      </w:pPr>
    </w:lvl>
    <w:lvl w:ilvl="5" w:tplc="080A001B" w:tentative="1">
      <w:start w:val="1"/>
      <w:numFmt w:val="lowerRoman"/>
      <w:lvlText w:val="%6."/>
      <w:lvlJc w:val="right"/>
      <w:pPr>
        <w:ind w:left="4370" w:hanging="180"/>
      </w:pPr>
    </w:lvl>
    <w:lvl w:ilvl="6" w:tplc="080A000F" w:tentative="1">
      <w:start w:val="1"/>
      <w:numFmt w:val="decimal"/>
      <w:lvlText w:val="%7."/>
      <w:lvlJc w:val="left"/>
      <w:pPr>
        <w:ind w:left="5090" w:hanging="360"/>
      </w:pPr>
    </w:lvl>
    <w:lvl w:ilvl="7" w:tplc="080A0019" w:tentative="1">
      <w:start w:val="1"/>
      <w:numFmt w:val="lowerLetter"/>
      <w:lvlText w:val="%8."/>
      <w:lvlJc w:val="left"/>
      <w:pPr>
        <w:ind w:left="5810" w:hanging="360"/>
      </w:pPr>
    </w:lvl>
    <w:lvl w:ilvl="8" w:tplc="080A001B" w:tentative="1">
      <w:start w:val="1"/>
      <w:numFmt w:val="lowerRoman"/>
      <w:lvlText w:val="%9."/>
      <w:lvlJc w:val="right"/>
      <w:pPr>
        <w:ind w:left="6530" w:hanging="180"/>
      </w:pPr>
    </w:lvl>
  </w:abstractNum>
  <w:abstractNum w:abstractNumId="23" w15:restartNumberingAfterBreak="0">
    <w:nsid w:val="65302F54"/>
    <w:multiLevelType w:val="hybridMultilevel"/>
    <w:tmpl w:val="4AB0D7E8"/>
    <w:lvl w:ilvl="0" w:tplc="080A000F">
      <w:start w:val="1"/>
      <w:numFmt w:val="decimal"/>
      <w:lvlText w:val="%1."/>
      <w:lvlJc w:val="left"/>
      <w:pPr>
        <w:ind w:left="720" w:hanging="360"/>
      </w:pPr>
      <w:rPr>
        <w:rFonts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4" w15:restartNumberingAfterBreak="0">
    <w:nsid w:val="6A7C70DE"/>
    <w:multiLevelType w:val="hybridMultilevel"/>
    <w:tmpl w:val="12828A90"/>
    <w:lvl w:ilvl="0" w:tplc="080A000F">
      <w:start w:val="1"/>
      <w:numFmt w:val="decimal"/>
      <w:lvlText w:val="%1."/>
      <w:lvlJc w:val="left"/>
      <w:pPr>
        <w:ind w:left="770" w:hanging="360"/>
      </w:pPr>
    </w:lvl>
    <w:lvl w:ilvl="1" w:tplc="080A0019" w:tentative="1">
      <w:start w:val="1"/>
      <w:numFmt w:val="lowerLetter"/>
      <w:lvlText w:val="%2."/>
      <w:lvlJc w:val="left"/>
      <w:pPr>
        <w:ind w:left="1490" w:hanging="360"/>
      </w:pPr>
    </w:lvl>
    <w:lvl w:ilvl="2" w:tplc="080A001B" w:tentative="1">
      <w:start w:val="1"/>
      <w:numFmt w:val="lowerRoman"/>
      <w:lvlText w:val="%3."/>
      <w:lvlJc w:val="right"/>
      <w:pPr>
        <w:ind w:left="2210" w:hanging="180"/>
      </w:pPr>
    </w:lvl>
    <w:lvl w:ilvl="3" w:tplc="080A000F" w:tentative="1">
      <w:start w:val="1"/>
      <w:numFmt w:val="decimal"/>
      <w:lvlText w:val="%4."/>
      <w:lvlJc w:val="left"/>
      <w:pPr>
        <w:ind w:left="2930" w:hanging="360"/>
      </w:pPr>
    </w:lvl>
    <w:lvl w:ilvl="4" w:tplc="080A0019" w:tentative="1">
      <w:start w:val="1"/>
      <w:numFmt w:val="lowerLetter"/>
      <w:lvlText w:val="%5."/>
      <w:lvlJc w:val="left"/>
      <w:pPr>
        <w:ind w:left="3650" w:hanging="360"/>
      </w:pPr>
    </w:lvl>
    <w:lvl w:ilvl="5" w:tplc="080A001B" w:tentative="1">
      <w:start w:val="1"/>
      <w:numFmt w:val="lowerRoman"/>
      <w:lvlText w:val="%6."/>
      <w:lvlJc w:val="right"/>
      <w:pPr>
        <w:ind w:left="4370" w:hanging="180"/>
      </w:pPr>
    </w:lvl>
    <w:lvl w:ilvl="6" w:tplc="080A000F" w:tentative="1">
      <w:start w:val="1"/>
      <w:numFmt w:val="decimal"/>
      <w:lvlText w:val="%7."/>
      <w:lvlJc w:val="left"/>
      <w:pPr>
        <w:ind w:left="5090" w:hanging="360"/>
      </w:pPr>
    </w:lvl>
    <w:lvl w:ilvl="7" w:tplc="080A0019" w:tentative="1">
      <w:start w:val="1"/>
      <w:numFmt w:val="lowerLetter"/>
      <w:lvlText w:val="%8."/>
      <w:lvlJc w:val="left"/>
      <w:pPr>
        <w:ind w:left="5810" w:hanging="360"/>
      </w:pPr>
    </w:lvl>
    <w:lvl w:ilvl="8" w:tplc="080A001B" w:tentative="1">
      <w:start w:val="1"/>
      <w:numFmt w:val="lowerRoman"/>
      <w:lvlText w:val="%9."/>
      <w:lvlJc w:val="right"/>
      <w:pPr>
        <w:ind w:left="6530" w:hanging="180"/>
      </w:pPr>
    </w:lvl>
  </w:abstractNum>
  <w:abstractNum w:abstractNumId="25" w15:restartNumberingAfterBreak="0">
    <w:nsid w:val="6D872B04"/>
    <w:multiLevelType w:val="hybridMultilevel"/>
    <w:tmpl w:val="12828A90"/>
    <w:lvl w:ilvl="0" w:tplc="080A000F">
      <w:start w:val="1"/>
      <w:numFmt w:val="decimal"/>
      <w:lvlText w:val="%1."/>
      <w:lvlJc w:val="left"/>
      <w:pPr>
        <w:ind w:left="770" w:hanging="360"/>
      </w:pPr>
    </w:lvl>
    <w:lvl w:ilvl="1" w:tplc="080A0019" w:tentative="1">
      <w:start w:val="1"/>
      <w:numFmt w:val="lowerLetter"/>
      <w:lvlText w:val="%2."/>
      <w:lvlJc w:val="left"/>
      <w:pPr>
        <w:ind w:left="1490" w:hanging="360"/>
      </w:pPr>
    </w:lvl>
    <w:lvl w:ilvl="2" w:tplc="080A001B" w:tentative="1">
      <w:start w:val="1"/>
      <w:numFmt w:val="lowerRoman"/>
      <w:lvlText w:val="%3."/>
      <w:lvlJc w:val="right"/>
      <w:pPr>
        <w:ind w:left="2210" w:hanging="180"/>
      </w:pPr>
    </w:lvl>
    <w:lvl w:ilvl="3" w:tplc="080A000F" w:tentative="1">
      <w:start w:val="1"/>
      <w:numFmt w:val="decimal"/>
      <w:lvlText w:val="%4."/>
      <w:lvlJc w:val="left"/>
      <w:pPr>
        <w:ind w:left="2930" w:hanging="360"/>
      </w:pPr>
    </w:lvl>
    <w:lvl w:ilvl="4" w:tplc="080A0019" w:tentative="1">
      <w:start w:val="1"/>
      <w:numFmt w:val="lowerLetter"/>
      <w:lvlText w:val="%5."/>
      <w:lvlJc w:val="left"/>
      <w:pPr>
        <w:ind w:left="3650" w:hanging="360"/>
      </w:pPr>
    </w:lvl>
    <w:lvl w:ilvl="5" w:tplc="080A001B" w:tentative="1">
      <w:start w:val="1"/>
      <w:numFmt w:val="lowerRoman"/>
      <w:lvlText w:val="%6."/>
      <w:lvlJc w:val="right"/>
      <w:pPr>
        <w:ind w:left="4370" w:hanging="180"/>
      </w:pPr>
    </w:lvl>
    <w:lvl w:ilvl="6" w:tplc="080A000F" w:tentative="1">
      <w:start w:val="1"/>
      <w:numFmt w:val="decimal"/>
      <w:lvlText w:val="%7."/>
      <w:lvlJc w:val="left"/>
      <w:pPr>
        <w:ind w:left="5090" w:hanging="360"/>
      </w:pPr>
    </w:lvl>
    <w:lvl w:ilvl="7" w:tplc="080A0019" w:tentative="1">
      <w:start w:val="1"/>
      <w:numFmt w:val="lowerLetter"/>
      <w:lvlText w:val="%8."/>
      <w:lvlJc w:val="left"/>
      <w:pPr>
        <w:ind w:left="5810" w:hanging="360"/>
      </w:pPr>
    </w:lvl>
    <w:lvl w:ilvl="8" w:tplc="080A001B" w:tentative="1">
      <w:start w:val="1"/>
      <w:numFmt w:val="lowerRoman"/>
      <w:lvlText w:val="%9."/>
      <w:lvlJc w:val="right"/>
      <w:pPr>
        <w:ind w:left="6530" w:hanging="180"/>
      </w:pPr>
    </w:lvl>
  </w:abstractNum>
  <w:abstractNum w:abstractNumId="26" w15:restartNumberingAfterBreak="0">
    <w:nsid w:val="799A6671"/>
    <w:multiLevelType w:val="multilevel"/>
    <w:tmpl w:val="FBBABBEA"/>
    <w:lvl w:ilvl="0">
      <w:start w:val="1"/>
      <w:numFmt w:val="decimal"/>
      <w:lvlText w:val="%1."/>
      <w:lvlJc w:val="left"/>
      <w:pPr>
        <w:ind w:left="360" w:hanging="360"/>
      </w:pPr>
      <w:rPr>
        <w:rFonts w:hint="default"/>
      </w:rPr>
    </w:lvl>
    <w:lvl w:ilvl="1">
      <w:start w:val="4"/>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EFF47D9"/>
    <w:multiLevelType w:val="multilevel"/>
    <w:tmpl w:val="9DDC904C"/>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10"/>
  </w:num>
  <w:num w:numId="3">
    <w:abstractNumId w:val="8"/>
  </w:num>
  <w:num w:numId="4">
    <w:abstractNumId w:val="14"/>
  </w:num>
  <w:num w:numId="5">
    <w:abstractNumId w:val="17"/>
  </w:num>
  <w:num w:numId="6">
    <w:abstractNumId w:val="24"/>
  </w:num>
  <w:num w:numId="7">
    <w:abstractNumId w:val="20"/>
  </w:num>
  <w:num w:numId="8">
    <w:abstractNumId w:val="18"/>
  </w:num>
  <w:num w:numId="9">
    <w:abstractNumId w:val="7"/>
  </w:num>
  <w:num w:numId="10">
    <w:abstractNumId w:val="5"/>
  </w:num>
  <w:num w:numId="11">
    <w:abstractNumId w:val="11"/>
  </w:num>
  <w:num w:numId="12">
    <w:abstractNumId w:val="12"/>
  </w:num>
  <w:num w:numId="13">
    <w:abstractNumId w:val="2"/>
  </w:num>
  <w:num w:numId="14">
    <w:abstractNumId w:val="13"/>
  </w:num>
  <w:num w:numId="15">
    <w:abstractNumId w:val="0"/>
  </w:num>
  <w:num w:numId="16">
    <w:abstractNumId w:val="19"/>
  </w:num>
  <w:num w:numId="17">
    <w:abstractNumId w:val="4"/>
  </w:num>
  <w:num w:numId="18">
    <w:abstractNumId w:val="27"/>
  </w:num>
  <w:num w:numId="19">
    <w:abstractNumId w:val="15"/>
  </w:num>
  <w:num w:numId="20">
    <w:abstractNumId w:val="26"/>
  </w:num>
  <w:num w:numId="21">
    <w:abstractNumId w:val="6"/>
  </w:num>
  <w:num w:numId="22">
    <w:abstractNumId w:val="16"/>
  </w:num>
  <w:num w:numId="23">
    <w:abstractNumId w:val="22"/>
  </w:num>
  <w:num w:numId="24">
    <w:abstractNumId w:val="9"/>
  </w:num>
  <w:num w:numId="25">
    <w:abstractNumId w:val="3"/>
  </w:num>
  <w:num w:numId="26">
    <w:abstractNumId w:val="25"/>
  </w:num>
  <w:num w:numId="27">
    <w:abstractNumId w:val="23"/>
  </w:num>
  <w:num w:numId="28">
    <w:abstractNumId w:val="2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5357"/>
    <w:rsid w:val="0000796C"/>
    <w:rsid w:val="00012719"/>
    <w:rsid w:val="00013B12"/>
    <w:rsid w:val="00017BAE"/>
    <w:rsid w:val="00027F6E"/>
    <w:rsid w:val="00035C8D"/>
    <w:rsid w:val="00042A4C"/>
    <w:rsid w:val="0005090A"/>
    <w:rsid w:val="000546E9"/>
    <w:rsid w:val="00066453"/>
    <w:rsid w:val="000710B2"/>
    <w:rsid w:val="00074645"/>
    <w:rsid w:val="00074700"/>
    <w:rsid w:val="00080A6E"/>
    <w:rsid w:val="0008164F"/>
    <w:rsid w:val="00091CF8"/>
    <w:rsid w:val="000A0B3B"/>
    <w:rsid w:val="000A2648"/>
    <w:rsid w:val="000B0B2E"/>
    <w:rsid w:val="000B212A"/>
    <w:rsid w:val="000B21DF"/>
    <w:rsid w:val="000B2F47"/>
    <w:rsid w:val="000C315D"/>
    <w:rsid w:val="000C3193"/>
    <w:rsid w:val="000D089B"/>
    <w:rsid w:val="000D3657"/>
    <w:rsid w:val="000D6661"/>
    <w:rsid w:val="000D67A7"/>
    <w:rsid w:val="000E5518"/>
    <w:rsid w:val="000F1CD2"/>
    <w:rsid w:val="000F221D"/>
    <w:rsid w:val="000F472F"/>
    <w:rsid w:val="0010333E"/>
    <w:rsid w:val="001075D0"/>
    <w:rsid w:val="001112D7"/>
    <w:rsid w:val="001125B7"/>
    <w:rsid w:val="00114E33"/>
    <w:rsid w:val="00116D85"/>
    <w:rsid w:val="001226FE"/>
    <w:rsid w:val="0013436A"/>
    <w:rsid w:val="00137C73"/>
    <w:rsid w:val="001408E1"/>
    <w:rsid w:val="00142A87"/>
    <w:rsid w:val="00152FD1"/>
    <w:rsid w:val="001568FE"/>
    <w:rsid w:val="001622AE"/>
    <w:rsid w:val="001639CC"/>
    <w:rsid w:val="0017655F"/>
    <w:rsid w:val="0018064F"/>
    <w:rsid w:val="00184CE6"/>
    <w:rsid w:val="001916D9"/>
    <w:rsid w:val="00192709"/>
    <w:rsid w:val="001B2F09"/>
    <w:rsid w:val="001B5C5F"/>
    <w:rsid w:val="001C6BE8"/>
    <w:rsid w:val="001E0121"/>
    <w:rsid w:val="001F4A76"/>
    <w:rsid w:val="00202C91"/>
    <w:rsid w:val="002044AF"/>
    <w:rsid w:val="0020458B"/>
    <w:rsid w:val="00210D90"/>
    <w:rsid w:val="00212DF7"/>
    <w:rsid w:val="00215949"/>
    <w:rsid w:val="0022431F"/>
    <w:rsid w:val="00232DAB"/>
    <w:rsid w:val="0024067A"/>
    <w:rsid w:val="00245203"/>
    <w:rsid w:val="00245B50"/>
    <w:rsid w:val="002470B8"/>
    <w:rsid w:val="00255602"/>
    <w:rsid w:val="002562AC"/>
    <w:rsid w:val="00265035"/>
    <w:rsid w:val="00273629"/>
    <w:rsid w:val="00282184"/>
    <w:rsid w:val="002B18F9"/>
    <w:rsid w:val="002B67B7"/>
    <w:rsid w:val="002B784C"/>
    <w:rsid w:val="002C1DF7"/>
    <w:rsid w:val="002D4DB9"/>
    <w:rsid w:val="002D6329"/>
    <w:rsid w:val="002E7806"/>
    <w:rsid w:val="002E7D47"/>
    <w:rsid w:val="002F155B"/>
    <w:rsid w:val="002F7385"/>
    <w:rsid w:val="002F75F0"/>
    <w:rsid w:val="00300369"/>
    <w:rsid w:val="00311035"/>
    <w:rsid w:val="00316565"/>
    <w:rsid w:val="00320986"/>
    <w:rsid w:val="00323ABF"/>
    <w:rsid w:val="003250DC"/>
    <w:rsid w:val="00327770"/>
    <w:rsid w:val="00327FB1"/>
    <w:rsid w:val="0033336D"/>
    <w:rsid w:val="003356CA"/>
    <w:rsid w:val="00336ECE"/>
    <w:rsid w:val="003375D1"/>
    <w:rsid w:val="003577FB"/>
    <w:rsid w:val="00362663"/>
    <w:rsid w:val="00362F53"/>
    <w:rsid w:val="00366183"/>
    <w:rsid w:val="00367BD4"/>
    <w:rsid w:val="0037355F"/>
    <w:rsid w:val="00383FF2"/>
    <w:rsid w:val="003864F7"/>
    <w:rsid w:val="00387542"/>
    <w:rsid w:val="003912DB"/>
    <w:rsid w:val="003925C4"/>
    <w:rsid w:val="003938D4"/>
    <w:rsid w:val="00395256"/>
    <w:rsid w:val="00397983"/>
    <w:rsid w:val="003A3B21"/>
    <w:rsid w:val="003A4474"/>
    <w:rsid w:val="003A49F5"/>
    <w:rsid w:val="003A57A0"/>
    <w:rsid w:val="003B202F"/>
    <w:rsid w:val="003B4E6C"/>
    <w:rsid w:val="003B57BF"/>
    <w:rsid w:val="003B5C22"/>
    <w:rsid w:val="003C04E4"/>
    <w:rsid w:val="003C0686"/>
    <w:rsid w:val="003C285F"/>
    <w:rsid w:val="003C3757"/>
    <w:rsid w:val="003C53E8"/>
    <w:rsid w:val="003C6FE5"/>
    <w:rsid w:val="003C709B"/>
    <w:rsid w:val="003D0DA8"/>
    <w:rsid w:val="003D1EE2"/>
    <w:rsid w:val="003D3231"/>
    <w:rsid w:val="003E0501"/>
    <w:rsid w:val="003E19CC"/>
    <w:rsid w:val="003E5660"/>
    <w:rsid w:val="003F3680"/>
    <w:rsid w:val="00404D88"/>
    <w:rsid w:val="004054B5"/>
    <w:rsid w:val="004077DD"/>
    <w:rsid w:val="004079D0"/>
    <w:rsid w:val="00432409"/>
    <w:rsid w:val="004369F5"/>
    <w:rsid w:val="00437B73"/>
    <w:rsid w:val="0046015E"/>
    <w:rsid w:val="0047062A"/>
    <w:rsid w:val="00474B82"/>
    <w:rsid w:val="00475941"/>
    <w:rsid w:val="00480440"/>
    <w:rsid w:val="0048385A"/>
    <w:rsid w:val="004840AE"/>
    <w:rsid w:val="00490622"/>
    <w:rsid w:val="00491D74"/>
    <w:rsid w:val="004924FA"/>
    <w:rsid w:val="00494E52"/>
    <w:rsid w:val="004A30A3"/>
    <w:rsid w:val="004B5807"/>
    <w:rsid w:val="004B68E2"/>
    <w:rsid w:val="004B6AFD"/>
    <w:rsid w:val="004B6BFD"/>
    <w:rsid w:val="004C101C"/>
    <w:rsid w:val="004C25C5"/>
    <w:rsid w:val="004C29F1"/>
    <w:rsid w:val="004C7C14"/>
    <w:rsid w:val="004D3279"/>
    <w:rsid w:val="004D5EEA"/>
    <w:rsid w:val="004D7B03"/>
    <w:rsid w:val="004F1330"/>
    <w:rsid w:val="004F753C"/>
    <w:rsid w:val="00507F70"/>
    <w:rsid w:val="00510E92"/>
    <w:rsid w:val="00516722"/>
    <w:rsid w:val="00516AA8"/>
    <w:rsid w:val="00525C08"/>
    <w:rsid w:val="00535A9F"/>
    <w:rsid w:val="00541406"/>
    <w:rsid w:val="00542709"/>
    <w:rsid w:val="00542E06"/>
    <w:rsid w:val="0054779C"/>
    <w:rsid w:val="00550D91"/>
    <w:rsid w:val="005520F0"/>
    <w:rsid w:val="00552574"/>
    <w:rsid w:val="0055769F"/>
    <w:rsid w:val="00564E3F"/>
    <w:rsid w:val="005708D6"/>
    <w:rsid w:val="00571554"/>
    <w:rsid w:val="00575F55"/>
    <w:rsid w:val="005904F0"/>
    <w:rsid w:val="005924E3"/>
    <w:rsid w:val="00592E17"/>
    <w:rsid w:val="00597B12"/>
    <w:rsid w:val="005A0F6E"/>
    <w:rsid w:val="005A242A"/>
    <w:rsid w:val="005A2A4F"/>
    <w:rsid w:val="005A4A11"/>
    <w:rsid w:val="005A7014"/>
    <w:rsid w:val="005A7A81"/>
    <w:rsid w:val="005B0BB9"/>
    <w:rsid w:val="005B128B"/>
    <w:rsid w:val="005C2A5C"/>
    <w:rsid w:val="005D0F3F"/>
    <w:rsid w:val="005D21D2"/>
    <w:rsid w:val="005E3231"/>
    <w:rsid w:val="005E5A2A"/>
    <w:rsid w:val="005F07AA"/>
    <w:rsid w:val="005F4EE8"/>
    <w:rsid w:val="0060462D"/>
    <w:rsid w:val="00604DE7"/>
    <w:rsid w:val="00615A43"/>
    <w:rsid w:val="00623A69"/>
    <w:rsid w:val="00631D4C"/>
    <w:rsid w:val="00640460"/>
    <w:rsid w:val="00643927"/>
    <w:rsid w:val="00646CCD"/>
    <w:rsid w:val="0064710F"/>
    <w:rsid w:val="00647410"/>
    <w:rsid w:val="00652282"/>
    <w:rsid w:val="006547DD"/>
    <w:rsid w:val="00661F74"/>
    <w:rsid w:val="0066571C"/>
    <w:rsid w:val="00666848"/>
    <w:rsid w:val="00670A25"/>
    <w:rsid w:val="00674513"/>
    <w:rsid w:val="00677FA9"/>
    <w:rsid w:val="0068683C"/>
    <w:rsid w:val="00692FB9"/>
    <w:rsid w:val="0069524E"/>
    <w:rsid w:val="00695D6E"/>
    <w:rsid w:val="006A7670"/>
    <w:rsid w:val="006B1859"/>
    <w:rsid w:val="006B3579"/>
    <w:rsid w:val="006C07E4"/>
    <w:rsid w:val="006C112E"/>
    <w:rsid w:val="006C3FD4"/>
    <w:rsid w:val="006C6251"/>
    <w:rsid w:val="006C722A"/>
    <w:rsid w:val="006D516A"/>
    <w:rsid w:val="006E6438"/>
    <w:rsid w:val="006E7846"/>
    <w:rsid w:val="007014A4"/>
    <w:rsid w:val="00701AD0"/>
    <w:rsid w:val="007043C2"/>
    <w:rsid w:val="00710739"/>
    <w:rsid w:val="00717983"/>
    <w:rsid w:val="00717E3A"/>
    <w:rsid w:val="00730809"/>
    <w:rsid w:val="007335DB"/>
    <w:rsid w:val="00735992"/>
    <w:rsid w:val="007411D0"/>
    <w:rsid w:val="00741645"/>
    <w:rsid w:val="00741711"/>
    <w:rsid w:val="00743C68"/>
    <w:rsid w:val="0074420A"/>
    <w:rsid w:val="0074778D"/>
    <w:rsid w:val="00751152"/>
    <w:rsid w:val="00751E54"/>
    <w:rsid w:val="007648EE"/>
    <w:rsid w:val="00767947"/>
    <w:rsid w:val="00773979"/>
    <w:rsid w:val="00776F07"/>
    <w:rsid w:val="00777D24"/>
    <w:rsid w:val="00793617"/>
    <w:rsid w:val="00794203"/>
    <w:rsid w:val="00794EC2"/>
    <w:rsid w:val="00797777"/>
    <w:rsid w:val="007B1AB1"/>
    <w:rsid w:val="007B5687"/>
    <w:rsid w:val="007B5B6F"/>
    <w:rsid w:val="007B6F8D"/>
    <w:rsid w:val="007C0694"/>
    <w:rsid w:val="007C0B86"/>
    <w:rsid w:val="007D4D91"/>
    <w:rsid w:val="007E4BF9"/>
    <w:rsid w:val="007F1672"/>
    <w:rsid w:val="007F5497"/>
    <w:rsid w:val="00811C1D"/>
    <w:rsid w:val="00813E0D"/>
    <w:rsid w:val="00814637"/>
    <w:rsid w:val="008170F0"/>
    <w:rsid w:val="00827F0F"/>
    <w:rsid w:val="00830529"/>
    <w:rsid w:val="008440A4"/>
    <w:rsid w:val="008467C5"/>
    <w:rsid w:val="00846BF4"/>
    <w:rsid w:val="00860497"/>
    <w:rsid w:val="008710F6"/>
    <w:rsid w:val="00880673"/>
    <w:rsid w:val="0088258D"/>
    <w:rsid w:val="008840AB"/>
    <w:rsid w:val="0088482A"/>
    <w:rsid w:val="00887075"/>
    <w:rsid w:val="0089195A"/>
    <w:rsid w:val="008A4CDF"/>
    <w:rsid w:val="008A7753"/>
    <w:rsid w:val="008B1EAC"/>
    <w:rsid w:val="008B5F1E"/>
    <w:rsid w:val="008C35DF"/>
    <w:rsid w:val="008D1305"/>
    <w:rsid w:val="008D159A"/>
    <w:rsid w:val="008D1DB0"/>
    <w:rsid w:val="008D44C3"/>
    <w:rsid w:val="008F67E4"/>
    <w:rsid w:val="009040BC"/>
    <w:rsid w:val="0091141F"/>
    <w:rsid w:val="009120F6"/>
    <w:rsid w:val="00913C1F"/>
    <w:rsid w:val="00916C23"/>
    <w:rsid w:val="0091792D"/>
    <w:rsid w:val="00923850"/>
    <w:rsid w:val="00931AA0"/>
    <w:rsid w:val="00934556"/>
    <w:rsid w:val="00940CBA"/>
    <w:rsid w:val="009640A0"/>
    <w:rsid w:val="0097713D"/>
    <w:rsid w:val="009906FC"/>
    <w:rsid w:val="00995E8A"/>
    <w:rsid w:val="009974EE"/>
    <w:rsid w:val="00997DA9"/>
    <w:rsid w:val="009A0709"/>
    <w:rsid w:val="009B7BDB"/>
    <w:rsid w:val="009C6D91"/>
    <w:rsid w:val="009D7771"/>
    <w:rsid w:val="009E58E8"/>
    <w:rsid w:val="009F5357"/>
    <w:rsid w:val="009F64B5"/>
    <w:rsid w:val="009F734B"/>
    <w:rsid w:val="00A00EE3"/>
    <w:rsid w:val="00A01FDE"/>
    <w:rsid w:val="00A027DB"/>
    <w:rsid w:val="00A04685"/>
    <w:rsid w:val="00A122E3"/>
    <w:rsid w:val="00A15A8B"/>
    <w:rsid w:val="00A15CC1"/>
    <w:rsid w:val="00A211E8"/>
    <w:rsid w:val="00A41D3E"/>
    <w:rsid w:val="00A45D16"/>
    <w:rsid w:val="00A46C1F"/>
    <w:rsid w:val="00A6241B"/>
    <w:rsid w:val="00A64325"/>
    <w:rsid w:val="00A6785B"/>
    <w:rsid w:val="00A7501A"/>
    <w:rsid w:val="00A76FBA"/>
    <w:rsid w:val="00A82DA1"/>
    <w:rsid w:val="00A85477"/>
    <w:rsid w:val="00A93180"/>
    <w:rsid w:val="00A972A3"/>
    <w:rsid w:val="00AA1246"/>
    <w:rsid w:val="00AA2096"/>
    <w:rsid w:val="00AB73B9"/>
    <w:rsid w:val="00AC07A8"/>
    <w:rsid w:val="00AC6329"/>
    <w:rsid w:val="00AD6778"/>
    <w:rsid w:val="00AE7B63"/>
    <w:rsid w:val="00AF192F"/>
    <w:rsid w:val="00AF4F26"/>
    <w:rsid w:val="00AF69FA"/>
    <w:rsid w:val="00B012BD"/>
    <w:rsid w:val="00B015A8"/>
    <w:rsid w:val="00B12E30"/>
    <w:rsid w:val="00B17ECC"/>
    <w:rsid w:val="00B24A2D"/>
    <w:rsid w:val="00B24F17"/>
    <w:rsid w:val="00B250A5"/>
    <w:rsid w:val="00B254C5"/>
    <w:rsid w:val="00B25E84"/>
    <w:rsid w:val="00B3239B"/>
    <w:rsid w:val="00B329F7"/>
    <w:rsid w:val="00B3710C"/>
    <w:rsid w:val="00B37D60"/>
    <w:rsid w:val="00B44DDD"/>
    <w:rsid w:val="00B5426D"/>
    <w:rsid w:val="00B671B7"/>
    <w:rsid w:val="00B70AF2"/>
    <w:rsid w:val="00B7386F"/>
    <w:rsid w:val="00B83B89"/>
    <w:rsid w:val="00B92499"/>
    <w:rsid w:val="00B96550"/>
    <w:rsid w:val="00BA29B1"/>
    <w:rsid w:val="00BA63F8"/>
    <w:rsid w:val="00BB08F8"/>
    <w:rsid w:val="00BB78B7"/>
    <w:rsid w:val="00BC186F"/>
    <w:rsid w:val="00BC3D51"/>
    <w:rsid w:val="00BC6CC0"/>
    <w:rsid w:val="00BD5114"/>
    <w:rsid w:val="00BD5AFE"/>
    <w:rsid w:val="00BD6320"/>
    <w:rsid w:val="00BE22B9"/>
    <w:rsid w:val="00BF520B"/>
    <w:rsid w:val="00BF662A"/>
    <w:rsid w:val="00BF7A5D"/>
    <w:rsid w:val="00C13064"/>
    <w:rsid w:val="00C14CA7"/>
    <w:rsid w:val="00C251BA"/>
    <w:rsid w:val="00C30509"/>
    <w:rsid w:val="00C31644"/>
    <w:rsid w:val="00C32663"/>
    <w:rsid w:val="00C33EAC"/>
    <w:rsid w:val="00C340EB"/>
    <w:rsid w:val="00C404C3"/>
    <w:rsid w:val="00C41BA1"/>
    <w:rsid w:val="00C576D2"/>
    <w:rsid w:val="00C62615"/>
    <w:rsid w:val="00C7683E"/>
    <w:rsid w:val="00C816B9"/>
    <w:rsid w:val="00C90A16"/>
    <w:rsid w:val="00C924AE"/>
    <w:rsid w:val="00C9398D"/>
    <w:rsid w:val="00C947BF"/>
    <w:rsid w:val="00C95C27"/>
    <w:rsid w:val="00CA1BF2"/>
    <w:rsid w:val="00CB0FC2"/>
    <w:rsid w:val="00CB2C4C"/>
    <w:rsid w:val="00CB304D"/>
    <w:rsid w:val="00CB5AA6"/>
    <w:rsid w:val="00CC2FF1"/>
    <w:rsid w:val="00CD728B"/>
    <w:rsid w:val="00CE1D73"/>
    <w:rsid w:val="00CE28A8"/>
    <w:rsid w:val="00CE5B2E"/>
    <w:rsid w:val="00CF1925"/>
    <w:rsid w:val="00CF534F"/>
    <w:rsid w:val="00CF5DA3"/>
    <w:rsid w:val="00CF73AA"/>
    <w:rsid w:val="00CF78B3"/>
    <w:rsid w:val="00CF7EED"/>
    <w:rsid w:val="00D05BB1"/>
    <w:rsid w:val="00D1123D"/>
    <w:rsid w:val="00D118E9"/>
    <w:rsid w:val="00D139A1"/>
    <w:rsid w:val="00D14851"/>
    <w:rsid w:val="00D2376D"/>
    <w:rsid w:val="00D27DFC"/>
    <w:rsid w:val="00D305A0"/>
    <w:rsid w:val="00D31530"/>
    <w:rsid w:val="00D3160C"/>
    <w:rsid w:val="00D31CA3"/>
    <w:rsid w:val="00D37E9B"/>
    <w:rsid w:val="00D4196C"/>
    <w:rsid w:val="00D424B6"/>
    <w:rsid w:val="00D4670A"/>
    <w:rsid w:val="00D47730"/>
    <w:rsid w:val="00D50026"/>
    <w:rsid w:val="00D5297A"/>
    <w:rsid w:val="00D52E0A"/>
    <w:rsid w:val="00D629F1"/>
    <w:rsid w:val="00D81A9F"/>
    <w:rsid w:val="00D85F52"/>
    <w:rsid w:val="00D871E0"/>
    <w:rsid w:val="00DB6C5B"/>
    <w:rsid w:val="00DC0BD5"/>
    <w:rsid w:val="00DD5942"/>
    <w:rsid w:val="00DD643E"/>
    <w:rsid w:val="00DD73B8"/>
    <w:rsid w:val="00E06A3C"/>
    <w:rsid w:val="00E24726"/>
    <w:rsid w:val="00E260A3"/>
    <w:rsid w:val="00E34260"/>
    <w:rsid w:val="00E43618"/>
    <w:rsid w:val="00E44C8A"/>
    <w:rsid w:val="00E46046"/>
    <w:rsid w:val="00E53FC4"/>
    <w:rsid w:val="00E5482B"/>
    <w:rsid w:val="00E71800"/>
    <w:rsid w:val="00E724ED"/>
    <w:rsid w:val="00E75512"/>
    <w:rsid w:val="00E77D5B"/>
    <w:rsid w:val="00E93E36"/>
    <w:rsid w:val="00E9434A"/>
    <w:rsid w:val="00E95875"/>
    <w:rsid w:val="00E96B94"/>
    <w:rsid w:val="00EA3DD2"/>
    <w:rsid w:val="00EB5F64"/>
    <w:rsid w:val="00EE265F"/>
    <w:rsid w:val="00EE3F6D"/>
    <w:rsid w:val="00EE5F08"/>
    <w:rsid w:val="00EF2D1E"/>
    <w:rsid w:val="00EF3247"/>
    <w:rsid w:val="00F01035"/>
    <w:rsid w:val="00F03EAA"/>
    <w:rsid w:val="00F0452A"/>
    <w:rsid w:val="00F10F77"/>
    <w:rsid w:val="00F14A7E"/>
    <w:rsid w:val="00F21221"/>
    <w:rsid w:val="00F218DB"/>
    <w:rsid w:val="00F2541A"/>
    <w:rsid w:val="00F27818"/>
    <w:rsid w:val="00F33EBF"/>
    <w:rsid w:val="00F34ED5"/>
    <w:rsid w:val="00F35FA2"/>
    <w:rsid w:val="00F375CD"/>
    <w:rsid w:val="00F52CAA"/>
    <w:rsid w:val="00F55D12"/>
    <w:rsid w:val="00F648E2"/>
    <w:rsid w:val="00F65F50"/>
    <w:rsid w:val="00F93DEA"/>
    <w:rsid w:val="00F95061"/>
    <w:rsid w:val="00FA4D6B"/>
    <w:rsid w:val="00FC7B59"/>
    <w:rsid w:val="00FE2167"/>
    <w:rsid w:val="00FE32E5"/>
    <w:rsid w:val="00FE4968"/>
    <w:rsid w:val="00FE7111"/>
    <w:rsid w:val="00FF3005"/>
    <w:rsid w:val="00FF3679"/>
    <w:rsid w:val="00FF4218"/>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B44A9D5"/>
  <w15:docId w15:val="{A2712205-F4B9-6B45-B9B8-A3F45A8A4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141F"/>
    <w:pPr>
      <w:spacing w:after="0" w:line="240" w:lineRule="auto"/>
    </w:pPr>
    <w:rPr>
      <w:rFonts w:ascii="Times New Roman" w:eastAsia="Times New Roman" w:hAnsi="Times New Roman" w:cs="Times New Roman"/>
      <w:sz w:val="24"/>
      <w:szCs w:val="24"/>
      <w:lang w:eastAsia="es-ES_tradnl"/>
    </w:rPr>
  </w:style>
  <w:style w:type="paragraph" w:styleId="Ttulo1">
    <w:name w:val="heading 1"/>
    <w:basedOn w:val="Normal"/>
    <w:next w:val="Normal"/>
    <w:link w:val="Ttulo1Car"/>
    <w:uiPriority w:val="9"/>
    <w:qFormat/>
    <w:rsid w:val="0064710F"/>
    <w:pPr>
      <w:keepNext/>
      <w:keepLines/>
      <w:spacing w:before="240" w:line="259" w:lineRule="auto"/>
      <w:outlineLvl w:val="0"/>
    </w:pPr>
    <w:rPr>
      <w:rFonts w:asciiTheme="majorHAnsi" w:eastAsiaTheme="majorEastAsia" w:hAnsiTheme="majorHAnsi" w:cstheme="majorBidi"/>
      <w:color w:val="2E74B5" w:themeColor="accent1" w:themeShade="BF"/>
      <w:sz w:val="32"/>
      <w:szCs w:val="32"/>
      <w:lang w:val="es-ES_tradnl" w:eastAsia="en-US"/>
    </w:rPr>
  </w:style>
  <w:style w:type="paragraph" w:styleId="Ttulo2">
    <w:name w:val="heading 2"/>
    <w:basedOn w:val="Normal"/>
    <w:next w:val="Normal"/>
    <w:link w:val="Ttulo2Car"/>
    <w:uiPriority w:val="9"/>
    <w:unhideWhenUsed/>
    <w:qFormat/>
    <w:rsid w:val="0064710F"/>
    <w:pPr>
      <w:keepNext/>
      <w:keepLines/>
      <w:spacing w:before="40" w:line="259" w:lineRule="auto"/>
      <w:outlineLvl w:val="1"/>
    </w:pPr>
    <w:rPr>
      <w:rFonts w:asciiTheme="majorHAnsi" w:eastAsiaTheme="majorEastAsia" w:hAnsiTheme="majorHAnsi" w:cstheme="majorBidi"/>
      <w:color w:val="2E74B5" w:themeColor="accent1" w:themeShade="BF"/>
      <w:sz w:val="26"/>
      <w:szCs w:val="26"/>
      <w:lang w:val="es-ES_tradnl" w:eastAsia="en-US"/>
    </w:rPr>
  </w:style>
  <w:style w:type="paragraph" w:styleId="Ttulo3">
    <w:name w:val="heading 3"/>
    <w:basedOn w:val="Normal"/>
    <w:next w:val="Normal"/>
    <w:link w:val="Ttulo3Car"/>
    <w:uiPriority w:val="9"/>
    <w:unhideWhenUsed/>
    <w:qFormat/>
    <w:rsid w:val="0064710F"/>
    <w:pPr>
      <w:keepNext/>
      <w:keepLines/>
      <w:spacing w:before="40" w:line="259" w:lineRule="auto"/>
      <w:outlineLvl w:val="2"/>
    </w:pPr>
    <w:rPr>
      <w:rFonts w:asciiTheme="majorHAnsi" w:eastAsiaTheme="majorEastAsia" w:hAnsiTheme="majorHAnsi" w:cstheme="majorBidi"/>
      <w:color w:val="1F4D78" w:themeColor="accent1" w:themeShade="7F"/>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70AF2"/>
    <w:pPr>
      <w:spacing w:after="160" w:line="259" w:lineRule="auto"/>
      <w:ind w:left="720"/>
      <w:contextualSpacing/>
    </w:pPr>
    <w:rPr>
      <w:rFonts w:asciiTheme="minorHAnsi" w:eastAsiaTheme="minorHAnsi" w:hAnsiTheme="minorHAnsi" w:cstheme="minorBidi"/>
      <w:sz w:val="22"/>
      <w:szCs w:val="22"/>
      <w:lang w:val="es-ES" w:eastAsia="en-US"/>
    </w:rPr>
  </w:style>
  <w:style w:type="paragraph" w:styleId="Textonotapie">
    <w:name w:val="footnote text"/>
    <w:basedOn w:val="Normal"/>
    <w:link w:val="TextonotapieCar"/>
    <w:uiPriority w:val="99"/>
    <w:semiHidden/>
    <w:unhideWhenUsed/>
    <w:rsid w:val="00F0452A"/>
    <w:rPr>
      <w:rFonts w:asciiTheme="minorHAnsi" w:eastAsiaTheme="minorHAnsi" w:hAnsiTheme="minorHAnsi" w:cstheme="minorBidi"/>
      <w:sz w:val="20"/>
      <w:szCs w:val="20"/>
      <w:lang w:val="es-ES_tradnl" w:eastAsia="en-US"/>
    </w:rPr>
  </w:style>
  <w:style w:type="character" w:customStyle="1" w:styleId="TextonotapieCar">
    <w:name w:val="Texto nota pie Car"/>
    <w:basedOn w:val="Fuentedeprrafopredeter"/>
    <w:link w:val="Textonotapie"/>
    <w:uiPriority w:val="99"/>
    <w:semiHidden/>
    <w:rsid w:val="00F0452A"/>
    <w:rPr>
      <w:sz w:val="20"/>
      <w:szCs w:val="20"/>
    </w:rPr>
  </w:style>
  <w:style w:type="character" w:styleId="Refdenotaalpie">
    <w:name w:val="footnote reference"/>
    <w:basedOn w:val="Fuentedeprrafopredeter"/>
    <w:uiPriority w:val="99"/>
    <w:semiHidden/>
    <w:unhideWhenUsed/>
    <w:rsid w:val="00F0452A"/>
    <w:rPr>
      <w:vertAlign w:val="superscript"/>
    </w:rPr>
  </w:style>
  <w:style w:type="character" w:styleId="Refdecomentario">
    <w:name w:val="annotation reference"/>
    <w:basedOn w:val="Fuentedeprrafopredeter"/>
    <w:uiPriority w:val="99"/>
    <w:semiHidden/>
    <w:unhideWhenUsed/>
    <w:rsid w:val="00300369"/>
    <w:rPr>
      <w:sz w:val="16"/>
      <w:szCs w:val="16"/>
    </w:rPr>
  </w:style>
  <w:style w:type="paragraph" w:styleId="Textocomentario">
    <w:name w:val="annotation text"/>
    <w:basedOn w:val="Normal"/>
    <w:link w:val="TextocomentarioCar"/>
    <w:uiPriority w:val="99"/>
    <w:semiHidden/>
    <w:unhideWhenUsed/>
    <w:rsid w:val="00300369"/>
    <w:pPr>
      <w:spacing w:after="160"/>
    </w:pPr>
    <w:rPr>
      <w:rFonts w:asciiTheme="minorHAnsi" w:eastAsiaTheme="minorHAnsi" w:hAnsiTheme="minorHAnsi" w:cstheme="minorBidi"/>
      <w:sz w:val="20"/>
      <w:szCs w:val="20"/>
      <w:lang w:val="es-ES_tradnl" w:eastAsia="en-US"/>
    </w:rPr>
  </w:style>
  <w:style w:type="character" w:customStyle="1" w:styleId="TextocomentarioCar">
    <w:name w:val="Texto comentario Car"/>
    <w:basedOn w:val="Fuentedeprrafopredeter"/>
    <w:link w:val="Textocomentario"/>
    <w:uiPriority w:val="99"/>
    <w:semiHidden/>
    <w:rsid w:val="00300369"/>
    <w:rPr>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300369"/>
    <w:rPr>
      <w:b/>
      <w:bCs/>
    </w:rPr>
  </w:style>
  <w:style w:type="character" w:customStyle="1" w:styleId="AsuntodelcomentarioCar">
    <w:name w:val="Asunto del comentario Car"/>
    <w:basedOn w:val="TextocomentarioCar"/>
    <w:link w:val="Asuntodelcomentario"/>
    <w:uiPriority w:val="99"/>
    <w:semiHidden/>
    <w:rsid w:val="00300369"/>
    <w:rPr>
      <w:b/>
      <w:bCs/>
      <w:sz w:val="20"/>
      <w:szCs w:val="20"/>
      <w:lang w:val="es-ES_tradnl"/>
    </w:rPr>
  </w:style>
  <w:style w:type="paragraph" w:styleId="Textodeglobo">
    <w:name w:val="Balloon Text"/>
    <w:basedOn w:val="Normal"/>
    <w:link w:val="TextodegloboCar"/>
    <w:uiPriority w:val="99"/>
    <w:semiHidden/>
    <w:unhideWhenUsed/>
    <w:rsid w:val="00300369"/>
    <w:rPr>
      <w:rFonts w:ascii="Segoe UI" w:eastAsiaTheme="minorHAnsi" w:hAnsi="Segoe UI" w:cs="Segoe UI"/>
      <w:sz w:val="18"/>
      <w:szCs w:val="18"/>
      <w:lang w:val="es-ES_tradnl" w:eastAsia="en-US"/>
    </w:rPr>
  </w:style>
  <w:style w:type="character" w:customStyle="1" w:styleId="TextodegloboCar">
    <w:name w:val="Texto de globo Car"/>
    <w:basedOn w:val="Fuentedeprrafopredeter"/>
    <w:link w:val="Textodeglobo"/>
    <w:uiPriority w:val="99"/>
    <w:semiHidden/>
    <w:rsid w:val="00300369"/>
    <w:rPr>
      <w:rFonts w:ascii="Segoe UI" w:hAnsi="Segoe UI" w:cs="Segoe UI"/>
      <w:sz w:val="18"/>
      <w:szCs w:val="18"/>
      <w:lang w:val="es-ES_tradnl"/>
    </w:rPr>
  </w:style>
  <w:style w:type="character" w:styleId="Hipervnculo">
    <w:name w:val="Hyperlink"/>
    <w:basedOn w:val="Fuentedeprrafopredeter"/>
    <w:uiPriority w:val="99"/>
    <w:unhideWhenUsed/>
    <w:rsid w:val="003A3B21"/>
    <w:rPr>
      <w:color w:val="0563C1" w:themeColor="hyperlink"/>
      <w:u w:val="single"/>
    </w:rPr>
  </w:style>
  <w:style w:type="table" w:styleId="Tablaconcuadrcula">
    <w:name w:val="Table Grid"/>
    <w:basedOn w:val="Tablanormal"/>
    <w:uiPriority w:val="39"/>
    <w:rsid w:val="00F375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6E6438"/>
    <w:pPr>
      <w:tabs>
        <w:tab w:val="center" w:pos="4252"/>
        <w:tab w:val="right" w:pos="8504"/>
      </w:tabs>
    </w:pPr>
    <w:rPr>
      <w:rFonts w:asciiTheme="minorHAnsi" w:eastAsiaTheme="minorHAnsi" w:hAnsiTheme="minorHAnsi" w:cstheme="minorBidi"/>
      <w:sz w:val="22"/>
      <w:szCs w:val="22"/>
      <w:lang w:val="es-ES_tradnl" w:eastAsia="en-US"/>
    </w:rPr>
  </w:style>
  <w:style w:type="character" w:customStyle="1" w:styleId="EncabezadoCar">
    <w:name w:val="Encabezado Car"/>
    <w:basedOn w:val="Fuentedeprrafopredeter"/>
    <w:link w:val="Encabezado"/>
    <w:uiPriority w:val="99"/>
    <w:rsid w:val="006E6438"/>
    <w:rPr>
      <w:lang w:val="es-ES_tradnl"/>
    </w:rPr>
  </w:style>
  <w:style w:type="paragraph" w:styleId="Piedepgina">
    <w:name w:val="footer"/>
    <w:basedOn w:val="Normal"/>
    <w:link w:val="PiedepginaCar"/>
    <w:uiPriority w:val="99"/>
    <w:unhideWhenUsed/>
    <w:rsid w:val="006E6438"/>
    <w:pPr>
      <w:tabs>
        <w:tab w:val="center" w:pos="4252"/>
        <w:tab w:val="right" w:pos="8504"/>
      </w:tabs>
    </w:pPr>
    <w:rPr>
      <w:rFonts w:asciiTheme="minorHAnsi" w:eastAsiaTheme="minorHAnsi" w:hAnsiTheme="minorHAnsi" w:cstheme="minorBidi"/>
      <w:sz w:val="22"/>
      <w:szCs w:val="22"/>
      <w:lang w:val="es-ES_tradnl" w:eastAsia="en-US"/>
    </w:rPr>
  </w:style>
  <w:style w:type="character" w:customStyle="1" w:styleId="PiedepginaCar">
    <w:name w:val="Pie de página Car"/>
    <w:basedOn w:val="Fuentedeprrafopredeter"/>
    <w:link w:val="Piedepgina"/>
    <w:uiPriority w:val="99"/>
    <w:rsid w:val="006E6438"/>
    <w:rPr>
      <w:lang w:val="es-ES_tradnl"/>
    </w:rPr>
  </w:style>
  <w:style w:type="character" w:customStyle="1" w:styleId="Ttulo1Car">
    <w:name w:val="Título 1 Car"/>
    <w:basedOn w:val="Fuentedeprrafopredeter"/>
    <w:link w:val="Ttulo1"/>
    <w:uiPriority w:val="9"/>
    <w:rsid w:val="0064710F"/>
    <w:rPr>
      <w:rFonts w:asciiTheme="majorHAnsi" w:eastAsiaTheme="majorEastAsia" w:hAnsiTheme="majorHAnsi" w:cstheme="majorBidi"/>
      <w:color w:val="2E74B5" w:themeColor="accent1" w:themeShade="BF"/>
      <w:sz w:val="32"/>
      <w:szCs w:val="32"/>
      <w:lang w:val="es-ES_tradnl"/>
    </w:rPr>
  </w:style>
  <w:style w:type="character" w:customStyle="1" w:styleId="Ttulo2Car">
    <w:name w:val="Título 2 Car"/>
    <w:basedOn w:val="Fuentedeprrafopredeter"/>
    <w:link w:val="Ttulo2"/>
    <w:uiPriority w:val="9"/>
    <w:rsid w:val="0064710F"/>
    <w:rPr>
      <w:rFonts w:asciiTheme="majorHAnsi" w:eastAsiaTheme="majorEastAsia" w:hAnsiTheme="majorHAnsi" w:cstheme="majorBidi"/>
      <w:color w:val="2E74B5" w:themeColor="accent1" w:themeShade="BF"/>
      <w:sz w:val="26"/>
      <w:szCs w:val="26"/>
      <w:lang w:val="es-ES_tradnl"/>
    </w:rPr>
  </w:style>
  <w:style w:type="character" w:customStyle="1" w:styleId="Ttulo3Car">
    <w:name w:val="Título 3 Car"/>
    <w:basedOn w:val="Fuentedeprrafopredeter"/>
    <w:link w:val="Ttulo3"/>
    <w:uiPriority w:val="9"/>
    <w:rsid w:val="0064710F"/>
    <w:rPr>
      <w:rFonts w:asciiTheme="majorHAnsi" w:eastAsiaTheme="majorEastAsia" w:hAnsiTheme="majorHAnsi" w:cstheme="majorBidi"/>
      <w:color w:val="1F4D78" w:themeColor="accent1" w:themeShade="7F"/>
      <w:sz w:val="24"/>
      <w:szCs w:val="24"/>
      <w:lang w:val="es-ES_tradnl"/>
    </w:rPr>
  </w:style>
  <w:style w:type="paragraph" w:styleId="TtuloTDC">
    <w:name w:val="TOC Heading"/>
    <w:basedOn w:val="Ttulo1"/>
    <w:next w:val="Normal"/>
    <w:uiPriority w:val="39"/>
    <w:unhideWhenUsed/>
    <w:qFormat/>
    <w:rsid w:val="00AF69FA"/>
    <w:pPr>
      <w:outlineLvl w:val="9"/>
    </w:pPr>
    <w:rPr>
      <w:lang w:val="es-MX" w:eastAsia="es-MX"/>
    </w:rPr>
  </w:style>
  <w:style w:type="paragraph" w:styleId="TDC2">
    <w:name w:val="toc 2"/>
    <w:basedOn w:val="Normal"/>
    <w:next w:val="Normal"/>
    <w:autoRedefine/>
    <w:uiPriority w:val="39"/>
    <w:unhideWhenUsed/>
    <w:rsid w:val="00AF69FA"/>
    <w:pPr>
      <w:spacing w:after="100" w:line="259" w:lineRule="auto"/>
      <w:ind w:left="220"/>
    </w:pPr>
    <w:rPr>
      <w:rFonts w:asciiTheme="minorHAnsi" w:eastAsiaTheme="minorEastAsia" w:hAnsiTheme="minorHAnsi"/>
      <w:sz w:val="22"/>
      <w:szCs w:val="22"/>
      <w:lang w:eastAsia="es-MX"/>
    </w:rPr>
  </w:style>
  <w:style w:type="paragraph" w:styleId="TDC1">
    <w:name w:val="toc 1"/>
    <w:basedOn w:val="Normal"/>
    <w:next w:val="Normal"/>
    <w:autoRedefine/>
    <w:uiPriority w:val="39"/>
    <w:unhideWhenUsed/>
    <w:rsid w:val="00AF69FA"/>
    <w:pPr>
      <w:spacing w:after="100" w:line="259" w:lineRule="auto"/>
    </w:pPr>
    <w:rPr>
      <w:rFonts w:asciiTheme="minorHAnsi" w:eastAsiaTheme="minorEastAsia" w:hAnsiTheme="minorHAnsi"/>
      <w:sz w:val="22"/>
      <w:szCs w:val="22"/>
      <w:lang w:eastAsia="es-MX"/>
    </w:rPr>
  </w:style>
  <w:style w:type="paragraph" w:styleId="TDC3">
    <w:name w:val="toc 3"/>
    <w:basedOn w:val="Normal"/>
    <w:next w:val="Normal"/>
    <w:autoRedefine/>
    <w:uiPriority w:val="39"/>
    <w:unhideWhenUsed/>
    <w:rsid w:val="00AF69FA"/>
    <w:pPr>
      <w:spacing w:after="100" w:line="259" w:lineRule="auto"/>
      <w:ind w:left="440"/>
    </w:pPr>
    <w:rPr>
      <w:rFonts w:asciiTheme="minorHAnsi" w:eastAsiaTheme="minorEastAsia" w:hAnsiTheme="minorHAnsi"/>
      <w:sz w:val="22"/>
      <w:szCs w:val="22"/>
      <w:lang w:eastAsia="es-MX"/>
    </w:rPr>
  </w:style>
  <w:style w:type="paragraph" w:styleId="TDC4">
    <w:name w:val="toc 4"/>
    <w:basedOn w:val="Normal"/>
    <w:next w:val="Normal"/>
    <w:autoRedefine/>
    <w:uiPriority w:val="39"/>
    <w:unhideWhenUsed/>
    <w:rsid w:val="00CF5DA3"/>
    <w:pPr>
      <w:spacing w:after="100" w:line="259" w:lineRule="auto"/>
      <w:ind w:left="660"/>
    </w:pPr>
    <w:rPr>
      <w:rFonts w:asciiTheme="minorHAnsi" w:eastAsiaTheme="minorEastAsia" w:hAnsiTheme="minorHAnsi" w:cstheme="minorBidi"/>
      <w:sz w:val="22"/>
      <w:szCs w:val="22"/>
      <w:lang w:eastAsia="es-MX"/>
    </w:rPr>
  </w:style>
  <w:style w:type="paragraph" w:styleId="TDC5">
    <w:name w:val="toc 5"/>
    <w:basedOn w:val="Normal"/>
    <w:next w:val="Normal"/>
    <w:autoRedefine/>
    <w:uiPriority w:val="39"/>
    <w:unhideWhenUsed/>
    <w:rsid w:val="00CF5DA3"/>
    <w:pPr>
      <w:spacing w:after="100" w:line="259" w:lineRule="auto"/>
      <w:ind w:left="880"/>
    </w:pPr>
    <w:rPr>
      <w:rFonts w:asciiTheme="minorHAnsi" w:eastAsiaTheme="minorEastAsia" w:hAnsiTheme="minorHAnsi" w:cstheme="minorBidi"/>
      <w:sz w:val="22"/>
      <w:szCs w:val="22"/>
      <w:lang w:eastAsia="es-MX"/>
    </w:rPr>
  </w:style>
  <w:style w:type="paragraph" w:styleId="TDC6">
    <w:name w:val="toc 6"/>
    <w:basedOn w:val="Normal"/>
    <w:next w:val="Normal"/>
    <w:autoRedefine/>
    <w:uiPriority w:val="39"/>
    <w:unhideWhenUsed/>
    <w:rsid w:val="00CF5DA3"/>
    <w:pPr>
      <w:spacing w:after="100" w:line="259" w:lineRule="auto"/>
      <w:ind w:left="1100"/>
    </w:pPr>
    <w:rPr>
      <w:rFonts w:asciiTheme="minorHAnsi" w:eastAsiaTheme="minorEastAsia" w:hAnsiTheme="minorHAnsi" w:cstheme="minorBidi"/>
      <w:sz w:val="22"/>
      <w:szCs w:val="22"/>
      <w:lang w:eastAsia="es-MX"/>
    </w:rPr>
  </w:style>
  <w:style w:type="paragraph" w:styleId="TDC7">
    <w:name w:val="toc 7"/>
    <w:basedOn w:val="Normal"/>
    <w:next w:val="Normal"/>
    <w:autoRedefine/>
    <w:uiPriority w:val="39"/>
    <w:unhideWhenUsed/>
    <w:rsid w:val="00CF5DA3"/>
    <w:pPr>
      <w:spacing w:after="100" w:line="259" w:lineRule="auto"/>
      <w:ind w:left="1320"/>
    </w:pPr>
    <w:rPr>
      <w:rFonts w:asciiTheme="minorHAnsi" w:eastAsiaTheme="minorEastAsia" w:hAnsiTheme="minorHAnsi" w:cstheme="minorBidi"/>
      <w:sz w:val="22"/>
      <w:szCs w:val="22"/>
      <w:lang w:eastAsia="es-MX"/>
    </w:rPr>
  </w:style>
  <w:style w:type="paragraph" w:styleId="TDC8">
    <w:name w:val="toc 8"/>
    <w:basedOn w:val="Normal"/>
    <w:next w:val="Normal"/>
    <w:autoRedefine/>
    <w:uiPriority w:val="39"/>
    <w:unhideWhenUsed/>
    <w:rsid w:val="00CF5DA3"/>
    <w:pPr>
      <w:spacing w:after="100" w:line="259" w:lineRule="auto"/>
      <w:ind w:left="1540"/>
    </w:pPr>
    <w:rPr>
      <w:rFonts w:asciiTheme="minorHAnsi" w:eastAsiaTheme="minorEastAsia" w:hAnsiTheme="minorHAnsi" w:cstheme="minorBidi"/>
      <w:sz w:val="22"/>
      <w:szCs w:val="22"/>
      <w:lang w:eastAsia="es-MX"/>
    </w:rPr>
  </w:style>
  <w:style w:type="paragraph" w:styleId="TDC9">
    <w:name w:val="toc 9"/>
    <w:basedOn w:val="Normal"/>
    <w:next w:val="Normal"/>
    <w:autoRedefine/>
    <w:uiPriority w:val="39"/>
    <w:unhideWhenUsed/>
    <w:rsid w:val="00CF5DA3"/>
    <w:pPr>
      <w:spacing w:after="100" w:line="259" w:lineRule="auto"/>
      <w:ind w:left="1760"/>
    </w:pPr>
    <w:rPr>
      <w:rFonts w:asciiTheme="minorHAnsi" w:eastAsiaTheme="minorEastAsia" w:hAnsiTheme="minorHAnsi" w:cstheme="minorBidi"/>
      <w:sz w:val="22"/>
      <w:szCs w:val="22"/>
      <w:lang w:eastAsia="es-MX"/>
    </w:rPr>
  </w:style>
  <w:style w:type="paragraph" w:styleId="Revisin">
    <w:name w:val="Revision"/>
    <w:hidden/>
    <w:uiPriority w:val="99"/>
    <w:semiHidden/>
    <w:rsid w:val="009D7771"/>
    <w:pPr>
      <w:spacing w:after="0" w:line="240" w:lineRule="auto"/>
    </w:pPr>
    <w:rPr>
      <w:lang w:val="es-ES_tradnl"/>
    </w:rPr>
  </w:style>
  <w:style w:type="character" w:styleId="Nmerodepgina">
    <w:name w:val="page number"/>
    <w:basedOn w:val="Fuentedeprrafopredeter"/>
    <w:uiPriority w:val="99"/>
    <w:semiHidden/>
    <w:unhideWhenUsed/>
    <w:rsid w:val="00661F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55356">
      <w:bodyDiv w:val="1"/>
      <w:marLeft w:val="0"/>
      <w:marRight w:val="0"/>
      <w:marTop w:val="0"/>
      <w:marBottom w:val="0"/>
      <w:divBdr>
        <w:top w:val="none" w:sz="0" w:space="0" w:color="auto"/>
        <w:left w:val="none" w:sz="0" w:space="0" w:color="auto"/>
        <w:bottom w:val="none" w:sz="0" w:space="0" w:color="auto"/>
        <w:right w:val="none" w:sz="0" w:space="0" w:color="auto"/>
      </w:divBdr>
    </w:div>
    <w:div w:id="81033206">
      <w:bodyDiv w:val="1"/>
      <w:marLeft w:val="0"/>
      <w:marRight w:val="0"/>
      <w:marTop w:val="0"/>
      <w:marBottom w:val="0"/>
      <w:divBdr>
        <w:top w:val="none" w:sz="0" w:space="0" w:color="auto"/>
        <w:left w:val="none" w:sz="0" w:space="0" w:color="auto"/>
        <w:bottom w:val="none" w:sz="0" w:space="0" w:color="auto"/>
        <w:right w:val="none" w:sz="0" w:space="0" w:color="auto"/>
      </w:divBdr>
    </w:div>
    <w:div w:id="131365303">
      <w:bodyDiv w:val="1"/>
      <w:marLeft w:val="0"/>
      <w:marRight w:val="0"/>
      <w:marTop w:val="0"/>
      <w:marBottom w:val="0"/>
      <w:divBdr>
        <w:top w:val="none" w:sz="0" w:space="0" w:color="auto"/>
        <w:left w:val="none" w:sz="0" w:space="0" w:color="auto"/>
        <w:bottom w:val="none" w:sz="0" w:space="0" w:color="auto"/>
        <w:right w:val="none" w:sz="0" w:space="0" w:color="auto"/>
      </w:divBdr>
    </w:div>
    <w:div w:id="225797884">
      <w:bodyDiv w:val="1"/>
      <w:marLeft w:val="0"/>
      <w:marRight w:val="0"/>
      <w:marTop w:val="0"/>
      <w:marBottom w:val="0"/>
      <w:divBdr>
        <w:top w:val="none" w:sz="0" w:space="0" w:color="auto"/>
        <w:left w:val="none" w:sz="0" w:space="0" w:color="auto"/>
        <w:bottom w:val="none" w:sz="0" w:space="0" w:color="auto"/>
        <w:right w:val="none" w:sz="0" w:space="0" w:color="auto"/>
      </w:divBdr>
    </w:div>
    <w:div w:id="252712578">
      <w:bodyDiv w:val="1"/>
      <w:marLeft w:val="0"/>
      <w:marRight w:val="0"/>
      <w:marTop w:val="0"/>
      <w:marBottom w:val="0"/>
      <w:divBdr>
        <w:top w:val="none" w:sz="0" w:space="0" w:color="auto"/>
        <w:left w:val="none" w:sz="0" w:space="0" w:color="auto"/>
        <w:bottom w:val="none" w:sz="0" w:space="0" w:color="auto"/>
        <w:right w:val="none" w:sz="0" w:space="0" w:color="auto"/>
      </w:divBdr>
    </w:div>
    <w:div w:id="311520382">
      <w:bodyDiv w:val="1"/>
      <w:marLeft w:val="0"/>
      <w:marRight w:val="0"/>
      <w:marTop w:val="0"/>
      <w:marBottom w:val="0"/>
      <w:divBdr>
        <w:top w:val="none" w:sz="0" w:space="0" w:color="auto"/>
        <w:left w:val="none" w:sz="0" w:space="0" w:color="auto"/>
        <w:bottom w:val="none" w:sz="0" w:space="0" w:color="auto"/>
        <w:right w:val="none" w:sz="0" w:space="0" w:color="auto"/>
      </w:divBdr>
    </w:div>
    <w:div w:id="314997162">
      <w:bodyDiv w:val="1"/>
      <w:marLeft w:val="0"/>
      <w:marRight w:val="0"/>
      <w:marTop w:val="0"/>
      <w:marBottom w:val="0"/>
      <w:divBdr>
        <w:top w:val="none" w:sz="0" w:space="0" w:color="auto"/>
        <w:left w:val="none" w:sz="0" w:space="0" w:color="auto"/>
        <w:bottom w:val="none" w:sz="0" w:space="0" w:color="auto"/>
        <w:right w:val="none" w:sz="0" w:space="0" w:color="auto"/>
      </w:divBdr>
    </w:div>
    <w:div w:id="315499521">
      <w:bodyDiv w:val="1"/>
      <w:marLeft w:val="0"/>
      <w:marRight w:val="0"/>
      <w:marTop w:val="0"/>
      <w:marBottom w:val="0"/>
      <w:divBdr>
        <w:top w:val="none" w:sz="0" w:space="0" w:color="auto"/>
        <w:left w:val="none" w:sz="0" w:space="0" w:color="auto"/>
        <w:bottom w:val="none" w:sz="0" w:space="0" w:color="auto"/>
        <w:right w:val="none" w:sz="0" w:space="0" w:color="auto"/>
      </w:divBdr>
    </w:div>
    <w:div w:id="327291273">
      <w:bodyDiv w:val="1"/>
      <w:marLeft w:val="0"/>
      <w:marRight w:val="0"/>
      <w:marTop w:val="0"/>
      <w:marBottom w:val="0"/>
      <w:divBdr>
        <w:top w:val="none" w:sz="0" w:space="0" w:color="auto"/>
        <w:left w:val="none" w:sz="0" w:space="0" w:color="auto"/>
        <w:bottom w:val="none" w:sz="0" w:space="0" w:color="auto"/>
        <w:right w:val="none" w:sz="0" w:space="0" w:color="auto"/>
      </w:divBdr>
    </w:div>
    <w:div w:id="329647075">
      <w:bodyDiv w:val="1"/>
      <w:marLeft w:val="0"/>
      <w:marRight w:val="0"/>
      <w:marTop w:val="0"/>
      <w:marBottom w:val="0"/>
      <w:divBdr>
        <w:top w:val="none" w:sz="0" w:space="0" w:color="auto"/>
        <w:left w:val="none" w:sz="0" w:space="0" w:color="auto"/>
        <w:bottom w:val="none" w:sz="0" w:space="0" w:color="auto"/>
        <w:right w:val="none" w:sz="0" w:space="0" w:color="auto"/>
      </w:divBdr>
    </w:div>
    <w:div w:id="388501894">
      <w:bodyDiv w:val="1"/>
      <w:marLeft w:val="0"/>
      <w:marRight w:val="0"/>
      <w:marTop w:val="0"/>
      <w:marBottom w:val="0"/>
      <w:divBdr>
        <w:top w:val="none" w:sz="0" w:space="0" w:color="auto"/>
        <w:left w:val="none" w:sz="0" w:space="0" w:color="auto"/>
        <w:bottom w:val="none" w:sz="0" w:space="0" w:color="auto"/>
        <w:right w:val="none" w:sz="0" w:space="0" w:color="auto"/>
      </w:divBdr>
    </w:div>
    <w:div w:id="405692997">
      <w:bodyDiv w:val="1"/>
      <w:marLeft w:val="0"/>
      <w:marRight w:val="0"/>
      <w:marTop w:val="0"/>
      <w:marBottom w:val="0"/>
      <w:divBdr>
        <w:top w:val="none" w:sz="0" w:space="0" w:color="auto"/>
        <w:left w:val="none" w:sz="0" w:space="0" w:color="auto"/>
        <w:bottom w:val="none" w:sz="0" w:space="0" w:color="auto"/>
        <w:right w:val="none" w:sz="0" w:space="0" w:color="auto"/>
      </w:divBdr>
    </w:div>
    <w:div w:id="448356953">
      <w:bodyDiv w:val="1"/>
      <w:marLeft w:val="0"/>
      <w:marRight w:val="0"/>
      <w:marTop w:val="0"/>
      <w:marBottom w:val="0"/>
      <w:divBdr>
        <w:top w:val="none" w:sz="0" w:space="0" w:color="auto"/>
        <w:left w:val="none" w:sz="0" w:space="0" w:color="auto"/>
        <w:bottom w:val="none" w:sz="0" w:space="0" w:color="auto"/>
        <w:right w:val="none" w:sz="0" w:space="0" w:color="auto"/>
      </w:divBdr>
    </w:div>
    <w:div w:id="523908226">
      <w:bodyDiv w:val="1"/>
      <w:marLeft w:val="0"/>
      <w:marRight w:val="0"/>
      <w:marTop w:val="0"/>
      <w:marBottom w:val="0"/>
      <w:divBdr>
        <w:top w:val="none" w:sz="0" w:space="0" w:color="auto"/>
        <w:left w:val="none" w:sz="0" w:space="0" w:color="auto"/>
        <w:bottom w:val="none" w:sz="0" w:space="0" w:color="auto"/>
        <w:right w:val="none" w:sz="0" w:space="0" w:color="auto"/>
      </w:divBdr>
    </w:div>
    <w:div w:id="536167213">
      <w:bodyDiv w:val="1"/>
      <w:marLeft w:val="0"/>
      <w:marRight w:val="0"/>
      <w:marTop w:val="0"/>
      <w:marBottom w:val="0"/>
      <w:divBdr>
        <w:top w:val="none" w:sz="0" w:space="0" w:color="auto"/>
        <w:left w:val="none" w:sz="0" w:space="0" w:color="auto"/>
        <w:bottom w:val="none" w:sz="0" w:space="0" w:color="auto"/>
        <w:right w:val="none" w:sz="0" w:space="0" w:color="auto"/>
      </w:divBdr>
    </w:div>
    <w:div w:id="603459503">
      <w:bodyDiv w:val="1"/>
      <w:marLeft w:val="0"/>
      <w:marRight w:val="0"/>
      <w:marTop w:val="0"/>
      <w:marBottom w:val="0"/>
      <w:divBdr>
        <w:top w:val="none" w:sz="0" w:space="0" w:color="auto"/>
        <w:left w:val="none" w:sz="0" w:space="0" w:color="auto"/>
        <w:bottom w:val="none" w:sz="0" w:space="0" w:color="auto"/>
        <w:right w:val="none" w:sz="0" w:space="0" w:color="auto"/>
      </w:divBdr>
    </w:div>
    <w:div w:id="614680091">
      <w:bodyDiv w:val="1"/>
      <w:marLeft w:val="0"/>
      <w:marRight w:val="0"/>
      <w:marTop w:val="0"/>
      <w:marBottom w:val="0"/>
      <w:divBdr>
        <w:top w:val="none" w:sz="0" w:space="0" w:color="auto"/>
        <w:left w:val="none" w:sz="0" w:space="0" w:color="auto"/>
        <w:bottom w:val="none" w:sz="0" w:space="0" w:color="auto"/>
        <w:right w:val="none" w:sz="0" w:space="0" w:color="auto"/>
      </w:divBdr>
    </w:div>
    <w:div w:id="678119426">
      <w:bodyDiv w:val="1"/>
      <w:marLeft w:val="0"/>
      <w:marRight w:val="0"/>
      <w:marTop w:val="0"/>
      <w:marBottom w:val="0"/>
      <w:divBdr>
        <w:top w:val="none" w:sz="0" w:space="0" w:color="auto"/>
        <w:left w:val="none" w:sz="0" w:space="0" w:color="auto"/>
        <w:bottom w:val="none" w:sz="0" w:space="0" w:color="auto"/>
        <w:right w:val="none" w:sz="0" w:space="0" w:color="auto"/>
      </w:divBdr>
    </w:div>
    <w:div w:id="688337510">
      <w:bodyDiv w:val="1"/>
      <w:marLeft w:val="0"/>
      <w:marRight w:val="0"/>
      <w:marTop w:val="0"/>
      <w:marBottom w:val="0"/>
      <w:divBdr>
        <w:top w:val="none" w:sz="0" w:space="0" w:color="auto"/>
        <w:left w:val="none" w:sz="0" w:space="0" w:color="auto"/>
        <w:bottom w:val="none" w:sz="0" w:space="0" w:color="auto"/>
        <w:right w:val="none" w:sz="0" w:space="0" w:color="auto"/>
      </w:divBdr>
    </w:div>
    <w:div w:id="691956476">
      <w:bodyDiv w:val="1"/>
      <w:marLeft w:val="0"/>
      <w:marRight w:val="0"/>
      <w:marTop w:val="0"/>
      <w:marBottom w:val="0"/>
      <w:divBdr>
        <w:top w:val="none" w:sz="0" w:space="0" w:color="auto"/>
        <w:left w:val="none" w:sz="0" w:space="0" w:color="auto"/>
        <w:bottom w:val="none" w:sz="0" w:space="0" w:color="auto"/>
        <w:right w:val="none" w:sz="0" w:space="0" w:color="auto"/>
      </w:divBdr>
    </w:div>
    <w:div w:id="740835405">
      <w:bodyDiv w:val="1"/>
      <w:marLeft w:val="0"/>
      <w:marRight w:val="0"/>
      <w:marTop w:val="0"/>
      <w:marBottom w:val="0"/>
      <w:divBdr>
        <w:top w:val="none" w:sz="0" w:space="0" w:color="auto"/>
        <w:left w:val="none" w:sz="0" w:space="0" w:color="auto"/>
        <w:bottom w:val="none" w:sz="0" w:space="0" w:color="auto"/>
        <w:right w:val="none" w:sz="0" w:space="0" w:color="auto"/>
      </w:divBdr>
    </w:div>
    <w:div w:id="741755777">
      <w:bodyDiv w:val="1"/>
      <w:marLeft w:val="0"/>
      <w:marRight w:val="0"/>
      <w:marTop w:val="0"/>
      <w:marBottom w:val="0"/>
      <w:divBdr>
        <w:top w:val="none" w:sz="0" w:space="0" w:color="auto"/>
        <w:left w:val="none" w:sz="0" w:space="0" w:color="auto"/>
        <w:bottom w:val="none" w:sz="0" w:space="0" w:color="auto"/>
        <w:right w:val="none" w:sz="0" w:space="0" w:color="auto"/>
      </w:divBdr>
    </w:div>
    <w:div w:id="809054892">
      <w:bodyDiv w:val="1"/>
      <w:marLeft w:val="0"/>
      <w:marRight w:val="0"/>
      <w:marTop w:val="0"/>
      <w:marBottom w:val="0"/>
      <w:divBdr>
        <w:top w:val="none" w:sz="0" w:space="0" w:color="auto"/>
        <w:left w:val="none" w:sz="0" w:space="0" w:color="auto"/>
        <w:bottom w:val="none" w:sz="0" w:space="0" w:color="auto"/>
        <w:right w:val="none" w:sz="0" w:space="0" w:color="auto"/>
      </w:divBdr>
    </w:div>
    <w:div w:id="920607215">
      <w:bodyDiv w:val="1"/>
      <w:marLeft w:val="0"/>
      <w:marRight w:val="0"/>
      <w:marTop w:val="0"/>
      <w:marBottom w:val="0"/>
      <w:divBdr>
        <w:top w:val="none" w:sz="0" w:space="0" w:color="auto"/>
        <w:left w:val="none" w:sz="0" w:space="0" w:color="auto"/>
        <w:bottom w:val="none" w:sz="0" w:space="0" w:color="auto"/>
        <w:right w:val="none" w:sz="0" w:space="0" w:color="auto"/>
      </w:divBdr>
    </w:div>
    <w:div w:id="930969274">
      <w:bodyDiv w:val="1"/>
      <w:marLeft w:val="0"/>
      <w:marRight w:val="0"/>
      <w:marTop w:val="0"/>
      <w:marBottom w:val="0"/>
      <w:divBdr>
        <w:top w:val="none" w:sz="0" w:space="0" w:color="auto"/>
        <w:left w:val="none" w:sz="0" w:space="0" w:color="auto"/>
        <w:bottom w:val="none" w:sz="0" w:space="0" w:color="auto"/>
        <w:right w:val="none" w:sz="0" w:space="0" w:color="auto"/>
      </w:divBdr>
    </w:div>
    <w:div w:id="987588038">
      <w:bodyDiv w:val="1"/>
      <w:marLeft w:val="0"/>
      <w:marRight w:val="0"/>
      <w:marTop w:val="0"/>
      <w:marBottom w:val="0"/>
      <w:divBdr>
        <w:top w:val="none" w:sz="0" w:space="0" w:color="auto"/>
        <w:left w:val="none" w:sz="0" w:space="0" w:color="auto"/>
        <w:bottom w:val="none" w:sz="0" w:space="0" w:color="auto"/>
        <w:right w:val="none" w:sz="0" w:space="0" w:color="auto"/>
      </w:divBdr>
    </w:div>
    <w:div w:id="1034042892">
      <w:bodyDiv w:val="1"/>
      <w:marLeft w:val="0"/>
      <w:marRight w:val="0"/>
      <w:marTop w:val="0"/>
      <w:marBottom w:val="0"/>
      <w:divBdr>
        <w:top w:val="none" w:sz="0" w:space="0" w:color="auto"/>
        <w:left w:val="none" w:sz="0" w:space="0" w:color="auto"/>
        <w:bottom w:val="none" w:sz="0" w:space="0" w:color="auto"/>
        <w:right w:val="none" w:sz="0" w:space="0" w:color="auto"/>
      </w:divBdr>
    </w:div>
    <w:div w:id="1044675526">
      <w:bodyDiv w:val="1"/>
      <w:marLeft w:val="0"/>
      <w:marRight w:val="0"/>
      <w:marTop w:val="0"/>
      <w:marBottom w:val="0"/>
      <w:divBdr>
        <w:top w:val="none" w:sz="0" w:space="0" w:color="auto"/>
        <w:left w:val="none" w:sz="0" w:space="0" w:color="auto"/>
        <w:bottom w:val="none" w:sz="0" w:space="0" w:color="auto"/>
        <w:right w:val="none" w:sz="0" w:space="0" w:color="auto"/>
      </w:divBdr>
    </w:div>
    <w:div w:id="1113400729">
      <w:bodyDiv w:val="1"/>
      <w:marLeft w:val="0"/>
      <w:marRight w:val="0"/>
      <w:marTop w:val="0"/>
      <w:marBottom w:val="0"/>
      <w:divBdr>
        <w:top w:val="none" w:sz="0" w:space="0" w:color="auto"/>
        <w:left w:val="none" w:sz="0" w:space="0" w:color="auto"/>
        <w:bottom w:val="none" w:sz="0" w:space="0" w:color="auto"/>
        <w:right w:val="none" w:sz="0" w:space="0" w:color="auto"/>
      </w:divBdr>
    </w:div>
    <w:div w:id="1198810319">
      <w:bodyDiv w:val="1"/>
      <w:marLeft w:val="0"/>
      <w:marRight w:val="0"/>
      <w:marTop w:val="0"/>
      <w:marBottom w:val="0"/>
      <w:divBdr>
        <w:top w:val="none" w:sz="0" w:space="0" w:color="auto"/>
        <w:left w:val="none" w:sz="0" w:space="0" w:color="auto"/>
        <w:bottom w:val="none" w:sz="0" w:space="0" w:color="auto"/>
        <w:right w:val="none" w:sz="0" w:space="0" w:color="auto"/>
      </w:divBdr>
    </w:div>
    <w:div w:id="1201284644">
      <w:bodyDiv w:val="1"/>
      <w:marLeft w:val="0"/>
      <w:marRight w:val="0"/>
      <w:marTop w:val="0"/>
      <w:marBottom w:val="0"/>
      <w:divBdr>
        <w:top w:val="none" w:sz="0" w:space="0" w:color="auto"/>
        <w:left w:val="none" w:sz="0" w:space="0" w:color="auto"/>
        <w:bottom w:val="none" w:sz="0" w:space="0" w:color="auto"/>
        <w:right w:val="none" w:sz="0" w:space="0" w:color="auto"/>
      </w:divBdr>
    </w:div>
    <w:div w:id="1307592271">
      <w:bodyDiv w:val="1"/>
      <w:marLeft w:val="0"/>
      <w:marRight w:val="0"/>
      <w:marTop w:val="0"/>
      <w:marBottom w:val="0"/>
      <w:divBdr>
        <w:top w:val="none" w:sz="0" w:space="0" w:color="auto"/>
        <w:left w:val="none" w:sz="0" w:space="0" w:color="auto"/>
        <w:bottom w:val="none" w:sz="0" w:space="0" w:color="auto"/>
        <w:right w:val="none" w:sz="0" w:space="0" w:color="auto"/>
      </w:divBdr>
    </w:div>
    <w:div w:id="1433236566">
      <w:bodyDiv w:val="1"/>
      <w:marLeft w:val="0"/>
      <w:marRight w:val="0"/>
      <w:marTop w:val="0"/>
      <w:marBottom w:val="0"/>
      <w:divBdr>
        <w:top w:val="none" w:sz="0" w:space="0" w:color="auto"/>
        <w:left w:val="none" w:sz="0" w:space="0" w:color="auto"/>
        <w:bottom w:val="none" w:sz="0" w:space="0" w:color="auto"/>
        <w:right w:val="none" w:sz="0" w:space="0" w:color="auto"/>
      </w:divBdr>
    </w:div>
    <w:div w:id="1478689184">
      <w:bodyDiv w:val="1"/>
      <w:marLeft w:val="0"/>
      <w:marRight w:val="0"/>
      <w:marTop w:val="0"/>
      <w:marBottom w:val="0"/>
      <w:divBdr>
        <w:top w:val="none" w:sz="0" w:space="0" w:color="auto"/>
        <w:left w:val="none" w:sz="0" w:space="0" w:color="auto"/>
        <w:bottom w:val="none" w:sz="0" w:space="0" w:color="auto"/>
        <w:right w:val="none" w:sz="0" w:space="0" w:color="auto"/>
      </w:divBdr>
    </w:div>
    <w:div w:id="1490950021">
      <w:bodyDiv w:val="1"/>
      <w:marLeft w:val="0"/>
      <w:marRight w:val="0"/>
      <w:marTop w:val="0"/>
      <w:marBottom w:val="0"/>
      <w:divBdr>
        <w:top w:val="none" w:sz="0" w:space="0" w:color="auto"/>
        <w:left w:val="none" w:sz="0" w:space="0" w:color="auto"/>
        <w:bottom w:val="none" w:sz="0" w:space="0" w:color="auto"/>
        <w:right w:val="none" w:sz="0" w:space="0" w:color="auto"/>
      </w:divBdr>
    </w:div>
    <w:div w:id="1514613081">
      <w:bodyDiv w:val="1"/>
      <w:marLeft w:val="0"/>
      <w:marRight w:val="0"/>
      <w:marTop w:val="0"/>
      <w:marBottom w:val="0"/>
      <w:divBdr>
        <w:top w:val="none" w:sz="0" w:space="0" w:color="auto"/>
        <w:left w:val="none" w:sz="0" w:space="0" w:color="auto"/>
        <w:bottom w:val="none" w:sz="0" w:space="0" w:color="auto"/>
        <w:right w:val="none" w:sz="0" w:space="0" w:color="auto"/>
      </w:divBdr>
    </w:div>
    <w:div w:id="1592277159">
      <w:bodyDiv w:val="1"/>
      <w:marLeft w:val="0"/>
      <w:marRight w:val="0"/>
      <w:marTop w:val="0"/>
      <w:marBottom w:val="0"/>
      <w:divBdr>
        <w:top w:val="none" w:sz="0" w:space="0" w:color="auto"/>
        <w:left w:val="none" w:sz="0" w:space="0" w:color="auto"/>
        <w:bottom w:val="none" w:sz="0" w:space="0" w:color="auto"/>
        <w:right w:val="none" w:sz="0" w:space="0" w:color="auto"/>
      </w:divBdr>
    </w:div>
    <w:div w:id="1647582653">
      <w:bodyDiv w:val="1"/>
      <w:marLeft w:val="0"/>
      <w:marRight w:val="0"/>
      <w:marTop w:val="0"/>
      <w:marBottom w:val="0"/>
      <w:divBdr>
        <w:top w:val="none" w:sz="0" w:space="0" w:color="auto"/>
        <w:left w:val="none" w:sz="0" w:space="0" w:color="auto"/>
        <w:bottom w:val="none" w:sz="0" w:space="0" w:color="auto"/>
        <w:right w:val="none" w:sz="0" w:space="0" w:color="auto"/>
      </w:divBdr>
    </w:div>
    <w:div w:id="1677221853">
      <w:bodyDiv w:val="1"/>
      <w:marLeft w:val="0"/>
      <w:marRight w:val="0"/>
      <w:marTop w:val="0"/>
      <w:marBottom w:val="0"/>
      <w:divBdr>
        <w:top w:val="none" w:sz="0" w:space="0" w:color="auto"/>
        <w:left w:val="none" w:sz="0" w:space="0" w:color="auto"/>
        <w:bottom w:val="none" w:sz="0" w:space="0" w:color="auto"/>
        <w:right w:val="none" w:sz="0" w:space="0" w:color="auto"/>
      </w:divBdr>
    </w:div>
    <w:div w:id="1737512613">
      <w:bodyDiv w:val="1"/>
      <w:marLeft w:val="0"/>
      <w:marRight w:val="0"/>
      <w:marTop w:val="0"/>
      <w:marBottom w:val="0"/>
      <w:divBdr>
        <w:top w:val="none" w:sz="0" w:space="0" w:color="auto"/>
        <w:left w:val="none" w:sz="0" w:space="0" w:color="auto"/>
        <w:bottom w:val="none" w:sz="0" w:space="0" w:color="auto"/>
        <w:right w:val="none" w:sz="0" w:space="0" w:color="auto"/>
      </w:divBdr>
    </w:div>
    <w:div w:id="1828397290">
      <w:bodyDiv w:val="1"/>
      <w:marLeft w:val="0"/>
      <w:marRight w:val="0"/>
      <w:marTop w:val="0"/>
      <w:marBottom w:val="0"/>
      <w:divBdr>
        <w:top w:val="none" w:sz="0" w:space="0" w:color="auto"/>
        <w:left w:val="none" w:sz="0" w:space="0" w:color="auto"/>
        <w:bottom w:val="none" w:sz="0" w:space="0" w:color="auto"/>
        <w:right w:val="none" w:sz="0" w:space="0" w:color="auto"/>
      </w:divBdr>
    </w:div>
    <w:div w:id="1864246981">
      <w:bodyDiv w:val="1"/>
      <w:marLeft w:val="0"/>
      <w:marRight w:val="0"/>
      <w:marTop w:val="0"/>
      <w:marBottom w:val="0"/>
      <w:divBdr>
        <w:top w:val="none" w:sz="0" w:space="0" w:color="auto"/>
        <w:left w:val="none" w:sz="0" w:space="0" w:color="auto"/>
        <w:bottom w:val="none" w:sz="0" w:space="0" w:color="auto"/>
        <w:right w:val="none" w:sz="0" w:space="0" w:color="auto"/>
      </w:divBdr>
    </w:div>
    <w:div w:id="1928029767">
      <w:bodyDiv w:val="1"/>
      <w:marLeft w:val="0"/>
      <w:marRight w:val="0"/>
      <w:marTop w:val="0"/>
      <w:marBottom w:val="0"/>
      <w:divBdr>
        <w:top w:val="none" w:sz="0" w:space="0" w:color="auto"/>
        <w:left w:val="none" w:sz="0" w:space="0" w:color="auto"/>
        <w:bottom w:val="none" w:sz="0" w:space="0" w:color="auto"/>
        <w:right w:val="none" w:sz="0" w:space="0" w:color="auto"/>
      </w:divBdr>
    </w:div>
    <w:div w:id="1963077492">
      <w:bodyDiv w:val="1"/>
      <w:marLeft w:val="0"/>
      <w:marRight w:val="0"/>
      <w:marTop w:val="0"/>
      <w:marBottom w:val="0"/>
      <w:divBdr>
        <w:top w:val="none" w:sz="0" w:space="0" w:color="auto"/>
        <w:left w:val="none" w:sz="0" w:space="0" w:color="auto"/>
        <w:bottom w:val="none" w:sz="0" w:space="0" w:color="auto"/>
        <w:right w:val="none" w:sz="0" w:space="0" w:color="auto"/>
      </w:divBdr>
    </w:div>
    <w:div w:id="1976372750">
      <w:bodyDiv w:val="1"/>
      <w:marLeft w:val="0"/>
      <w:marRight w:val="0"/>
      <w:marTop w:val="0"/>
      <w:marBottom w:val="0"/>
      <w:divBdr>
        <w:top w:val="none" w:sz="0" w:space="0" w:color="auto"/>
        <w:left w:val="none" w:sz="0" w:space="0" w:color="auto"/>
        <w:bottom w:val="none" w:sz="0" w:space="0" w:color="auto"/>
        <w:right w:val="none" w:sz="0" w:space="0" w:color="auto"/>
      </w:divBdr>
    </w:div>
    <w:div w:id="2018650714">
      <w:bodyDiv w:val="1"/>
      <w:marLeft w:val="0"/>
      <w:marRight w:val="0"/>
      <w:marTop w:val="0"/>
      <w:marBottom w:val="0"/>
      <w:divBdr>
        <w:top w:val="none" w:sz="0" w:space="0" w:color="auto"/>
        <w:left w:val="none" w:sz="0" w:space="0" w:color="auto"/>
        <w:bottom w:val="none" w:sz="0" w:space="0" w:color="auto"/>
        <w:right w:val="none" w:sz="0" w:space="0" w:color="auto"/>
      </w:divBdr>
    </w:div>
    <w:div w:id="2050835329">
      <w:bodyDiv w:val="1"/>
      <w:marLeft w:val="0"/>
      <w:marRight w:val="0"/>
      <w:marTop w:val="0"/>
      <w:marBottom w:val="0"/>
      <w:divBdr>
        <w:top w:val="none" w:sz="0" w:space="0" w:color="auto"/>
        <w:left w:val="none" w:sz="0" w:space="0" w:color="auto"/>
        <w:bottom w:val="none" w:sz="0" w:space="0" w:color="auto"/>
        <w:right w:val="none" w:sz="0" w:space="0" w:color="auto"/>
      </w:divBdr>
    </w:div>
    <w:div w:id="2091851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charts/_rels/chart1.xml.rels><?xml version="1.0" encoding="UTF-8" standalone="yes"?>
<Relationships xmlns="http://schemas.openxmlformats.org/package/2006/relationships"><Relationship Id="rId3" Type="http://schemas.openxmlformats.org/officeDocument/2006/relationships/package" Target="../embeddings/Hoja_de_c_lculo_de_Microsoft_Excel.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MX"/>
              <a:t>Resultados</a:t>
            </a:r>
            <a:r>
              <a:rPr lang="es-MX" baseline="0"/>
              <a:t> de la 2a evaluación vinculante por ámbito</a:t>
            </a:r>
            <a:endParaRPr lang="es-MX"/>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MX"/>
        </a:p>
      </c:txPr>
    </c:title>
    <c:autoTitleDeleted val="0"/>
    <c:plotArea>
      <c:layout/>
      <c:barChart>
        <c:barDir val="bar"/>
        <c:grouping val="stacked"/>
        <c:varyColors val="0"/>
        <c:ser>
          <c:idx val="1"/>
          <c:order val="0"/>
          <c:tx>
            <c:strRef>
              <c:f>Hoja1!$C$1</c:f>
              <c:strCache>
                <c:ptCount val="1"/>
                <c:pt idx="0">
                  <c:v>Cumplimiento total (100 puntos)</c:v>
                </c:pt>
              </c:strCache>
            </c:strRef>
          </c:tx>
          <c:spPr>
            <a:solidFill>
              <a:srgbClr val="00B050"/>
            </a:solidFill>
            <a:ln>
              <a:noFill/>
            </a:ln>
            <a:effectLst/>
          </c:spPr>
          <c:invertIfNegative val="0"/>
          <c:dLbls>
            <c:dLbl>
              <c:idx val="3"/>
              <c:delete val="1"/>
              <c:extLst>
                <c:ext xmlns:c15="http://schemas.microsoft.com/office/drawing/2012/chart" uri="{CE6537A1-D6FC-4f65-9D91-7224C49458BB}"/>
                <c:ext xmlns:c16="http://schemas.microsoft.com/office/drawing/2014/chart" uri="{C3380CC4-5D6E-409C-BE32-E72D297353CC}">
                  <c16:uniqueId val="{00000000-B3C5-1C45-A67C-F4189B76E526}"/>
                </c:ext>
              </c:extLst>
            </c:dLbl>
            <c:dLbl>
              <c:idx val="4"/>
              <c:delete val="1"/>
              <c:extLst>
                <c:ext xmlns:c15="http://schemas.microsoft.com/office/drawing/2012/chart" uri="{CE6537A1-D6FC-4f65-9D91-7224C49458BB}"/>
                <c:ext xmlns:c16="http://schemas.microsoft.com/office/drawing/2014/chart" uri="{C3380CC4-5D6E-409C-BE32-E72D297353CC}">
                  <c16:uniqueId val="{00000001-B3C5-1C45-A67C-F4189B76E526}"/>
                </c:ext>
              </c:extLst>
            </c:dLbl>
            <c:dLbl>
              <c:idx val="5"/>
              <c:delete val="1"/>
              <c:extLst>
                <c:ext xmlns:c15="http://schemas.microsoft.com/office/drawing/2012/chart" uri="{CE6537A1-D6FC-4f65-9D91-7224C49458BB}"/>
                <c:ext xmlns:c16="http://schemas.microsoft.com/office/drawing/2014/chart" uri="{C3380CC4-5D6E-409C-BE32-E72D297353CC}">
                  <c16:uniqueId val="{00000002-B3C5-1C45-A67C-F4189B76E52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Hoja1!$A$2:$A$8</c:f>
              <c:strCache>
                <c:ptCount val="7"/>
                <c:pt idx="0">
                  <c:v>Administración Pública Centralizada.</c:v>
                </c:pt>
                <c:pt idx="1">
                  <c:v>Órganos Desconcentrados, fondos y fideicomisos</c:v>
                </c:pt>
                <c:pt idx="2">
                  <c:v>Alcaldías</c:v>
                </c:pt>
                <c:pt idx="3">
                  <c:v>Poder Legislativo</c:v>
                </c:pt>
                <c:pt idx="4">
                  <c:v>Órgano Autónomo </c:v>
                </c:pt>
                <c:pt idx="5">
                  <c:v>Sindicato </c:v>
                </c:pt>
                <c:pt idx="6">
                  <c:v>Total </c:v>
                </c:pt>
              </c:strCache>
            </c:strRef>
          </c:cat>
          <c:val>
            <c:numRef>
              <c:f>Hoja1!$C$2:$C$8</c:f>
              <c:numCache>
                <c:formatCode>General</c:formatCode>
                <c:ptCount val="7"/>
                <c:pt idx="0">
                  <c:v>4</c:v>
                </c:pt>
                <c:pt idx="1">
                  <c:v>1</c:v>
                </c:pt>
                <c:pt idx="2">
                  <c:v>2</c:v>
                </c:pt>
                <c:pt idx="3">
                  <c:v>0</c:v>
                </c:pt>
                <c:pt idx="4">
                  <c:v>0</c:v>
                </c:pt>
                <c:pt idx="5">
                  <c:v>0</c:v>
                </c:pt>
                <c:pt idx="6">
                  <c:v>7</c:v>
                </c:pt>
              </c:numCache>
            </c:numRef>
          </c:val>
          <c:extLst>
            <c:ext xmlns:c16="http://schemas.microsoft.com/office/drawing/2014/chart" uri="{C3380CC4-5D6E-409C-BE32-E72D297353CC}">
              <c16:uniqueId val="{00000003-B3C5-1C45-A67C-F4189B76E526}"/>
            </c:ext>
          </c:extLst>
        </c:ser>
        <c:ser>
          <c:idx val="2"/>
          <c:order val="1"/>
          <c:tx>
            <c:strRef>
              <c:f>Hoja1!$D$1</c:f>
              <c:strCache>
                <c:ptCount val="1"/>
                <c:pt idx="0">
                  <c:v>Cumplimiento parcial (60 a 99.99 puntos)</c:v>
                </c:pt>
              </c:strCache>
            </c:strRef>
          </c:tx>
          <c:spPr>
            <a:solidFill>
              <a:schemeClr val="accent6">
                <a:lumMod val="40000"/>
                <a:lumOff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Hoja1!$A$2:$A$8</c:f>
              <c:strCache>
                <c:ptCount val="7"/>
                <c:pt idx="0">
                  <c:v>Administración Pública Centralizada.</c:v>
                </c:pt>
                <c:pt idx="1">
                  <c:v>Órganos Desconcentrados, fondos y fideicomisos</c:v>
                </c:pt>
                <c:pt idx="2">
                  <c:v>Alcaldías</c:v>
                </c:pt>
                <c:pt idx="3">
                  <c:v>Poder Legislativo</c:v>
                </c:pt>
                <c:pt idx="4">
                  <c:v>Órgano Autónomo </c:v>
                </c:pt>
                <c:pt idx="5">
                  <c:v>Sindicato </c:v>
                </c:pt>
                <c:pt idx="6">
                  <c:v>Total </c:v>
                </c:pt>
              </c:strCache>
            </c:strRef>
          </c:cat>
          <c:val>
            <c:numRef>
              <c:f>Hoja1!$D$2:$D$8</c:f>
              <c:numCache>
                <c:formatCode>General</c:formatCode>
                <c:ptCount val="7"/>
                <c:pt idx="0">
                  <c:v>4</c:v>
                </c:pt>
                <c:pt idx="1">
                  <c:v>4</c:v>
                </c:pt>
                <c:pt idx="2">
                  <c:v>14</c:v>
                </c:pt>
                <c:pt idx="3">
                  <c:v>1</c:v>
                </c:pt>
                <c:pt idx="4">
                  <c:v>1</c:v>
                </c:pt>
                <c:pt idx="5">
                  <c:v>1</c:v>
                </c:pt>
                <c:pt idx="6">
                  <c:v>25</c:v>
                </c:pt>
              </c:numCache>
            </c:numRef>
          </c:val>
          <c:extLst>
            <c:ext xmlns:c16="http://schemas.microsoft.com/office/drawing/2014/chart" uri="{C3380CC4-5D6E-409C-BE32-E72D297353CC}">
              <c16:uniqueId val="{00000004-B3C5-1C45-A67C-F4189B76E526}"/>
            </c:ext>
          </c:extLst>
        </c:ser>
        <c:ser>
          <c:idx val="3"/>
          <c:order val="2"/>
          <c:tx>
            <c:strRef>
              <c:f>Hoja1!$E$1</c:f>
              <c:strCache>
                <c:ptCount val="1"/>
                <c:pt idx="0">
                  <c:v>Incumplimiento parcial (1 a 59.99 puntos)</c:v>
                </c:pt>
              </c:strCache>
            </c:strRef>
          </c:tx>
          <c:spPr>
            <a:solidFill>
              <a:schemeClr val="accent4"/>
            </a:solidFill>
            <a:ln>
              <a:noFill/>
            </a:ln>
            <a:effectLst/>
          </c:spPr>
          <c:invertIfNegative val="0"/>
          <c:dLbls>
            <c:dLbl>
              <c:idx val="1"/>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B3C5-1C45-A67C-F4189B76E526}"/>
                </c:ext>
              </c:extLst>
            </c:dLbl>
            <c:dLbl>
              <c:idx val="6"/>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B3C5-1C45-A67C-F4189B76E52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Hoja1!$A$2:$A$8</c:f>
              <c:strCache>
                <c:ptCount val="7"/>
                <c:pt idx="0">
                  <c:v>Administración Pública Centralizada.</c:v>
                </c:pt>
                <c:pt idx="1">
                  <c:v>Órganos Desconcentrados, fondos y fideicomisos</c:v>
                </c:pt>
                <c:pt idx="2">
                  <c:v>Alcaldías</c:v>
                </c:pt>
                <c:pt idx="3">
                  <c:v>Poder Legislativo</c:v>
                </c:pt>
                <c:pt idx="4">
                  <c:v>Órgano Autónomo </c:v>
                </c:pt>
                <c:pt idx="5">
                  <c:v>Sindicato </c:v>
                </c:pt>
                <c:pt idx="6">
                  <c:v>Total </c:v>
                </c:pt>
              </c:strCache>
            </c:strRef>
          </c:cat>
          <c:val>
            <c:numRef>
              <c:f>Hoja1!$E$2:$E$8</c:f>
              <c:numCache>
                <c:formatCode>General</c:formatCode>
                <c:ptCount val="7"/>
                <c:pt idx="0">
                  <c:v>0</c:v>
                </c:pt>
                <c:pt idx="1">
                  <c:v>3</c:v>
                </c:pt>
                <c:pt idx="2">
                  <c:v>0</c:v>
                </c:pt>
                <c:pt idx="3">
                  <c:v>0</c:v>
                </c:pt>
                <c:pt idx="4">
                  <c:v>0</c:v>
                </c:pt>
                <c:pt idx="5">
                  <c:v>0</c:v>
                </c:pt>
                <c:pt idx="6">
                  <c:v>3</c:v>
                </c:pt>
              </c:numCache>
            </c:numRef>
          </c:val>
          <c:extLst>
            <c:ext xmlns:c16="http://schemas.microsoft.com/office/drawing/2014/chart" uri="{C3380CC4-5D6E-409C-BE32-E72D297353CC}">
              <c16:uniqueId val="{00000007-B3C5-1C45-A67C-F4189B76E526}"/>
            </c:ext>
          </c:extLst>
        </c:ser>
        <c:ser>
          <c:idx val="4"/>
          <c:order val="3"/>
          <c:tx>
            <c:strRef>
              <c:f>Hoja1!$F$1</c:f>
              <c:strCache>
                <c:ptCount val="1"/>
                <c:pt idx="0">
                  <c:v>Incumplimiento total (0 puntos) </c:v>
                </c:pt>
              </c:strCache>
            </c:strRef>
          </c:tx>
          <c:spPr>
            <a:solidFill>
              <a:srgbClr val="FF0000"/>
            </a:solidFill>
            <a:ln>
              <a:noFill/>
            </a:ln>
            <a:effectLst/>
          </c:spPr>
          <c:invertIfNegative val="0"/>
          <c:cat>
            <c:strRef>
              <c:f>Hoja1!$A$2:$A$8</c:f>
              <c:strCache>
                <c:ptCount val="7"/>
                <c:pt idx="0">
                  <c:v>Administración Pública Centralizada.</c:v>
                </c:pt>
                <c:pt idx="1">
                  <c:v>Órganos Desconcentrados, fondos y fideicomisos</c:v>
                </c:pt>
                <c:pt idx="2">
                  <c:v>Alcaldías</c:v>
                </c:pt>
                <c:pt idx="3">
                  <c:v>Poder Legislativo</c:v>
                </c:pt>
                <c:pt idx="4">
                  <c:v>Órgano Autónomo </c:v>
                </c:pt>
                <c:pt idx="5">
                  <c:v>Sindicato </c:v>
                </c:pt>
                <c:pt idx="6">
                  <c:v>Total </c:v>
                </c:pt>
              </c:strCache>
            </c:strRef>
          </c:cat>
          <c:val>
            <c:numRef>
              <c:f>Hoja1!$F$2:$F$8</c:f>
              <c:numCache>
                <c:formatCode>General</c:formatCode>
                <c:ptCount val="7"/>
                <c:pt idx="0">
                  <c:v>0</c:v>
                </c:pt>
                <c:pt idx="1">
                  <c:v>0</c:v>
                </c:pt>
                <c:pt idx="2">
                  <c:v>0</c:v>
                </c:pt>
                <c:pt idx="3">
                  <c:v>0</c:v>
                </c:pt>
                <c:pt idx="4">
                  <c:v>0</c:v>
                </c:pt>
                <c:pt idx="5">
                  <c:v>0</c:v>
                </c:pt>
                <c:pt idx="6">
                  <c:v>0</c:v>
                </c:pt>
              </c:numCache>
            </c:numRef>
          </c:val>
          <c:extLst>
            <c:ext xmlns:c16="http://schemas.microsoft.com/office/drawing/2014/chart" uri="{C3380CC4-5D6E-409C-BE32-E72D297353CC}">
              <c16:uniqueId val="{00000008-B3C5-1C45-A67C-F4189B76E526}"/>
            </c:ext>
          </c:extLst>
        </c:ser>
        <c:dLbls>
          <c:showLegendKey val="0"/>
          <c:showVal val="0"/>
          <c:showCatName val="0"/>
          <c:showSerName val="0"/>
          <c:showPercent val="0"/>
          <c:showBubbleSize val="0"/>
        </c:dLbls>
        <c:gapWidth val="150"/>
        <c:overlap val="100"/>
        <c:axId val="493121696"/>
        <c:axId val="493122480"/>
      </c:barChart>
      <c:catAx>
        <c:axId val="493121696"/>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493122480"/>
        <c:crosses val="autoZero"/>
        <c:auto val="1"/>
        <c:lblAlgn val="ctr"/>
        <c:lblOffset val="100"/>
        <c:noMultiLvlLbl val="0"/>
      </c:catAx>
      <c:valAx>
        <c:axId val="493122480"/>
        <c:scaling>
          <c:orientation val="minMax"/>
        </c:scaling>
        <c:delete val="0"/>
        <c:axPos val="t"/>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4931216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813890-0C50-FB41-98CE-E35AFBB4B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81</Pages>
  <Words>23784</Words>
  <Characters>130813</Characters>
  <Application>Microsoft Office Word</Application>
  <DocSecurity>0</DocSecurity>
  <Lines>1090</Lines>
  <Paragraphs>308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154289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Aldo Antonio Trapero Maldonado</dc:creator>
  <cp:lastModifiedBy>Aldo Antonio Trapero Maldonado</cp:lastModifiedBy>
  <cp:revision>14</cp:revision>
  <cp:lastPrinted>2019-10-24T19:26:00Z</cp:lastPrinted>
  <dcterms:created xsi:type="dcterms:W3CDTF">2019-10-24T18:54:00Z</dcterms:created>
  <dcterms:modified xsi:type="dcterms:W3CDTF">2019-10-30T01:23:00Z</dcterms:modified>
</cp:coreProperties>
</file>